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FC90" w14:textId="4C5E80BF" w:rsidR="009505EF" w:rsidRPr="00E66B0E" w:rsidRDefault="00CA44AB" w:rsidP="00CA44AB">
      <w:pPr>
        <w:pStyle w:val="4"/>
        <w:rPr>
          <w:rFonts w:ascii="Times New Roman" w:hAnsi="Times New Roman" w:cs="Times New Roman"/>
        </w:rPr>
      </w:pPr>
      <w:r w:rsidRPr="00E66B0E">
        <w:rPr>
          <w:rFonts w:ascii="Times New Roman" w:hAnsi="Times New Roman" w:cs="Times New Roman"/>
        </w:rPr>
        <w:t>市場リスクの計量化と</w:t>
      </w:r>
      <w:proofErr w:type="spellStart"/>
      <w:r w:rsidRPr="00E66B0E">
        <w:rPr>
          <w:rFonts w:ascii="Times New Roman" w:hAnsi="Times New Roman" w:cs="Times New Roman"/>
        </w:rPr>
        <w:t>VaR</w:t>
      </w:r>
      <w:proofErr w:type="spellEnd"/>
    </w:p>
    <w:p w14:paraId="607E037D" w14:textId="2FDBDF9C" w:rsidR="00CA44AB" w:rsidRPr="00E66B0E" w:rsidRDefault="00CA44AB" w:rsidP="00CA44AB">
      <w:pPr>
        <w:jc w:val="right"/>
        <w:rPr>
          <w:rFonts w:ascii="Times New Roman" w:hAnsi="Times New Roman" w:cs="Times New Roman"/>
        </w:rPr>
      </w:pPr>
      <w:r w:rsidRPr="00E66B0E">
        <w:rPr>
          <w:rFonts w:ascii="Times New Roman" w:hAnsi="Times New Roman" w:cs="Times New Roman"/>
        </w:rPr>
        <w:t>2020</w:t>
      </w:r>
      <w:r w:rsidRPr="00E66B0E">
        <w:rPr>
          <w:rFonts w:ascii="Times New Roman" w:hAnsi="Times New Roman" w:cs="Times New Roman"/>
        </w:rPr>
        <w:t>年</w:t>
      </w:r>
      <w:r w:rsidRPr="00E66B0E">
        <w:rPr>
          <w:rFonts w:ascii="Times New Roman" w:hAnsi="Times New Roman" w:cs="Times New Roman"/>
        </w:rPr>
        <w:t>12</w:t>
      </w:r>
      <w:r w:rsidRPr="00E66B0E">
        <w:rPr>
          <w:rFonts w:ascii="Times New Roman" w:hAnsi="Times New Roman" w:cs="Times New Roman"/>
        </w:rPr>
        <w:t>月</w:t>
      </w:r>
      <w:r w:rsidRPr="00E66B0E">
        <w:rPr>
          <w:rFonts w:ascii="Times New Roman" w:hAnsi="Times New Roman" w:cs="Times New Roman"/>
        </w:rPr>
        <w:t>21</w:t>
      </w:r>
      <w:r w:rsidRPr="00E66B0E">
        <w:rPr>
          <w:rFonts w:ascii="Times New Roman" w:hAnsi="Times New Roman" w:cs="Times New Roman"/>
        </w:rPr>
        <w:t>日</w:t>
      </w:r>
    </w:p>
    <w:p w14:paraId="211E1DAB" w14:textId="5172EFB8" w:rsidR="00CA44AB" w:rsidRPr="00E66B0E" w:rsidRDefault="00CA44AB" w:rsidP="00CA44AB">
      <w:pPr>
        <w:rPr>
          <w:rFonts w:ascii="Times New Roman" w:hAnsi="Times New Roman" w:cs="Times New Roman"/>
        </w:rPr>
      </w:pPr>
    </w:p>
    <w:p w14:paraId="47E27CCE" w14:textId="7F1003B1" w:rsidR="00DC206B" w:rsidRPr="00E66B0E" w:rsidRDefault="00DC206B" w:rsidP="00CA44AB">
      <w:pPr>
        <w:rPr>
          <w:rFonts w:ascii="Times New Roman" w:hAnsi="Times New Roman" w:cs="Times New Roman"/>
        </w:rPr>
      </w:pPr>
      <w:r w:rsidRPr="00E66B0E">
        <w:rPr>
          <w:rFonts w:ascii="Times New Roman" w:hAnsi="Times New Roman" w:cs="Times New Roman"/>
        </w:rPr>
        <w:t>【今回の内容】</w:t>
      </w:r>
    </w:p>
    <w:p w14:paraId="246A9D81" w14:textId="036F2AF5" w:rsidR="00DC206B" w:rsidRPr="00E66B0E" w:rsidRDefault="00DC206B" w:rsidP="00123298">
      <w:pPr>
        <w:pStyle w:val="a7"/>
        <w:numPr>
          <w:ilvl w:val="0"/>
          <w:numId w:val="16"/>
        </w:numPr>
        <w:pBdr>
          <w:top w:val="dashDotStroked" w:sz="24" w:space="1" w:color="auto"/>
          <w:left w:val="dashDotStroked" w:sz="24" w:space="4" w:color="auto"/>
          <w:bottom w:val="dashDotStroked" w:sz="24" w:space="1" w:color="auto"/>
          <w:right w:val="dashDotStroked" w:sz="24" w:space="4" w:color="auto"/>
        </w:pBdr>
        <w:ind w:leftChars="0"/>
        <w:rPr>
          <w:rFonts w:ascii="Times New Roman" w:hAnsi="Times New Roman" w:cs="Times New Roman"/>
        </w:rPr>
      </w:pPr>
      <w:r w:rsidRPr="00E66B0E">
        <w:rPr>
          <w:rFonts w:ascii="Times New Roman" w:hAnsi="Times New Roman" w:cs="Times New Roman"/>
        </w:rPr>
        <w:t>リスク計測に用いられる</w:t>
      </w:r>
      <w:r w:rsidRPr="00E66B0E">
        <w:rPr>
          <w:rFonts w:ascii="Times New Roman" w:hAnsi="Times New Roman" w:cs="Times New Roman"/>
        </w:rPr>
        <w:t>3</w:t>
      </w:r>
      <w:r w:rsidRPr="00E66B0E">
        <w:rPr>
          <w:rFonts w:ascii="Times New Roman" w:hAnsi="Times New Roman" w:cs="Times New Roman"/>
        </w:rPr>
        <w:t>つの評価指標について確認．</w:t>
      </w:r>
    </w:p>
    <w:p w14:paraId="5ACF9D45" w14:textId="3F1B4D0C" w:rsidR="00DC206B" w:rsidRPr="00E66B0E" w:rsidRDefault="00DC206B" w:rsidP="00123298">
      <w:pPr>
        <w:pStyle w:val="a7"/>
        <w:numPr>
          <w:ilvl w:val="0"/>
          <w:numId w:val="16"/>
        </w:numPr>
        <w:pBdr>
          <w:top w:val="dashDotStroked" w:sz="24" w:space="1" w:color="auto"/>
          <w:left w:val="dashDotStroked" w:sz="24" w:space="4" w:color="auto"/>
          <w:bottom w:val="dashDotStroked" w:sz="24" w:space="1" w:color="auto"/>
          <w:right w:val="dashDotStroked" w:sz="24" w:space="4" w:color="auto"/>
        </w:pBdr>
        <w:ind w:leftChars="0"/>
        <w:rPr>
          <w:rFonts w:ascii="Times New Roman" w:hAnsi="Times New Roman" w:cs="Times New Roman"/>
        </w:rPr>
      </w:pPr>
      <w:r w:rsidRPr="00E66B0E">
        <w:rPr>
          <w:rFonts w:ascii="Times New Roman" w:hAnsi="Times New Roman" w:cs="Times New Roman"/>
        </w:rPr>
        <w:t>下方リスクの代表</w:t>
      </w:r>
      <w:r w:rsidR="00904AD9" w:rsidRPr="00E66B0E">
        <w:rPr>
          <w:rFonts w:ascii="Times New Roman" w:hAnsi="Times New Roman" w:cs="Times New Roman"/>
        </w:rPr>
        <w:t>的指標</w:t>
      </w:r>
      <w:r w:rsidRPr="00E66B0E">
        <w:rPr>
          <w:rFonts w:ascii="Times New Roman" w:hAnsi="Times New Roman" w:cs="Times New Roman"/>
        </w:rPr>
        <w:t>である</w:t>
      </w:r>
      <w:proofErr w:type="spellStart"/>
      <w:r w:rsidRPr="00E66B0E">
        <w:rPr>
          <w:rFonts w:ascii="Times New Roman" w:hAnsi="Times New Roman" w:cs="Times New Roman"/>
        </w:rPr>
        <w:t>VaR</w:t>
      </w:r>
      <w:proofErr w:type="spellEnd"/>
      <w:r w:rsidRPr="00E66B0E">
        <w:rPr>
          <w:rFonts w:ascii="Times New Roman" w:hAnsi="Times New Roman" w:cs="Times New Roman"/>
        </w:rPr>
        <w:t>の</w:t>
      </w:r>
      <w:r w:rsidR="00904AD9" w:rsidRPr="00E66B0E">
        <w:rPr>
          <w:rFonts w:ascii="Times New Roman" w:hAnsi="Times New Roman" w:cs="Times New Roman"/>
        </w:rPr>
        <w:t>概念・算出方法を確認．</w:t>
      </w:r>
    </w:p>
    <w:p w14:paraId="1D597492" w14:textId="77777777" w:rsidR="00DC206B" w:rsidRPr="00E66B0E" w:rsidRDefault="00DC206B" w:rsidP="00CA44AB">
      <w:pPr>
        <w:rPr>
          <w:rFonts w:ascii="Times New Roman" w:hAnsi="Times New Roman" w:cs="Times New Roman"/>
          <w:i/>
        </w:rPr>
      </w:pPr>
    </w:p>
    <w:p w14:paraId="0AD3C433" w14:textId="32D28E91" w:rsidR="00CA44AB" w:rsidRPr="00E66B0E" w:rsidRDefault="00CB7D62" w:rsidP="00CB7D62">
      <w:pPr>
        <w:pStyle w:val="1"/>
        <w:rPr>
          <w:rFonts w:cs="Times New Roman"/>
        </w:rPr>
      </w:pPr>
      <w:r w:rsidRPr="00E66B0E">
        <w:rPr>
          <w:rFonts w:cs="Times New Roman"/>
        </w:rPr>
        <w:t xml:space="preserve">　リスク指標</w:t>
      </w:r>
    </w:p>
    <w:tbl>
      <w:tblPr>
        <w:tblStyle w:val="ab"/>
        <w:tblW w:w="0" w:type="auto"/>
        <w:tblLook w:val="04A0" w:firstRow="1" w:lastRow="0" w:firstColumn="1" w:lastColumn="0" w:noHBand="0" w:noVBand="1"/>
      </w:tblPr>
      <w:tblGrid>
        <w:gridCol w:w="1959"/>
        <w:gridCol w:w="426"/>
        <w:gridCol w:w="7351"/>
      </w:tblGrid>
      <w:tr w:rsidR="007249CC" w:rsidRPr="00E66B0E" w14:paraId="4D41E90C" w14:textId="77777777" w:rsidTr="00AB645B">
        <w:tc>
          <w:tcPr>
            <w:tcW w:w="1959" w:type="dxa"/>
            <w:vAlign w:val="center"/>
          </w:tcPr>
          <w:p w14:paraId="66767191" w14:textId="2A27F1EA" w:rsidR="007249CC" w:rsidRPr="00E66B0E" w:rsidRDefault="007249CC" w:rsidP="00DC0B45">
            <w:pPr>
              <w:pStyle w:val="a7"/>
              <w:numPr>
                <w:ilvl w:val="0"/>
                <w:numId w:val="8"/>
              </w:numPr>
              <w:ind w:leftChars="0"/>
              <w:rPr>
                <w:rFonts w:ascii="Times New Roman" w:hAnsi="Times New Roman" w:cs="Times New Roman"/>
              </w:rPr>
            </w:pPr>
            <w:r w:rsidRPr="00E66B0E">
              <w:rPr>
                <w:rFonts w:ascii="Times New Roman" w:hAnsi="Times New Roman" w:cs="Times New Roman"/>
              </w:rPr>
              <w:t>リスク感応度</w:t>
            </w:r>
          </w:p>
        </w:tc>
        <w:tc>
          <w:tcPr>
            <w:tcW w:w="426" w:type="dxa"/>
            <w:vAlign w:val="center"/>
          </w:tcPr>
          <w:p w14:paraId="2BE14AD0" w14:textId="1C7C6C39" w:rsidR="007249CC" w:rsidRPr="00E66B0E" w:rsidRDefault="007249CC" w:rsidP="00016BF7">
            <w:pPr>
              <w:jc w:val="center"/>
              <w:rPr>
                <w:rFonts w:ascii="Times New Roman" w:hAnsi="Times New Roman" w:cs="Times New Roman"/>
              </w:rPr>
            </w:pPr>
            <w:r w:rsidRPr="00E66B0E">
              <w:rPr>
                <w:rFonts w:ascii="Times New Roman" w:hAnsi="Times New Roman" w:cs="Times New Roman"/>
              </w:rPr>
              <w:t>：</w:t>
            </w:r>
          </w:p>
        </w:tc>
        <w:tc>
          <w:tcPr>
            <w:tcW w:w="7351" w:type="dxa"/>
          </w:tcPr>
          <w:p w14:paraId="68EFA961" w14:textId="16467737" w:rsidR="007249CC" w:rsidRPr="00E66B0E" w:rsidRDefault="00B03C1D" w:rsidP="00CB7D62">
            <w:pPr>
              <w:rPr>
                <w:rFonts w:ascii="Times New Roman" w:hAnsi="Times New Roman" w:cs="Times New Roman"/>
              </w:rPr>
            </w:pPr>
            <w:r w:rsidRPr="00E66B0E">
              <w:rPr>
                <w:rFonts w:ascii="Times New Roman" w:hAnsi="Times New Roman" w:cs="Times New Roman"/>
              </w:rPr>
              <w:t>規準となる経済指標や市場指標（市場金利，為替レート，株価指数など）が</w:t>
            </w:r>
            <w:r w:rsidRPr="00E66B0E">
              <w:rPr>
                <w:rFonts w:ascii="Times New Roman" w:hAnsi="Times New Roman" w:cs="Times New Roman"/>
              </w:rPr>
              <w:t>1</w:t>
            </w:r>
            <w:r w:rsidRPr="00E66B0E">
              <w:rPr>
                <w:rFonts w:ascii="Times New Roman" w:hAnsi="Times New Roman" w:cs="Times New Roman"/>
              </w:rPr>
              <w:t>単位</w:t>
            </w:r>
            <w:r w:rsidR="00016BF7" w:rsidRPr="00E66B0E">
              <w:rPr>
                <w:rFonts w:ascii="Times New Roman" w:hAnsi="Times New Roman" w:cs="Times New Roman"/>
              </w:rPr>
              <w:t>変動すると，ポートフォリオの収益がどれくらい変動するか示した値．</w:t>
            </w:r>
          </w:p>
        </w:tc>
      </w:tr>
      <w:tr w:rsidR="007249CC" w:rsidRPr="00E66B0E" w14:paraId="406B9D49" w14:textId="77777777" w:rsidTr="00AB645B">
        <w:tc>
          <w:tcPr>
            <w:tcW w:w="1959" w:type="dxa"/>
            <w:vAlign w:val="center"/>
          </w:tcPr>
          <w:p w14:paraId="74964008" w14:textId="4DD88C1C" w:rsidR="007249CC" w:rsidRPr="00E66B0E" w:rsidRDefault="007249CC" w:rsidP="00DC0B45">
            <w:pPr>
              <w:pStyle w:val="a7"/>
              <w:numPr>
                <w:ilvl w:val="0"/>
                <w:numId w:val="8"/>
              </w:numPr>
              <w:ind w:leftChars="0" w:rightChars="-49" w:right="-103"/>
              <w:rPr>
                <w:rFonts w:ascii="Times New Roman" w:hAnsi="Times New Roman" w:cs="Times New Roman"/>
              </w:rPr>
            </w:pPr>
            <w:r w:rsidRPr="00E66B0E">
              <w:rPr>
                <w:rFonts w:ascii="Times New Roman" w:hAnsi="Times New Roman" w:cs="Times New Roman"/>
              </w:rPr>
              <w:t>ボラティリティ</w:t>
            </w:r>
          </w:p>
        </w:tc>
        <w:tc>
          <w:tcPr>
            <w:tcW w:w="426" w:type="dxa"/>
            <w:vAlign w:val="center"/>
          </w:tcPr>
          <w:p w14:paraId="07E83D85" w14:textId="6C508ABD" w:rsidR="007249CC" w:rsidRPr="00E66B0E" w:rsidRDefault="007249CC" w:rsidP="00016BF7">
            <w:pPr>
              <w:jc w:val="center"/>
              <w:rPr>
                <w:rFonts w:ascii="Times New Roman" w:hAnsi="Times New Roman" w:cs="Times New Roman"/>
              </w:rPr>
            </w:pPr>
            <w:r w:rsidRPr="00E66B0E">
              <w:rPr>
                <w:rFonts w:ascii="Times New Roman" w:hAnsi="Times New Roman" w:cs="Times New Roman"/>
              </w:rPr>
              <w:t>：</w:t>
            </w:r>
          </w:p>
        </w:tc>
        <w:tc>
          <w:tcPr>
            <w:tcW w:w="7351" w:type="dxa"/>
          </w:tcPr>
          <w:p w14:paraId="43236878" w14:textId="0134E188" w:rsidR="00016BF7" w:rsidRPr="00E66B0E" w:rsidRDefault="00016BF7" w:rsidP="00CB7D62">
            <w:pPr>
              <w:rPr>
                <w:rFonts w:ascii="Times New Roman" w:hAnsi="Times New Roman" w:cs="Times New Roman"/>
              </w:rPr>
            </w:pPr>
            <w:r w:rsidRPr="00E66B0E">
              <w:rPr>
                <w:rFonts w:ascii="Times New Roman" w:hAnsi="Times New Roman" w:cs="Times New Roman"/>
              </w:rPr>
              <w:t>将来の収益率分布の標準偏差もしくは分布．</w:t>
            </w:r>
          </w:p>
        </w:tc>
      </w:tr>
      <w:tr w:rsidR="007249CC" w:rsidRPr="00E66B0E" w14:paraId="1B2A6671" w14:textId="77777777" w:rsidTr="00AB645B">
        <w:tc>
          <w:tcPr>
            <w:tcW w:w="1959" w:type="dxa"/>
            <w:vAlign w:val="center"/>
          </w:tcPr>
          <w:p w14:paraId="7B7DBD40" w14:textId="5C72545B" w:rsidR="007249CC" w:rsidRPr="00E66B0E" w:rsidRDefault="007249CC" w:rsidP="00DC0B45">
            <w:pPr>
              <w:pStyle w:val="a7"/>
              <w:numPr>
                <w:ilvl w:val="0"/>
                <w:numId w:val="8"/>
              </w:numPr>
              <w:ind w:leftChars="0"/>
              <w:rPr>
                <w:rFonts w:ascii="Times New Roman" w:hAnsi="Times New Roman" w:cs="Times New Roman"/>
              </w:rPr>
            </w:pPr>
            <w:r w:rsidRPr="00E66B0E">
              <w:rPr>
                <w:rFonts w:ascii="Times New Roman" w:hAnsi="Times New Roman" w:cs="Times New Roman"/>
              </w:rPr>
              <w:t>下方リスク</w:t>
            </w:r>
          </w:p>
        </w:tc>
        <w:tc>
          <w:tcPr>
            <w:tcW w:w="426" w:type="dxa"/>
            <w:vAlign w:val="center"/>
          </w:tcPr>
          <w:p w14:paraId="0246257A" w14:textId="68E7722A" w:rsidR="007249CC" w:rsidRPr="00E66B0E" w:rsidRDefault="007249CC" w:rsidP="00016BF7">
            <w:pPr>
              <w:jc w:val="center"/>
              <w:rPr>
                <w:rFonts w:ascii="Times New Roman" w:hAnsi="Times New Roman" w:cs="Times New Roman"/>
              </w:rPr>
            </w:pPr>
            <w:r w:rsidRPr="00E66B0E">
              <w:rPr>
                <w:rFonts w:ascii="Times New Roman" w:hAnsi="Times New Roman" w:cs="Times New Roman"/>
              </w:rPr>
              <w:t>：</w:t>
            </w:r>
          </w:p>
        </w:tc>
        <w:tc>
          <w:tcPr>
            <w:tcW w:w="7351" w:type="dxa"/>
          </w:tcPr>
          <w:p w14:paraId="21D2483F" w14:textId="5C0292F2" w:rsidR="007249CC" w:rsidRPr="00E66B0E" w:rsidRDefault="00016BF7" w:rsidP="00CB7D62">
            <w:pPr>
              <w:rPr>
                <w:rFonts w:ascii="Times New Roman" w:hAnsi="Times New Roman" w:cs="Times New Roman"/>
              </w:rPr>
            </w:pPr>
            <w:r w:rsidRPr="00E66B0E">
              <w:rPr>
                <w:rFonts w:ascii="Times New Roman" w:hAnsi="Times New Roman" w:cs="Times New Roman"/>
              </w:rPr>
              <w:t>将来の収益率分布の下方部分にだけ注目し，最悪どれくらいの損益が出るかを示した値．</w:t>
            </w:r>
          </w:p>
        </w:tc>
      </w:tr>
    </w:tbl>
    <w:p w14:paraId="5E34D93A" w14:textId="794CB1A0" w:rsidR="00CB7D62" w:rsidRPr="00E66B0E" w:rsidRDefault="00CB7D62" w:rsidP="00CB7D62">
      <w:pPr>
        <w:rPr>
          <w:rFonts w:ascii="Times New Roman" w:hAnsi="Times New Roman" w:cs="Times New Roman"/>
        </w:rPr>
      </w:pPr>
    </w:p>
    <w:p w14:paraId="0E473D97" w14:textId="173EFD52" w:rsidR="00CA7A4C" w:rsidRPr="00E66B0E" w:rsidRDefault="00CA7A4C" w:rsidP="00CA7A4C">
      <w:pPr>
        <w:pStyle w:val="2"/>
        <w:rPr>
          <w:rFonts w:ascii="Times New Roman" w:hAnsi="Times New Roman" w:cs="Times New Roman"/>
        </w:rPr>
      </w:pPr>
      <w:r w:rsidRPr="00E66B0E">
        <w:rPr>
          <w:rFonts w:ascii="Times New Roman" w:hAnsi="Times New Roman" w:cs="Times New Roman"/>
        </w:rPr>
        <w:t xml:space="preserve">　リスク感応度</w:t>
      </w:r>
    </w:p>
    <w:p w14:paraId="7834D90C" w14:textId="0C76B0FE" w:rsidR="00CA7A4C" w:rsidRPr="00E66B0E" w:rsidRDefault="00147C2A" w:rsidP="00CA7A4C">
      <w:pPr>
        <w:rPr>
          <w:rFonts w:ascii="Times New Roman" w:hAnsi="Times New Roman" w:cs="Times New Roman"/>
        </w:rPr>
      </w:pPr>
      <w:r w:rsidRPr="00E66B0E">
        <w:rPr>
          <w:rFonts w:ascii="Times New Roman" w:hAnsi="Times New Roman" w:cs="Times New Roman"/>
        </w:rPr>
        <w:t>ある市場指標とポートフォリオ価値との間に，線形の関係が想定されたとする．</w:t>
      </w:r>
    </w:p>
    <w:p w14:paraId="1F8E4C15" w14:textId="5A1550DF" w:rsidR="00304DC8" w:rsidRPr="00E66B0E" w:rsidRDefault="007A5FCD" w:rsidP="00304DC8">
      <w:pPr>
        <w:rPr>
          <w:rFonts w:ascii="Times New Roman" w:hAnsi="Times New Roman" w:cs="Times New Roman"/>
        </w:rPr>
      </w:pPr>
      <w:r w:rsidRPr="00E66B0E">
        <w:rPr>
          <w:rFonts w:ascii="Times New Roman" w:hAnsi="Times New Roman" w:cs="Times New Roman"/>
        </w:rPr>
        <w:t>【リスク感応度】</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4D6AF6" w:rsidRPr="00E66B0E" w14:paraId="7FDB760A" w14:textId="77777777" w:rsidTr="009B65ED">
        <w:tc>
          <w:tcPr>
            <w:tcW w:w="8075" w:type="dxa"/>
          </w:tcPr>
          <w:p w14:paraId="34400D60" w14:textId="42E8F376" w:rsidR="004D6AF6" w:rsidRPr="00E66B0E" w:rsidRDefault="004D6AF6" w:rsidP="00CA7A4C">
            <w:pPr>
              <w:rPr>
                <w:rFonts w:ascii="Times New Roman" w:hAnsi="Times New Roman" w:cs="Times New Roman"/>
              </w:rPr>
            </w:pPr>
            <m:oMathPara>
              <m:oMath>
                <m:r>
                  <w:rPr>
                    <w:rFonts w:ascii="Cambria Math" w:hAnsi="Cambria Math" w:cs="Times New Roman"/>
                  </w:rPr>
                  <m:t>E=</m:t>
                </m:r>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P</m:t>
                    </m:r>
                  </m:num>
                  <m:den>
                    <m:r>
                      <m:rPr>
                        <m:sty m:val="p"/>
                      </m:rPr>
                      <w:rPr>
                        <w:rFonts w:ascii="Cambria Math" w:hAnsi="Cambria Math" w:cs="Times New Roman"/>
                      </w:rPr>
                      <m:t>Δ</m:t>
                    </m:r>
                    <m:r>
                      <w:rPr>
                        <w:rFonts w:ascii="Cambria Math" w:hAnsi="Cambria Math" w:cs="Times New Roman"/>
                      </w:rPr>
                      <m:t>x</m:t>
                    </m:r>
                  </m:den>
                </m:f>
              </m:oMath>
            </m:oMathPara>
          </w:p>
        </w:tc>
        <w:tc>
          <w:tcPr>
            <w:tcW w:w="1661" w:type="dxa"/>
            <w:vAlign w:val="center"/>
          </w:tcPr>
          <w:p w14:paraId="184DE874" w14:textId="39B6D7F7" w:rsidR="004D6AF6" w:rsidRPr="00E66B0E" w:rsidRDefault="00304DC8" w:rsidP="00304DC8">
            <w:pPr>
              <w:jc w:val="center"/>
              <w:rPr>
                <w:rFonts w:ascii="Times New Roman" w:hAnsi="Times New Roman" w:cs="Times New Roman"/>
                <w:b/>
                <w:bCs/>
              </w:rPr>
            </w:pPr>
            <w:r w:rsidRPr="00E66B0E">
              <w:rPr>
                <w:rFonts w:ascii="Times New Roman" w:hAnsi="Times New Roman" w:cs="Times New Roman"/>
                <w:b/>
                <w:bCs/>
              </w:rPr>
              <w:t>(</w:t>
            </w:r>
            <w:r w:rsidR="004F70F7" w:rsidRPr="00E66B0E">
              <w:rPr>
                <w:rFonts w:ascii="Times New Roman" w:hAnsi="Times New Roman" w:cs="Times New Roman"/>
                <w:b/>
                <w:bCs/>
              </w:rPr>
              <w:fldChar w:fldCharType="begin"/>
            </w:r>
            <w:r w:rsidR="004F70F7" w:rsidRPr="00E66B0E">
              <w:rPr>
                <w:rFonts w:ascii="Times New Roman" w:hAnsi="Times New Roman" w:cs="Times New Roman"/>
                <w:b/>
                <w:bCs/>
              </w:rPr>
              <w:instrText xml:space="preserve"> STYLEREF 1 \s </w:instrText>
            </w:r>
            <w:r w:rsidR="004F70F7" w:rsidRPr="00E66B0E">
              <w:rPr>
                <w:rFonts w:ascii="Times New Roman" w:hAnsi="Times New Roman" w:cs="Times New Roman"/>
                <w:b/>
                <w:bCs/>
              </w:rPr>
              <w:fldChar w:fldCharType="separate"/>
            </w:r>
            <w:r w:rsidR="004F70F7" w:rsidRPr="00E66B0E">
              <w:rPr>
                <w:rFonts w:ascii="Times New Roman" w:hAnsi="Times New Roman" w:cs="Times New Roman"/>
                <w:b/>
                <w:bCs/>
                <w:noProof/>
              </w:rPr>
              <w:t>1</w:t>
            </w:r>
            <w:r w:rsidR="004F70F7" w:rsidRPr="00E66B0E">
              <w:rPr>
                <w:rFonts w:ascii="Times New Roman" w:hAnsi="Times New Roman" w:cs="Times New Roman"/>
                <w:b/>
                <w:bCs/>
              </w:rPr>
              <w:fldChar w:fldCharType="end"/>
            </w:r>
            <w:r w:rsidR="004F70F7" w:rsidRPr="00E66B0E">
              <w:rPr>
                <w:rFonts w:ascii="Times New Roman" w:hAnsi="Times New Roman" w:cs="Times New Roman"/>
                <w:b/>
                <w:bCs/>
              </w:rPr>
              <w:noBreakHyphen/>
            </w:r>
            <w:r w:rsidR="004F70F7" w:rsidRPr="00E66B0E">
              <w:rPr>
                <w:rFonts w:ascii="Times New Roman" w:hAnsi="Times New Roman" w:cs="Times New Roman"/>
                <w:b/>
                <w:bCs/>
              </w:rPr>
              <w:fldChar w:fldCharType="begin"/>
            </w:r>
            <w:r w:rsidR="004F70F7" w:rsidRPr="00E66B0E">
              <w:rPr>
                <w:rFonts w:ascii="Times New Roman" w:hAnsi="Times New Roman" w:cs="Times New Roman"/>
                <w:b/>
                <w:bCs/>
              </w:rPr>
              <w:instrText xml:space="preserve"> SEQ Equation \* ARABIC \s 1 </w:instrText>
            </w:r>
            <w:r w:rsidR="004F70F7" w:rsidRPr="00E66B0E">
              <w:rPr>
                <w:rFonts w:ascii="Times New Roman" w:hAnsi="Times New Roman" w:cs="Times New Roman"/>
                <w:b/>
                <w:bCs/>
              </w:rPr>
              <w:fldChar w:fldCharType="separate"/>
            </w:r>
            <w:r w:rsidR="004F70F7" w:rsidRPr="00E66B0E">
              <w:rPr>
                <w:rFonts w:ascii="Times New Roman" w:hAnsi="Times New Roman" w:cs="Times New Roman"/>
                <w:b/>
                <w:bCs/>
                <w:noProof/>
              </w:rPr>
              <w:t>1</w:t>
            </w:r>
            <w:r w:rsidR="004F70F7" w:rsidRPr="00E66B0E">
              <w:rPr>
                <w:rFonts w:ascii="Times New Roman" w:hAnsi="Times New Roman" w:cs="Times New Roman"/>
                <w:b/>
                <w:bCs/>
              </w:rPr>
              <w:fldChar w:fldCharType="end"/>
            </w:r>
            <w:r w:rsidRPr="00E66B0E">
              <w:rPr>
                <w:rFonts w:ascii="Times New Roman" w:hAnsi="Times New Roman" w:cs="Times New Roman"/>
                <w:b/>
                <w:bCs/>
              </w:rPr>
              <w:t>)</w:t>
            </w:r>
          </w:p>
        </w:tc>
      </w:tr>
    </w:tbl>
    <w:p w14:paraId="4A98EE69" w14:textId="376624DD" w:rsidR="007A5FCD" w:rsidRPr="00E66B0E" w:rsidRDefault="007A5FCD" w:rsidP="00CA7A4C">
      <w:pPr>
        <w:rPr>
          <w:rFonts w:ascii="Times New Roman" w:hAnsi="Times New Roman" w:cs="Times New Roman"/>
        </w:rPr>
      </w:pPr>
    </w:p>
    <w:tbl>
      <w:tblPr>
        <w:tblStyle w:val="ab"/>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6"/>
        <w:gridCol w:w="4819"/>
      </w:tblGrid>
      <w:tr w:rsidR="009F39DB" w:rsidRPr="00E66B0E" w14:paraId="2DFF8351" w14:textId="77777777" w:rsidTr="009B65ED">
        <w:tc>
          <w:tcPr>
            <w:tcW w:w="851" w:type="dxa"/>
          </w:tcPr>
          <w:p w14:paraId="1699F2E0" w14:textId="31048357" w:rsidR="009F39DB" w:rsidRPr="00E66B0E" w:rsidRDefault="009F39DB" w:rsidP="009F39DB">
            <w:pPr>
              <w:ind w:leftChars="14" w:left="29"/>
              <w:rPr>
                <w:rFonts w:ascii="Times New Roman" w:hAnsi="Times New Roman" w:cs="Times New Roman"/>
              </w:rPr>
            </w:pPr>
            <m:oMathPara>
              <m:oMath>
                <m:r>
                  <w:rPr>
                    <w:rFonts w:ascii="Cambria Math" w:hAnsi="Cambria Math" w:cs="Times New Roman"/>
                  </w:rPr>
                  <m:t>E</m:t>
                </m:r>
              </m:oMath>
            </m:oMathPara>
          </w:p>
        </w:tc>
        <w:tc>
          <w:tcPr>
            <w:tcW w:w="426" w:type="dxa"/>
          </w:tcPr>
          <w:p w14:paraId="2B0743E8" w14:textId="3875CF70" w:rsidR="009F39DB" w:rsidRPr="00E66B0E" w:rsidRDefault="009F39DB" w:rsidP="00CA7A4C">
            <w:pPr>
              <w:rPr>
                <w:rFonts w:ascii="Times New Roman" w:hAnsi="Times New Roman" w:cs="Times New Roman"/>
              </w:rPr>
            </w:pPr>
            <w:r w:rsidRPr="00E66B0E">
              <w:rPr>
                <w:rFonts w:ascii="Times New Roman" w:hAnsi="Times New Roman" w:cs="Times New Roman"/>
              </w:rPr>
              <w:t>：</w:t>
            </w:r>
          </w:p>
        </w:tc>
        <w:tc>
          <w:tcPr>
            <w:tcW w:w="4819" w:type="dxa"/>
          </w:tcPr>
          <w:p w14:paraId="50C4EE87" w14:textId="146F8CDF" w:rsidR="009F39DB" w:rsidRPr="00E66B0E" w:rsidRDefault="009F39DB" w:rsidP="00CA7A4C">
            <w:pPr>
              <w:rPr>
                <w:rFonts w:ascii="Times New Roman" w:hAnsi="Times New Roman" w:cs="Times New Roman"/>
              </w:rPr>
            </w:pPr>
            <w:r w:rsidRPr="00E66B0E">
              <w:rPr>
                <w:rFonts w:ascii="Times New Roman" w:hAnsi="Times New Roman" w:cs="Times New Roman"/>
              </w:rPr>
              <w:t>リスク感応度</w:t>
            </w:r>
          </w:p>
        </w:tc>
      </w:tr>
      <w:tr w:rsidR="009F39DB" w:rsidRPr="00E66B0E" w14:paraId="5EA0A6EF" w14:textId="77777777" w:rsidTr="009B65ED">
        <w:tc>
          <w:tcPr>
            <w:tcW w:w="851" w:type="dxa"/>
          </w:tcPr>
          <w:p w14:paraId="3E5D7ED6" w14:textId="7CDEC782" w:rsidR="009F39DB" w:rsidRPr="00E66B0E" w:rsidRDefault="009F39DB" w:rsidP="00CA7A4C">
            <w:pPr>
              <w:rPr>
                <w:rFonts w:ascii="Times New Roman" w:hAnsi="Times New Roman" w:cs="Times New Roman"/>
              </w:rPr>
            </w:pPr>
            <m:oMathPara>
              <m:oMath>
                <m:r>
                  <w:rPr>
                    <w:rFonts w:ascii="Cambria Math" w:hAnsi="Cambria Math" w:cs="Times New Roman"/>
                  </w:rPr>
                  <m:t>P</m:t>
                </m:r>
              </m:oMath>
            </m:oMathPara>
          </w:p>
        </w:tc>
        <w:tc>
          <w:tcPr>
            <w:tcW w:w="426" w:type="dxa"/>
          </w:tcPr>
          <w:p w14:paraId="23D7AB5D" w14:textId="1AA3D6CE" w:rsidR="009F39DB" w:rsidRPr="00E66B0E" w:rsidRDefault="009F39DB" w:rsidP="00CA7A4C">
            <w:pPr>
              <w:rPr>
                <w:rFonts w:ascii="Times New Roman" w:hAnsi="Times New Roman" w:cs="Times New Roman"/>
              </w:rPr>
            </w:pPr>
            <w:r w:rsidRPr="00E66B0E">
              <w:rPr>
                <w:rFonts w:ascii="Times New Roman" w:hAnsi="Times New Roman" w:cs="Times New Roman"/>
              </w:rPr>
              <w:t>：</w:t>
            </w:r>
          </w:p>
        </w:tc>
        <w:tc>
          <w:tcPr>
            <w:tcW w:w="4819" w:type="dxa"/>
          </w:tcPr>
          <w:p w14:paraId="23D5DD89" w14:textId="60488329" w:rsidR="009F39DB" w:rsidRPr="00E66B0E" w:rsidRDefault="009F39DB" w:rsidP="00CA7A4C">
            <w:pPr>
              <w:rPr>
                <w:rFonts w:ascii="Times New Roman" w:hAnsi="Times New Roman" w:cs="Times New Roman"/>
              </w:rPr>
            </w:pPr>
            <w:r w:rsidRPr="00E66B0E">
              <w:rPr>
                <w:rFonts w:ascii="Times New Roman" w:hAnsi="Times New Roman" w:cs="Times New Roman"/>
              </w:rPr>
              <w:t>ポートフォリオの価値</w:t>
            </w:r>
          </w:p>
        </w:tc>
      </w:tr>
      <w:tr w:rsidR="009F39DB" w:rsidRPr="00E66B0E" w14:paraId="02DB230E" w14:textId="77777777" w:rsidTr="009B65ED">
        <w:tc>
          <w:tcPr>
            <w:tcW w:w="851" w:type="dxa"/>
          </w:tcPr>
          <w:p w14:paraId="54311AAE" w14:textId="06BA56AD" w:rsidR="009F39DB" w:rsidRPr="00E66B0E" w:rsidRDefault="009F39DB" w:rsidP="00CA7A4C">
            <w:pPr>
              <w:rPr>
                <w:rFonts w:ascii="Times New Roman" w:hAnsi="Times New Roman" w:cs="Times New Roman"/>
              </w:rPr>
            </w:pPr>
            <m:oMathPara>
              <m:oMath>
                <m:r>
                  <w:rPr>
                    <w:rFonts w:ascii="Cambria Math" w:hAnsi="Cambria Math" w:cs="Times New Roman"/>
                  </w:rPr>
                  <m:t>x</m:t>
                </m:r>
              </m:oMath>
            </m:oMathPara>
          </w:p>
        </w:tc>
        <w:tc>
          <w:tcPr>
            <w:tcW w:w="426" w:type="dxa"/>
          </w:tcPr>
          <w:p w14:paraId="7AD968B6" w14:textId="1A744B85" w:rsidR="009F39DB" w:rsidRPr="00E66B0E" w:rsidRDefault="009F39DB" w:rsidP="00CA7A4C">
            <w:pPr>
              <w:rPr>
                <w:rFonts w:ascii="Times New Roman" w:hAnsi="Times New Roman" w:cs="Times New Roman"/>
              </w:rPr>
            </w:pPr>
            <w:r w:rsidRPr="00E66B0E">
              <w:rPr>
                <w:rFonts w:ascii="Times New Roman" w:hAnsi="Times New Roman" w:cs="Times New Roman"/>
              </w:rPr>
              <w:t>：</w:t>
            </w:r>
          </w:p>
        </w:tc>
        <w:tc>
          <w:tcPr>
            <w:tcW w:w="4819" w:type="dxa"/>
          </w:tcPr>
          <w:p w14:paraId="019316B7" w14:textId="7E90FEE1" w:rsidR="009F39DB" w:rsidRPr="00E66B0E" w:rsidRDefault="009F39DB" w:rsidP="00CA7A4C">
            <w:pPr>
              <w:rPr>
                <w:rFonts w:ascii="Times New Roman" w:hAnsi="Times New Roman" w:cs="Times New Roman"/>
              </w:rPr>
            </w:pPr>
            <w:r w:rsidRPr="00E66B0E">
              <w:rPr>
                <w:rFonts w:ascii="Times New Roman" w:hAnsi="Times New Roman" w:cs="Times New Roman"/>
              </w:rPr>
              <w:t>市場指標</w:t>
            </w:r>
            <w:r w:rsidR="00C5060F" w:rsidRPr="00E66B0E">
              <w:rPr>
                <w:rFonts w:ascii="Times New Roman" w:hAnsi="Times New Roman" w:cs="Times New Roman"/>
              </w:rPr>
              <w:t>（金利，株式インデックス等）</w:t>
            </w:r>
          </w:p>
        </w:tc>
      </w:tr>
    </w:tbl>
    <w:p w14:paraId="64A10335" w14:textId="5F1A0265" w:rsidR="009F39DB" w:rsidRPr="00E66B0E" w:rsidRDefault="009F39DB" w:rsidP="00CA7A4C">
      <w:pPr>
        <w:rPr>
          <w:rFonts w:ascii="Times New Roman" w:hAnsi="Times New Roman" w:cs="Times New Roman"/>
        </w:rPr>
      </w:pPr>
    </w:p>
    <w:p w14:paraId="03DAD734" w14:textId="30A3BEE5" w:rsidR="009B65ED" w:rsidRPr="00E66B0E" w:rsidRDefault="00BD6600" w:rsidP="00CA7A4C">
      <w:pPr>
        <w:rPr>
          <w:rFonts w:ascii="Times New Roman" w:hAnsi="Times New Roman" w:cs="Times New Roman"/>
        </w:rPr>
      </w:pPr>
      <w:r w:rsidRPr="00E66B0E">
        <w:rPr>
          <w:rFonts w:ascii="Times New Roman" w:hAnsi="Times New Roman" w:cs="Times New Roman"/>
        </w:rPr>
        <w:t>リスク感応度をデータから求めるときは，</w:t>
      </w:r>
      <w:r w:rsidR="000E4EFC" w:rsidRPr="00E66B0E">
        <w:rPr>
          <w:rFonts w:ascii="Times New Roman" w:hAnsi="Times New Roman" w:cs="Times New Roman"/>
        </w:rPr>
        <w:t>線形分析により求める．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4424C3" w:rsidRPr="00E66B0E" w14:paraId="273D2A93" w14:textId="77777777" w:rsidTr="00CB7896">
        <w:tc>
          <w:tcPr>
            <w:tcW w:w="8075" w:type="dxa"/>
          </w:tcPr>
          <w:p w14:paraId="4C56B551" w14:textId="561AD68D" w:rsidR="00D85A77" w:rsidRPr="00E66B0E" w:rsidRDefault="00D85A77" w:rsidP="0059240A">
            <w:pPr>
              <w:rPr>
                <w:rFonts w:ascii="Times New Roman" w:hAnsi="Times New Roman" w:cs="Times New Roman"/>
              </w:rPr>
            </w:pPr>
            <m:oMathPara>
              <m:oMath>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P</m:t>
                    </m:r>
                  </m:e>
                  <m:sub>
                    <m:r>
                      <w:rPr>
                        <w:rFonts w:ascii="Cambria Math" w:hAnsi="Cambria Math" w:cs="Times New Roman"/>
                      </w:rPr>
                      <m:t>t</m:t>
                    </m:r>
                  </m:sub>
                </m:sSub>
                <m:r>
                  <w:rPr>
                    <w:rFonts w:ascii="Cambria Math" w:hAnsi="Cambria Math" w:cs="Times New Roman"/>
                  </w:rPr>
                  <m:t>=E</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tc>
        <w:tc>
          <w:tcPr>
            <w:tcW w:w="1661" w:type="dxa"/>
            <w:vAlign w:val="center"/>
          </w:tcPr>
          <w:p w14:paraId="3576BCFE" w14:textId="51CB0B8C" w:rsidR="004424C3" w:rsidRPr="00E66B0E" w:rsidRDefault="00CB7896" w:rsidP="00CB7896">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1</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424C3" w:rsidRPr="00E66B0E">
              <w:rPr>
                <w:rFonts w:ascii="Times New Roman" w:hAnsi="Times New Roman" w:cs="Times New Roman"/>
              </w:rPr>
              <w:t>)</w:t>
            </w:r>
          </w:p>
        </w:tc>
      </w:tr>
    </w:tbl>
    <w:p w14:paraId="3CA423D4" w14:textId="26EBE816" w:rsidR="0070488E" w:rsidRPr="00E66B0E" w:rsidRDefault="000E4EFC" w:rsidP="004424C3">
      <w:pPr>
        <w:rPr>
          <w:rFonts w:ascii="Times New Roman" w:hAnsi="Times New Roman" w:cs="Times New Roman"/>
        </w:rPr>
      </w:pPr>
      <w:r w:rsidRPr="00E66B0E">
        <w:rPr>
          <w:rFonts w:ascii="Times New Roman" w:hAnsi="Times New Roman" w:cs="Times New Roman"/>
        </w:rPr>
        <w:t>ただし，</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00C1403E" w:rsidRPr="00E66B0E">
        <w:rPr>
          <w:rFonts w:ascii="Times New Roman" w:hAnsi="Times New Roman" w:cs="Times New Roman"/>
        </w:rPr>
        <w:t>，</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70488E" w:rsidRPr="00E66B0E">
        <w:rPr>
          <w:rFonts w:ascii="Times New Roman" w:hAnsi="Times New Roman" w:cs="Times New Roman"/>
        </w:rPr>
        <w:t>は</w:t>
      </w:r>
      <m:oMath>
        <m:r>
          <w:rPr>
            <w:rFonts w:ascii="Cambria Math" w:hAnsi="Cambria Math" w:cs="Times New Roman"/>
          </w:rPr>
          <m:t>t</m:t>
        </m:r>
      </m:oMath>
      <w:r w:rsidR="0070488E" w:rsidRPr="00E66B0E">
        <w:rPr>
          <w:rFonts w:ascii="Times New Roman" w:hAnsi="Times New Roman" w:cs="Times New Roman"/>
        </w:rPr>
        <w:t>におけるそれぞれの変化量，</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3B73F2" w:rsidRPr="00E66B0E">
        <w:rPr>
          <w:rFonts w:ascii="Times New Roman" w:hAnsi="Times New Roman" w:cs="Times New Roman"/>
        </w:rPr>
        <w:t>は回帰分析の誤差項を表す．</w:t>
      </w:r>
    </w:p>
    <w:p w14:paraId="4333594D" w14:textId="44C70B59" w:rsidR="003B73F2" w:rsidRDefault="00140778" w:rsidP="0014077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220EFAB" wp14:editId="1302701E">
            <wp:extent cx="4561429" cy="2829715"/>
            <wp:effectExtent l="0" t="0" r="0" b="8890"/>
            <wp:docPr id="9" name="図 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ダイアグラム&#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2589" cy="2842842"/>
                    </a:xfrm>
                    <a:prstGeom prst="rect">
                      <a:avLst/>
                    </a:prstGeom>
                  </pic:spPr>
                </pic:pic>
              </a:graphicData>
            </a:graphic>
          </wp:inline>
        </w:drawing>
      </w:r>
    </w:p>
    <w:p w14:paraId="230B3FBB" w14:textId="1BF56242" w:rsidR="00140778" w:rsidRDefault="00140778" w:rsidP="00140778">
      <w:pPr>
        <w:jc w:val="center"/>
      </w:pPr>
      <w:r>
        <w:t xml:space="preserve">図 </w:t>
      </w:r>
      <w:fldSimple w:instr=" STYLEREF 1 \s ">
        <w:r>
          <w:rPr>
            <w:noProof/>
          </w:rPr>
          <w:t>1</w:t>
        </w:r>
      </w:fldSimple>
      <w:r>
        <w:noBreakHyphen/>
      </w:r>
      <w:fldSimple w:instr=" SEQ 図 \* ARABIC \s 1 ">
        <w:r>
          <w:rPr>
            <w:noProof/>
          </w:rPr>
          <w:t>1</w:t>
        </w:r>
      </w:fldSimple>
      <w:r>
        <w:rPr>
          <w:rFonts w:hint="eastAsia"/>
        </w:rPr>
        <w:t xml:space="preserve">　感応度（デルタ）とポートフォリオ分布の関係</w:t>
      </w:r>
    </w:p>
    <w:p w14:paraId="2FC7386C" w14:textId="77777777" w:rsidR="009F707A" w:rsidRDefault="009F707A" w:rsidP="00140778">
      <w:pPr>
        <w:jc w:val="center"/>
        <w:rPr>
          <w:rFonts w:ascii="Times New Roman" w:hAnsi="Times New Roman" w:cs="Times New Roman"/>
        </w:rPr>
      </w:pPr>
    </w:p>
    <w:p w14:paraId="24D9B413" w14:textId="05980822" w:rsidR="003B73F2" w:rsidRPr="00E66B0E" w:rsidRDefault="00C47CAC" w:rsidP="00C47CAC">
      <w:pPr>
        <w:pStyle w:val="2"/>
        <w:rPr>
          <w:rFonts w:ascii="Times New Roman" w:hAnsi="Times New Roman" w:cs="Times New Roman"/>
        </w:rPr>
      </w:pPr>
      <w:r w:rsidRPr="00E66B0E">
        <w:rPr>
          <w:rFonts w:ascii="Times New Roman" w:hAnsi="Times New Roman" w:cs="Times New Roman"/>
        </w:rPr>
        <w:t xml:space="preserve">　</w:t>
      </w:r>
      <w:r w:rsidR="00FB1828" w:rsidRPr="00E66B0E">
        <w:rPr>
          <w:rFonts w:ascii="Times New Roman" w:hAnsi="Times New Roman" w:cs="Times New Roman"/>
        </w:rPr>
        <w:t>ボラティリティ</w:t>
      </w:r>
    </w:p>
    <w:p w14:paraId="07178444" w14:textId="50901655" w:rsidR="00AE0426" w:rsidRPr="00E66B0E" w:rsidRDefault="00FB1828" w:rsidP="00FB1828">
      <w:pPr>
        <w:rPr>
          <w:rFonts w:ascii="Times New Roman" w:hAnsi="Times New Roman" w:cs="Times New Roman"/>
        </w:rPr>
      </w:pPr>
      <w:r w:rsidRPr="00E66B0E">
        <w:rPr>
          <w:rFonts w:ascii="Times New Roman" w:hAnsi="Times New Roman" w:cs="Times New Roman"/>
        </w:rPr>
        <w:t>ボラティリティは過去のデータより簡単に計測できる．</w:t>
      </w:r>
      <w:r w:rsidR="00AE0426" w:rsidRPr="00E66B0E">
        <w:rPr>
          <w:rFonts w:ascii="Times New Roman" w:hAnsi="Times New Roman" w:cs="Times New Roman"/>
        </w:rPr>
        <w:t>また，過去のデータより算出されたボラティリティを</w:t>
      </w:r>
      <w:r w:rsidR="00AE0426" w:rsidRPr="00E66B0E">
        <w:rPr>
          <w:rFonts w:ascii="Times New Roman" w:hAnsi="Times New Roman" w:cs="Times New Roman"/>
          <w:color w:val="FF0000"/>
        </w:rPr>
        <w:t>ヒストリカル</w:t>
      </w:r>
      <w:r w:rsidR="00851669" w:rsidRPr="00E66B0E">
        <w:rPr>
          <w:rFonts w:ascii="Times New Roman" w:hAnsi="Times New Roman" w:cs="Times New Roman"/>
          <w:color w:val="FF0000"/>
        </w:rPr>
        <w:t>・</w:t>
      </w:r>
      <w:r w:rsidR="00AE0426" w:rsidRPr="00E66B0E">
        <w:rPr>
          <w:rFonts w:ascii="Times New Roman" w:hAnsi="Times New Roman" w:cs="Times New Roman"/>
          <w:color w:val="FF0000"/>
        </w:rPr>
        <w:t>ボラティリティ</w:t>
      </w:r>
      <m:oMath>
        <m:r>
          <w:rPr>
            <w:rStyle w:val="af"/>
            <w:rFonts w:ascii="Cambria Math" w:hAnsi="Cambria Math" w:cs="Times New Roman"/>
            <w:i/>
          </w:rPr>
          <w:footnoteReference w:id="2"/>
        </m:r>
      </m:oMath>
      <w:r w:rsidR="00AE0426" w:rsidRPr="00E66B0E">
        <w:rPr>
          <w:rFonts w:ascii="Times New Roman" w:hAnsi="Times New Roman" w:cs="Times New Roman"/>
        </w:rPr>
        <w:t>という．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851669" w:rsidRPr="00E66B0E" w14:paraId="0EBED6F1" w14:textId="77777777" w:rsidTr="00EA068A">
        <w:tc>
          <w:tcPr>
            <w:tcW w:w="8075" w:type="dxa"/>
          </w:tcPr>
          <w:p w14:paraId="6CF852B8" w14:textId="5DB2406D" w:rsidR="00851669" w:rsidRPr="00E66B0E" w:rsidRDefault="00851669" w:rsidP="0059240A">
            <w:pPr>
              <w:rPr>
                <w:rFonts w:ascii="Times New Roman"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T-1</m:t>
                            </m:r>
                          </m:den>
                        </m:f>
                      </m:e>
                    </m:nary>
                  </m:e>
                </m:rad>
                <m:r>
                  <w:rPr>
                    <w:rFonts w:ascii="Cambria Math" w:hAnsi="Cambria Math" w:cs="Times New Roman"/>
                  </w:rPr>
                  <m:t xml:space="preserve"> </m:t>
                </m:r>
              </m:oMath>
            </m:oMathPara>
          </w:p>
        </w:tc>
        <w:tc>
          <w:tcPr>
            <w:tcW w:w="1661" w:type="dxa"/>
            <w:vAlign w:val="center"/>
          </w:tcPr>
          <w:p w14:paraId="0D8A53D5" w14:textId="1715382D" w:rsidR="00851669" w:rsidRPr="00E66B0E" w:rsidRDefault="00206BA9" w:rsidP="00140778">
            <w:pPr>
              <w:pStyle w:val="ac"/>
              <w:keepNext/>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1</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3</w:t>
            </w:r>
            <w:r w:rsidR="004F70F7" w:rsidRPr="00E66B0E">
              <w:rPr>
                <w:rFonts w:ascii="Times New Roman" w:hAnsi="Times New Roman" w:cs="Times New Roman"/>
              </w:rPr>
              <w:fldChar w:fldCharType="end"/>
            </w:r>
            <w:r w:rsidRPr="00E66B0E">
              <w:rPr>
                <w:rFonts w:ascii="Times New Roman" w:hAnsi="Times New Roman" w:cs="Times New Roman"/>
              </w:rPr>
              <w:t>)</w:t>
            </w:r>
          </w:p>
        </w:tc>
      </w:tr>
    </w:tbl>
    <w:p w14:paraId="7C904667" w14:textId="40765464" w:rsidR="00851669" w:rsidRPr="00E66B0E" w:rsidRDefault="00851669" w:rsidP="00140778">
      <w:pPr>
        <w:pStyle w:val="ac"/>
        <w:rPr>
          <w:rFonts w:ascii="Times New Roman" w:hAnsi="Times New Roman" w:cs="Times New Roman"/>
        </w:rPr>
      </w:pPr>
    </w:p>
    <w:tbl>
      <w:tblPr>
        <w:tblStyle w:val="ab"/>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6"/>
        <w:gridCol w:w="4819"/>
      </w:tblGrid>
      <w:tr w:rsidR="00206BA9" w:rsidRPr="00E66B0E" w14:paraId="74963054" w14:textId="77777777" w:rsidTr="0059240A">
        <w:tc>
          <w:tcPr>
            <w:tcW w:w="851" w:type="dxa"/>
          </w:tcPr>
          <w:p w14:paraId="0D3A2EEB" w14:textId="27330364" w:rsidR="00206BA9" w:rsidRPr="00E66B0E" w:rsidRDefault="00675E28" w:rsidP="0059240A">
            <w:pPr>
              <w:ind w:leftChars="14" w:left="29"/>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m:oMathPara>
          </w:p>
        </w:tc>
        <w:tc>
          <w:tcPr>
            <w:tcW w:w="426" w:type="dxa"/>
          </w:tcPr>
          <w:p w14:paraId="0C269F6D" w14:textId="77777777" w:rsidR="00206BA9" w:rsidRPr="00E66B0E" w:rsidRDefault="00206BA9" w:rsidP="0059240A">
            <w:pPr>
              <w:rPr>
                <w:rFonts w:ascii="Times New Roman" w:hAnsi="Times New Roman" w:cs="Times New Roman"/>
              </w:rPr>
            </w:pPr>
            <w:r w:rsidRPr="00E66B0E">
              <w:rPr>
                <w:rFonts w:ascii="Times New Roman" w:hAnsi="Times New Roman" w:cs="Times New Roman"/>
              </w:rPr>
              <w:t>：</w:t>
            </w:r>
          </w:p>
        </w:tc>
        <w:tc>
          <w:tcPr>
            <w:tcW w:w="4819" w:type="dxa"/>
          </w:tcPr>
          <w:p w14:paraId="40BED8F6" w14:textId="0C5FB26F" w:rsidR="00206BA9" w:rsidRPr="00E66B0E" w:rsidRDefault="00DA4722" w:rsidP="0059240A">
            <w:pPr>
              <w:rPr>
                <w:rFonts w:ascii="Times New Roman" w:hAnsi="Times New Roman" w:cs="Times New Roman"/>
              </w:rPr>
            </w:pPr>
            <w:r w:rsidRPr="00E66B0E">
              <w:rPr>
                <w:rFonts w:ascii="Times New Roman" w:hAnsi="Times New Roman" w:cs="Times New Roman"/>
              </w:rPr>
              <w:t>データ（証券価格，収益率，マーケット指標など）</w:t>
            </w:r>
          </w:p>
        </w:tc>
      </w:tr>
      <w:tr w:rsidR="00206BA9" w:rsidRPr="00E66B0E" w14:paraId="06C23466" w14:textId="77777777" w:rsidTr="0059240A">
        <w:tc>
          <w:tcPr>
            <w:tcW w:w="851" w:type="dxa"/>
          </w:tcPr>
          <w:p w14:paraId="40C8F3FC" w14:textId="47F219C6" w:rsidR="00206BA9" w:rsidRPr="00E66B0E" w:rsidRDefault="00DA4722" w:rsidP="0059240A">
            <w:pPr>
              <w:rPr>
                <w:rFonts w:ascii="Times New Roman" w:hAnsi="Times New Roman" w:cs="Times New Roman"/>
              </w:rPr>
            </w:pPr>
            <m:oMathPara>
              <m:oMath>
                <m:r>
                  <w:rPr>
                    <w:rFonts w:ascii="Cambria Math" w:hAnsi="Cambria Math" w:cs="Times New Roman"/>
                  </w:rPr>
                  <m:t>T</m:t>
                </m:r>
              </m:oMath>
            </m:oMathPara>
          </w:p>
        </w:tc>
        <w:tc>
          <w:tcPr>
            <w:tcW w:w="426" w:type="dxa"/>
          </w:tcPr>
          <w:p w14:paraId="7844F2EB" w14:textId="77777777" w:rsidR="00206BA9" w:rsidRPr="00E66B0E" w:rsidRDefault="00206BA9" w:rsidP="0059240A">
            <w:pPr>
              <w:rPr>
                <w:rFonts w:ascii="Times New Roman" w:hAnsi="Times New Roman" w:cs="Times New Roman"/>
              </w:rPr>
            </w:pPr>
            <w:r w:rsidRPr="00E66B0E">
              <w:rPr>
                <w:rFonts w:ascii="Times New Roman" w:hAnsi="Times New Roman" w:cs="Times New Roman"/>
              </w:rPr>
              <w:t>：</w:t>
            </w:r>
          </w:p>
        </w:tc>
        <w:tc>
          <w:tcPr>
            <w:tcW w:w="4819" w:type="dxa"/>
          </w:tcPr>
          <w:p w14:paraId="0828228D" w14:textId="3E245EB5" w:rsidR="00206BA9" w:rsidRPr="00E66B0E" w:rsidRDefault="00C7407C" w:rsidP="0059240A">
            <w:pPr>
              <w:rPr>
                <w:rFonts w:ascii="Times New Roman" w:hAnsi="Times New Roman" w:cs="Times New Roman"/>
              </w:rPr>
            </w:pPr>
            <w:r w:rsidRPr="00E66B0E">
              <w:rPr>
                <w:rFonts w:ascii="Times New Roman" w:hAnsi="Times New Roman" w:cs="Times New Roman"/>
              </w:rPr>
              <w:t>データの採取期間</w:t>
            </w:r>
            <w:r w:rsidR="002A7B05" w:rsidRPr="00E66B0E">
              <w:rPr>
                <w:rFonts w:ascii="Times New Roman" w:hAnsi="Times New Roman" w:cs="Times New Roman"/>
              </w:rPr>
              <w:t>（観測期間）</w:t>
            </w:r>
          </w:p>
        </w:tc>
      </w:tr>
      <w:tr w:rsidR="00206BA9" w:rsidRPr="00E66B0E" w14:paraId="354663E1" w14:textId="77777777" w:rsidTr="0059240A">
        <w:tc>
          <w:tcPr>
            <w:tcW w:w="851" w:type="dxa"/>
          </w:tcPr>
          <w:p w14:paraId="6360D0DE" w14:textId="4E125DB2" w:rsidR="00206BA9" w:rsidRPr="00E66B0E" w:rsidRDefault="00675E28" w:rsidP="0059240A">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oMath>
            </m:oMathPara>
          </w:p>
        </w:tc>
        <w:tc>
          <w:tcPr>
            <w:tcW w:w="426" w:type="dxa"/>
          </w:tcPr>
          <w:p w14:paraId="1439CE1C" w14:textId="77777777" w:rsidR="00206BA9" w:rsidRPr="00E66B0E" w:rsidRDefault="00206BA9" w:rsidP="0059240A">
            <w:pPr>
              <w:rPr>
                <w:rFonts w:ascii="Times New Roman" w:hAnsi="Times New Roman" w:cs="Times New Roman"/>
              </w:rPr>
            </w:pPr>
            <w:r w:rsidRPr="00E66B0E">
              <w:rPr>
                <w:rFonts w:ascii="Times New Roman" w:hAnsi="Times New Roman" w:cs="Times New Roman"/>
              </w:rPr>
              <w:t>：</w:t>
            </w:r>
          </w:p>
        </w:tc>
        <w:tc>
          <w:tcPr>
            <w:tcW w:w="4819" w:type="dxa"/>
          </w:tcPr>
          <w:p w14:paraId="08A4CC83" w14:textId="40FE1409" w:rsidR="00206BA9" w:rsidRPr="00E66B0E" w:rsidRDefault="00C7407C" w:rsidP="0059240A">
            <w:pPr>
              <w:rPr>
                <w:rFonts w:ascii="Times New Roman" w:hAnsi="Times New Roman" w:cs="Times New Roman"/>
              </w:rPr>
            </w:pPr>
            <w:r w:rsidRPr="00E66B0E">
              <w:rPr>
                <w:rFonts w:ascii="Times New Roman" w:hAnsi="Times New Roman" w:cs="Times New Roman"/>
              </w:rPr>
              <w:t>データの平均</w:t>
            </w:r>
            <m:oMath>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num>
                    <m:den>
                      <m:r>
                        <w:rPr>
                          <w:rFonts w:ascii="Cambria Math" w:hAnsi="Cambria Math" w:cs="Times New Roman"/>
                        </w:rPr>
                        <m:t>T</m:t>
                      </m:r>
                    </m:den>
                  </m:f>
                </m:e>
              </m:nary>
            </m:oMath>
          </w:p>
        </w:tc>
      </w:tr>
    </w:tbl>
    <w:p w14:paraId="0F9D1DF1" w14:textId="05689C8A" w:rsidR="00851669" w:rsidRPr="00E66B0E" w:rsidRDefault="00804172" w:rsidP="00FB1828">
      <w:pPr>
        <w:rPr>
          <w:rFonts w:ascii="Times New Roman" w:hAnsi="Times New Roman" w:cs="Times New Roman"/>
        </w:rPr>
      </w:pPr>
      <m:oMath>
        <m:r>
          <w:rPr>
            <w:rFonts w:ascii="Cambria Math" w:hAnsi="Cambria Math" w:cs="Times New Roman"/>
          </w:rPr>
          <m:t>t</m:t>
        </m:r>
      </m:oMath>
      <w:r w:rsidRPr="00E66B0E">
        <w:rPr>
          <w:rFonts w:ascii="Times New Roman" w:hAnsi="Times New Roman" w:cs="Times New Roman"/>
        </w:rPr>
        <w:t>の長さを</w:t>
      </w:r>
      <w:r w:rsidRPr="00E66B0E">
        <w:rPr>
          <w:rFonts w:ascii="Times New Roman" w:hAnsi="Times New Roman" w:cs="Times New Roman"/>
          <w:color w:val="FF0000"/>
        </w:rPr>
        <w:t>投資ホライズン</w:t>
      </w:r>
      <w:r w:rsidRPr="00E66B0E">
        <w:rPr>
          <w:rFonts w:ascii="Times New Roman" w:hAnsi="Times New Roman" w:cs="Times New Roman"/>
        </w:rPr>
        <w:t>または</w:t>
      </w:r>
      <w:r w:rsidRPr="00E66B0E">
        <w:rPr>
          <w:rFonts w:ascii="Times New Roman" w:hAnsi="Times New Roman" w:cs="Times New Roman"/>
          <w:color w:val="FF0000"/>
        </w:rPr>
        <w:t>保有期間</w:t>
      </w:r>
      <w:r w:rsidRPr="00E66B0E">
        <w:rPr>
          <w:rFonts w:ascii="Times New Roman" w:hAnsi="Times New Roman" w:cs="Times New Roman"/>
        </w:rPr>
        <w:t>という．</w:t>
      </w:r>
    </w:p>
    <w:p w14:paraId="194A0EE3" w14:textId="4F3A1CEE" w:rsidR="007723FB" w:rsidRPr="00E66B0E" w:rsidRDefault="007723FB" w:rsidP="007723FB">
      <w:pPr>
        <w:pStyle w:val="2"/>
        <w:rPr>
          <w:rFonts w:ascii="Times New Roman" w:hAnsi="Times New Roman" w:cs="Times New Roman"/>
        </w:rPr>
      </w:pPr>
      <w:r w:rsidRPr="00E66B0E">
        <w:rPr>
          <w:rFonts w:ascii="Times New Roman" w:hAnsi="Times New Roman" w:cs="Times New Roman"/>
        </w:rPr>
        <w:t xml:space="preserve">　下方リスク</w:t>
      </w:r>
    </w:p>
    <w:p w14:paraId="0374AAE9" w14:textId="6611293D" w:rsidR="007723FB" w:rsidRPr="00E66B0E" w:rsidRDefault="000E6598" w:rsidP="007723FB">
      <w:pPr>
        <w:rPr>
          <w:rFonts w:ascii="Times New Roman" w:hAnsi="Times New Roman" w:cs="Times New Roman"/>
        </w:rPr>
      </w:pPr>
      <w:r w:rsidRPr="00E66B0E">
        <w:rPr>
          <w:rFonts w:ascii="Times New Roman" w:hAnsi="Times New Roman" w:cs="Times New Roman"/>
        </w:rPr>
        <w:t>下方リスク</w:t>
      </w:r>
      <w:r w:rsidR="001E0D30" w:rsidRPr="00E66B0E">
        <w:rPr>
          <w:rFonts w:ascii="Times New Roman" w:hAnsi="Times New Roman" w:cs="Times New Roman"/>
        </w:rPr>
        <w:t>は</w:t>
      </w:r>
      <w:r w:rsidR="001E0D30" w:rsidRPr="00E66B0E">
        <w:rPr>
          <w:rFonts w:ascii="Times New Roman" w:hAnsi="Times New Roman" w:cs="Times New Roman"/>
        </w:rPr>
        <w:t>2</w:t>
      </w:r>
      <w:r w:rsidR="001E0D30" w:rsidRPr="00E66B0E">
        <w:rPr>
          <w:rFonts w:ascii="Times New Roman" w:hAnsi="Times New Roman" w:cs="Times New Roman"/>
        </w:rPr>
        <w:t>つの要素から構成される．</w:t>
      </w:r>
    </w:p>
    <w:p w14:paraId="3B68047E" w14:textId="262F2E9B" w:rsidR="001E0D30" w:rsidRPr="00E66B0E" w:rsidRDefault="001E0D30" w:rsidP="001E0D30">
      <w:pPr>
        <w:pStyle w:val="a7"/>
        <w:numPr>
          <w:ilvl w:val="0"/>
          <w:numId w:val="9"/>
        </w:numPr>
        <w:ind w:leftChars="0"/>
        <w:rPr>
          <w:rFonts w:ascii="Times New Roman" w:hAnsi="Times New Roman" w:cs="Times New Roman"/>
          <w:b/>
          <w:bCs/>
        </w:rPr>
      </w:pPr>
      <w:r w:rsidRPr="00E66B0E">
        <w:rPr>
          <w:rFonts w:ascii="Times New Roman" w:hAnsi="Times New Roman" w:cs="Times New Roman"/>
          <w:b/>
          <w:bCs/>
        </w:rPr>
        <w:t>将来の不確実性に対応した確率分布</w:t>
      </w:r>
    </w:p>
    <w:p w14:paraId="5C4223F9" w14:textId="6F96E351" w:rsidR="00140778" w:rsidRPr="00C97A0F" w:rsidRDefault="00800533" w:rsidP="00140778">
      <w:pPr>
        <w:pStyle w:val="a7"/>
        <w:numPr>
          <w:ilvl w:val="0"/>
          <w:numId w:val="9"/>
        </w:numPr>
        <w:ind w:leftChars="0"/>
        <w:rPr>
          <w:rFonts w:ascii="Times New Roman" w:hAnsi="Times New Roman" w:cs="Times New Roman"/>
        </w:rPr>
      </w:pPr>
      <w:r w:rsidRPr="00E66B0E">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77B081E" wp14:editId="575D5E72">
                <wp:simplePos x="0" y="0"/>
                <wp:positionH relativeFrom="column">
                  <wp:posOffset>1198880</wp:posOffset>
                </wp:positionH>
                <wp:positionV relativeFrom="paragraph">
                  <wp:posOffset>2599055</wp:posOffset>
                </wp:positionV>
                <wp:extent cx="365125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3651250" cy="635"/>
                        </a:xfrm>
                        <a:prstGeom prst="rect">
                          <a:avLst/>
                        </a:prstGeom>
                        <a:solidFill>
                          <a:prstClr val="white"/>
                        </a:solidFill>
                        <a:ln>
                          <a:noFill/>
                        </a:ln>
                      </wps:spPr>
                      <wps:txbx>
                        <w:txbxContent>
                          <w:p w14:paraId="78EFFD0C" w14:textId="0D737727" w:rsidR="00AE0EAC" w:rsidRPr="00AE0EAC" w:rsidRDefault="00AE0EAC" w:rsidP="004D7C5A">
                            <w:pPr>
                              <w:pStyle w:val="ac"/>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B081E" id="_x0000_t202" coordsize="21600,21600" o:spt="202" path="m,l,21600r21600,l21600,xe">
                <v:stroke joinstyle="miter"/>
                <v:path gradientshapeok="t" o:connecttype="rect"/>
              </v:shapetype>
              <v:shape id="テキスト ボックス 1" o:spid="_x0000_s1026" type="#_x0000_t202" style="position:absolute;left:0;text-align:left;margin-left:94.4pt;margin-top:204.65pt;width:28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" stroked="f">
                <v:textbox style="mso-fit-shape-to-text:t" inset="0,0,0,0">
                  <w:txbxContent>
                    <w:p w14:paraId="78EFFD0C" w14:textId="0D737727" w:rsidR="00AE0EAC" w:rsidRPr="00AE0EAC" w:rsidRDefault="00AE0EAC" w:rsidP="004D7C5A">
                      <w:pPr>
                        <w:pStyle w:val="ac"/>
                      </w:pPr>
                    </w:p>
                  </w:txbxContent>
                </v:textbox>
                <w10:wrap type="topAndBottom"/>
              </v:shape>
            </w:pict>
          </mc:Fallback>
        </mc:AlternateContent>
      </w:r>
      <w:r w:rsidR="009873FF" w:rsidRPr="00E66B0E">
        <w:rPr>
          <w:rFonts w:ascii="Times New Roman" w:hAnsi="Times New Roman" w:cs="Times New Roman"/>
          <w:b/>
          <w:bCs/>
        </w:rPr>
        <w:t>損失の発生確率</w:t>
      </w:r>
    </w:p>
    <w:p w14:paraId="0A9B9011" w14:textId="01365485" w:rsidR="00C97A0F" w:rsidRPr="00140778" w:rsidRDefault="00C97A0F" w:rsidP="00C97A0F">
      <w:pPr>
        <w:pStyle w:val="a7"/>
        <w:ind w:leftChars="0" w:left="420"/>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1C552CFD" wp14:editId="06818C56">
            <wp:extent cx="3742169" cy="2368325"/>
            <wp:effectExtent l="0" t="0" r="0" b="0"/>
            <wp:docPr id="10" name="図 10"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728" cy="2373742"/>
                    </a:xfrm>
                    <a:prstGeom prst="rect">
                      <a:avLst/>
                    </a:prstGeom>
                  </pic:spPr>
                </pic:pic>
              </a:graphicData>
            </a:graphic>
          </wp:inline>
        </w:drawing>
      </w:r>
    </w:p>
    <w:p w14:paraId="20D366E5" w14:textId="1C80BAE6" w:rsidR="001838C4" w:rsidRPr="001838C4" w:rsidRDefault="001838C4" w:rsidP="001838C4">
      <w:pPr>
        <w:jc w:val="center"/>
        <w:rPr>
          <w:rFonts w:ascii="Times New Roman" w:hAnsi="Times New Roman" w:cs="Times New Roman"/>
        </w:rPr>
      </w:pPr>
      <w:r>
        <w:t xml:space="preserve">図 </w:t>
      </w:r>
      <w:fldSimple w:instr=" STYLEREF 1 \s ">
        <w:r>
          <w:rPr>
            <w:noProof/>
          </w:rPr>
          <w:t>1</w:t>
        </w:r>
      </w:fldSimple>
      <w:r>
        <w:noBreakHyphen/>
      </w:r>
      <w:fldSimple w:instr=" SEQ 図 \* ARABIC \s 1 ">
        <w:r>
          <w:rPr>
            <w:noProof/>
          </w:rPr>
          <w:t>2</w:t>
        </w:r>
      </w:fldSimple>
      <w:r>
        <w:rPr>
          <w:rFonts w:hint="eastAsia"/>
        </w:rPr>
        <w:t xml:space="preserve">　下方リスクについて</w:t>
      </w:r>
      <w:r>
        <w:t>_</w:t>
      </w:r>
      <w:r>
        <w:rPr>
          <w:rFonts w:hint="eastAsia"/>
        </w:rPr>
        <w:t>出典：山下（2000）</w:t>
      </w:r>
    </w:p>
    <w:p w14:paraId="332EADEF" w14:textId="77777777" w:rsidR="001838C4" w:rsidRPr="001838C4" w:rsidRDefault="001838C4" w:rsidP="009873FF">
      <w:pPr>
        <w:rPr>
          <w:rFonts w:ascii="Times New Roman" w:hAnsi="Times New Roman" w:cs="Times New Roman"/>
        </w:rPr>
      </w:pPr>
    </w:p>
    <w:p w14:paraId="14E1AE4C" w14:textId="712F0062" w:rsidR="00CF1424" w:rsidRPr="00E66B0E" w:rsidRDefault="00ED1458" w:rsidP="009873FF">
      <w:pPr>
        <w:rPr>
          <w:rFonts w:ascii="Times New Roman" w:hAnsi="Times New Roman" w:cs="Times New Roman"/>
        </w:rPr>
      </w:pPr>
      <w:r w:rsidRPr="00E66B0E">
        <w:rPr>
          <w:rFonts w:ascii="Times New Roman" w:hAnsi="Times New Roman" w:cs="Times New Roman"/>
        </w:rPr>
        <w:t>2</w:t>
      </w:r>
      <w:r w:rsidRPr="00E66B0E">
        <w:rPr>
          <w:rFonts w:ascii="Times New Roman" w:hAnsi="Times New Roman" w:cs="Times New Roman"/>
        </w:rPr>
        <w:t>つの要素が与えられたとき，</w:t>
      </w:r>
      <w:r w:rsidR="00CF1424" w:rsidRPr="00E66B0E">
        <w:rPr>
          <w:rFonts w:ascii="Times New Roman" w:hAnsi="Times New Roman" w:cs="Times New Roman"/>
        </w:rPr>
        <w:t>損失確率に相当する損失額が計算され</w:t>
      </w:r>
      <w:r w:rsidR="001922D0" w:rsidRPr="00E66B0E">
        <w:rPr>
          <w:rFonts w:ascii="Times New Roman" w:hAnsi="Times New Roman" w:cs="Times New Roman"/>
        </w:rPr>
        <w:t>，下方リスクはこの損失額のことを言う．</w:t>
      </w:r>
    </w:p>
    <w:p w14:paraId="4C2E6661" w14:textId="66C8284E" w:rsidR="00C7735F" w:rsidRPr="004D7C5A" w:rsidRDefault="00C7735F" w:rsidP="009873FF">
      <w:pPr>
        <w:rPr>
          <w:rFonts w:ascii="Times New Roman" w:hAnsi="Times New Roman" w:cs="Times New Roman"/>
        </w:rPr>
      </w:pPr>
    </w:p>
    <w:p w14:paraId="27BF3205" w14:textId="1F90408B" w:rsidR="001922D0" w:rsidRPr="00E66B0E" w:rsidRDefault="00F10644" w:rsidP="00F10644">
      <w:pPr>
        <w:pStyle w:val="1"/>
        <w:rPr>
          <w:rFonts w:cs="Times New Roman"/>
        </w:rPr>
      </w:pPr>
      <w:r w:rsidRPr="00E66B0E">
        <w:rPr>
          <w:rFonts w:cs="Times New Roman"/>
        </w:rPr>
        <w:t xml:space="preserve">　</w:t>
      </w:r>
      <w:proofErr w:type="spellStart"/>
      <w:r w:rsidRPr="00E66B0E">
        <w:rPr>
          <w:rFonts w:cs="Times New Roman"/>
        </w:rPr>
        <w:t>VaR</w:t>
      </w:r>
      <w:proofErr w:type="spellEnd"/>
      <w:r w:rsidRPr="00E66B0E">
        <w:rPr>
          <w:rFonts w:cs="Times New Roman"/>
        </w:rPr>
        <w:t>の概念と定義</w:t>
      </w:r>
    </w:p>
    <w:p w14:paraId="2089D764" w14:textId="3001C663" w:rsidR="00A961CC" w:rsidRPr="00E66B0E" w:rsidRDefault="00494EC7" w:rsidP="00A961CC">
      <w:pPr>
        <w:pStyle w:val="2"/>
        <w:rPr>
          <w:rFonts w:ascii="Times New Roman" w:hAnsi="Times New Roman" w:cs="Times New Roman"/>
        </w:rPr>
      </w:pPr>
      <w:r w:rsidRPr="00E66B0E">
        <w:rPr>
          <w:rFonts w:ascii="Times New Roman" w:hAnsi="Times New Roman" w:cs="Times New Roman"/>
        </w:rPr>
        <w:t xml:space="preserve">　</w:t>
      </w:r>
      <w:proofErr w:type="spellStart"/>
      <w:r w:rsidR="00A961CC" w:rsidRPr="00E66B0E">
        <w:rPr>
          <w:rFonts w:ascii="Times New Roman" w:hAnsi="Times New Roman" w:cs="Times New Roman"/>
        </w:rPr>
        <w:t>VaR</w:t>
      </w:r>
      <w:proofErr w:type="spellEnd"/>
      <w:r w:rsidR="00A961CC" w:rsidRPr="00E66B0E">
        <w:rPr>
          <w:rFonts w:ascii="Times New Roman" w:hAnsi="Times New Roman" w:cs="Times New Roman"/>
        </w:rPr>
        <w:t>の基本概念</w:t>
      </w:r>
    </w:p>
    <w:p w14:paraId="259D524C" w14:textId="04D7D035" w:rsidR="00F10644" w:rsidRPr="00E66B0E" w:rsidRDefault="00B5059C" w:rsidP="00F10644">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リスクを一言で表現すると『</w:t>
      </w:r>
      <w:r w:rsidRPr="00E66B0E">
        <w:rPr>
          <w:rFonts w:ascii="Times New Roman" w:hAnsi="Times New Roman" w:cs="Times New Roman"/>
          <w:color w:val="FF0000"/>
        </w:rPr>
        <w:t>ある一定の確率で起こりうる将来の損失額の最大値</w:t>
      </w:r>
      <w:r w:rsidRPr="00E66B0E">
        <w:rPr>
          <w:rFonts w:ascii="Times New Roman" w:hAnsi="Times New Roman" w:cs="Times New Roman"/>
        </w:rPr>
        <w:t>』．</w:t>
      </w:r>
    </w:p>
    <w:p w14:paraId="665B2D9C" w14:textId="25E5BE32" w:rsidR="00B5059C" w:rsidRPr="00E66B0E" w:rsidRDefault="00D40E97" w:rsidP="00F10644">
      <w:pPr>
        <w:rPr>
          <w:rFonts w:ascii="Times New Roman" w:hAnsi="Times New Roman" w:cs="Times New Roman"/>
        </w:rPr>
      </w:pPr>
      <w:r w:rsidRPr="00E66B0E">
        <w:rPr>
          <w:rFonts w:ascii="Times New Roman" w:hAnsi="Times New Roman" w:cs="Times New Roman"/>
        </w:rPr>
        <w:t>↓</w:t>
      </w:r>
      <w:r w:rsidRPr="00E66B0E">
        <w:rPr>
          <w:rFonts w:ascii="Times New Roman" w:hAnsi="Times New Roman" w:cs="Times New Roman"/>
        </w:rPr>
        <w:t xml:space="preserve">　より厳密に定義すると</w:t>
      </w:r>
    </w:p>
    <w:p w14:paraId="4A73DF5F" w14:textId="07705B34" w:rsidR="00D40E97" w:rsidRPr="00E66B0E" w:rsidRDefault="00D40E97" w:rsidP="0086719C">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rPr>
      </w:pPr>
      <w:r w:rsidRPr="00E66B0E">
        <w:rPr>
          <w:rFonts w:ascii="Times New Roman" w:hAnsi="Times New Roman" w:cs="Times New Roman"/>
        </w:rPr>
        <w:t>今後，</w:t>
      </w:r>
      <w:r w:rsidR="00AD76CF" w:rsidRPr="00E66B0E">
        <w:rPr>
          <w:rFonts w:ascii="Times New Roman" w:hAnsi="Times New Roman" w:cs="Times New Roman"/>
        </w:rPr>
        <w:t>将来の特定の期間内（保有期間）に，ある一定の確率の範囲内（信頼水準）で，ポートフォリオの現在価値がどの程度まで損失を被るか（損失</w:t>
      </w:r>
      <w:r w:rsidR="00343619" w:rsidRPr="00E66B0E">
        <w:rPr>
          <w:rFonts w:ascii="Times New Roman" w:hAnsi="Times New Roman" w:cs="Times New Roman"/>
        </w:rPr>
        <w:t>値の最大値</w:t>
      </w:r>
      <w:r w:rsidR="00AD76CF" w:rsidRPr="00E66B0E">
        <w:rPr>
          <w:rFonts w:ascii="Times New Roman" w:hAnsi="Times New Roman" w:cs="Times New Roman"/>
        </w:rPr>
        <w:t>）</w:t>
      </w:r>
      <w:r w:rsidR="00343619" w:rsidRPr="00E66B0E">
        <w:rPr>
          <w:rFonts w:ascii="Times New Roman" w:hAnsi="Times New Roman" w:cs="Times New Roman"/>
        </w:rPr>
        <w:t>を，</w:t>
      </w:r>
      <w:r w:rsidR="0086719C" w:rsidRPr="00E66B0E">
        <w:rPr>
          <w:rFonts w:ascii="Times New Roman" w:hAnsi="Times New Roman" w:cs="Times New Roman"/>
        </w:rPr>
        <w:t>過去のある一定期間（観測期間）のデータをもとに，理論的に算出された値．</w:t>
      </w:r>
    </w:p>
    <w:p w14:paraId="6C64E96A" w14:textId="1DBA0EBD" w:rsidR="00AD76CF" w:rsidRPr="00E66B0E" w:rsidRDefault="00AD76CF" w:rsidP="00F10644">
      <w:pPr>
        <w:rPr>
          <w:rFonts w:ascii="Times New Roman" w:hAnsi="Times New Roman" w:cs="Times New Roman"/>
        </w:rPr>
      </w:pPr>
    </w:p>
    <w:p w14:paraId="5E31E11E" w14:textId="39792AB1" w:rsidR="00A961CC" w:rsidRPr="00E66B0E" w:rsidRDefault="00A961CC" w:rsidP="00F10644">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の算出</w:t>
      </w:r>
      <w:r w:rsidR="00445B4D" w:rsidRPr="00E66B0E">
        <w:rPr>
          <w:rFonts w:ascii="Times New Roman" w:hAnsi="Times New Roman" w:cs="Times New Roman"/>
        </w:rPr>
        <w:t>方法</w:t>
      </w:r>
      <w:r w:rsidRPr="00E66B0E">
        <w:rPr>
          <w:rFonts w:ascii="Times New Roman" w:hAnsi="Times New Roman" w:cs="Times New Roman"/>
        </w:rPr>
        <w:t>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445B4D" w:rsidRPr="00E66B0E" w14:paraId="6B2BD857" w14:textId="77777777" w:rsidTr="00EA068A">
        <w:tc>
          <w:tcPr>
            <w:tcW w:w="8075" w:type="dxa"/>
          </w:tcPr>
          <w:p w14:paraId="33F6A189" w14:textId="181DBA3D" w:rsidR="00445B4D" w:rsidRPr="00E66B0E" w:rsidRDefault="00EA068A" w:rsidP="0059240A">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信頼係数</m:t>
                    </m:r>
                  </m:e>
                </m:d>
                <m:r>
                  <w:rPr>
                    <w:rFonts w:ascii="Cambria Math" w:hAnsi="Cambria Math" w:cs="Times New Roman"/>
                  </w:rPr>
                  <m:t>*</m:t>
                </m:r>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保有期間</m:t>
                        </m:r>
                      </m:e>
                    </m:d>
                  </m:e>
                </m:rad>
                <m:r>
                  <w:rPr>
                    <w:rFonts w:ascii="Cambria Math" w:hAnsi="Cambria Math" w:cs="Times New Roman"/>
                  </w:rPr>
                  <m:t>*(</m:t>
                </m:r>
                <m:r>
                  <w:rPr>
                    <w:rFonts w:ascii="Cambria Math" w:hAnsi="Cambria Math" w:cs="Times New Roman"/>
                  </w:rPr>
                  <m:t>ボラティリティ</m:t>
                </m:r>
                <m:r>
                  <w:rPr>
                    <w:rFonts w:ascii="Cambria Math" w:hAnsi="Cambria Math" w:cs="Times New Roman"/>
                  </w:rPr>
                  <m:t>)</m:t>
                </m:r>
              </m:oMath>
            </m:oMathPara>
          </w:p>
        </w:tc>
        <w:tc>
          <w:tcPr>
            <w:tcW w:w="1661" w:type="dxa"/>
            <w:vAlign w:val="center"/>
          </w:tcPr>
          <w:p w14:paraId="179FDE9D" w14:textId="71838942" w:rsidR="00445B4D" w:rsidRPr="00E66B0E" w:rsidRDefault="00EA068A" w:rsidP="00EA068A">
            <w:pPr>
              <w:pStyle w:val="ac"/>
              <w:jc w:val="center"/>
              <w:rPr>
                <w:rFonts w:ascii="Times New Roman" w:hAnsi="Times New Roman" w:cs="Times New Roman"/>
              </w:rPr>
            </w:pPr>
            <w:bookmarkStart w:id="0" w:name="_Ref59459031"/>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1</w:t>
            </w:r>
            <w:r w:rsidR="004F70F7" w:rsidRPr="00E66B0E">
              <w:rPr>
                <w:rFonts w:ascii="Times New Roman" w:hAnsi="Times New Roman" w:cs="Times New Roman"/>
              </w:rPr>
              <w:fldChar w:fldCharType="end"/>
            </w:r>
            <w:r w:rsidR="00445B4D" w:rsidRPr="00E66B0E">
              <w:rPr>
                <w:rFonts w:ascii="Times New Roman" w:hAnsi="Times New Roman" w:cs="Times New Roman"/>
              </w:rPr>
              <w:t>)</w:t>
            </w:r>
            <w:bookmarkEnd w:id="0"/>
          </w:p>
        </w:tc>
      </w:tr>
    </w:tbl>
    <w:p w14:paraId="6B53855B" w14:textId="650ED42D" w:rsidR="00A961CC" w:rsidRPr="00E66B0E" w:rsidRDefault="00E70DCF" w:rsidP="00F10644">
      <w:pPr>
        <w:rPr>
          <w:rFonts w:ascii="Times New Roman" w:hAnsi="Times New Roman" w:cs="Times New Roman"/>
        </w:rPr>
      </w:pPr>
      <w:r w:rsidRPr="00E66B0E">
        <w:rPr>
          <w:rFonts w:ascii="Times New Roman" w:hAnsi="Times New Roman" w:cs="Times New Roman"/>
        </w:rPr>
        <w:fldChar w:fldCharType="begin"/>
      </w:r>
      <w:r w:rsidRPr="00E66B0E">
        <w:rPr>
          <w:rFonts w:ascii="Times New Roman" w:hAnsi="Times New Roman" w:cs="Times New Roman"/>
        </w:rPr>
        <w:instrText xml:space="preserve"> REF _Ref59459031 \h </w:instrText>
      </w:r>
      <w:r w:rsidR="00E66B0E">
        <w:rPr>
          <w:rFonts w:ascii="Times New Roman" w:hAnsi="Times New Roman" w:cs="Times New Roman"/>
        </w:rPr>
        <w:instrText xml:space="preserve"> \* MERGEFORMAT </w:instrText>
      </w:r>
      <w:r w:rsidRPr="00E66B0E">
        <w:rPr>
          <w:rFonts w:ascii="Times New Roman" w:hAnsi="Times New Roman" w:cs="Times New Roman"/>
        </w:rPr>
      </w:r>
      <w:r w:rsidRPr="00E66B0E">
        <w:rPr>
          <w:rFonts w:ascii="Times New Roman" w:hAnsi="Times New Roman" w:cs="Times New Roman"/>
        </w:rPr>
        <w:fldChar w:fldCharType="separate"/>
      </w:r>
      <w:r w:rsidRPr="00E66B0E">
        <w:rPr>
          <w:rFonts w:ascii="Times New Roman" w:hAnsi="Times New Roman" w:cs="Times New Roman"/>
        </w:rPr>
        <w:t>(</w:t>
      </w:r>
      <w:r w:rsidRPr="00E66B0E">
        <w:rPr>
          <w:rFonts w:ascii="Times New Roman" w:hAnsi="Times New Roman" w:cs="Times New Roman"/>
          <w:noProof/>
        </w:rPr>
        <w:t>2</w:t>
      </w:r>
      <w:r w:rsidRPr="00E66B0E">
        <w:rPr>
          <w:rFonts w:ascii="Times New Roman" w:hAnsi="Times New Roman" w:cs="Times New Roman"/>
        </w:rPr>
        <w:noBreakHyphen/>
      </w:r>
      <w:r w:rsidRPr="00E66B0E">
        <w:rPr>
          <w:rFonts w:ascii="Times New Roman" w:hAnsi="Times New Roman" w:cs="Times New Roman"/>
          <w:noProof/>
        </w:rPr>
        <w:t>1</w:t>
      </w:r>
      <w:r w:rsidRPr="00E66B0E">
        <w:rPr>
          <w:rFonts w:ascii="Times New Roman" w:hAnsi="Times New Roman" w:cs="Times New Roman"/>
        </w:rPr>
        <w:t>)</w:t>
      </w:r>
      <w:r w:rsidRPr="00E66B0E">
        <w:rPr>
          <w:rFonts w:ascii="Times New Roman" w:hAnsi="Times New Roman" w:cs="Times New Roman"/>
        </w:rPr>
        <w:fldChar w:fldCharType="end"/>
      </w:r>
      <w:r w:rsidRPr="00E66B0E">
        <w:rPr>
          <w:rFonts w:ascii="Times New Roman" w:hAnsi="Times New Roman" w:cs="Times New Roman"/>
        </w:rPr>
        <w:t>式において，保有期間の平方根を乗</w:t>
      </w:r>
      <w:r w:rsidR="00FC3A37" w:rsidRPr="00E66B0E">
        <w:rPr>
          <w:rFonts w:ascii="Times New Roman" w:hAnsi="Times New Roman" w:cs="Times New Roman"/>
        </w:rPr>
        <w:t>ずるという意味は，データのサイクルに比較して，保有期間が長ければ長いほど，リスクが大きくなることを示している．</w:t>
      </w:r>
    </w:p>
    <w:p w14:paraId="2B1D2708" w14:textId="2B7ACD74" w:rsidR="0086719C" w:rsidRPr="00E66B0E" w:rsidRDefault="00494EC7" w:rsidP="00301961">
      <w:pPr>
        <w:pStyle w:val="2"/>
        <w:rPr>
          <w:rFonts w:ascii="Times New Roman" w:hAnsi="Times New Roman" w:cs="Times New Roman"/>
        </w:rPr>
      </w:pPr>
      <w:r w:rsidRPr="00E66B0E">
        <w:rPr>
          <w:rFonts w:ascii="Times New Roman" w:hAnsi="Times New Roman" w:cs="Times New Roman"/>
        </w:rPr>
        <w:t xml:space="preserve">　</w:t>
      </w:r>
      <w:proofErr w:type="spellStart"/>
      <w:r w:rsidR="00301961" w:rsidRPr="00E66B0E">
        <w:rPr>
          <w:rFonts w:ascii="Times New Roman" w:hAnsi="Times New Roman" w:cs="Times New Roman"/>
        </w:rPr>
        <w:t>VaR</w:t>
      </w:r>
      <w:proofErr w:type="spellEnd"/>
      <w:r w:rsidR="00301961" w:rsidRPr="00E66B0E">
        <w:rPr>
          <w:rFonts w:ascii="Times New Roman" w:hAnsi="Times New Roman" w:cs="Times New Roman"/>
        </w:rPr>
        <w:t>のボラティリティ</w:t>
      </w:r>
    </w:p>
    <w:p w14:paraId="6742380A" w14:textId="1EC96269" w:rsidR="00301961" w:rsidRPr="00E66B0E" w:rsidRDefault="001449D1" w:rsidP="00301961">
      <w:pPr>
        <w:rPr>
          <w:rFonts w:ascii="Times New Roman" w:hAnsi="Times New Roman" w:cs="Times New Roman"/>
        </w:rPr>
      </w:pPr>
      <w:r w:rsidRPr="00E66B0E">
        <w:rPr>
          <w:rFonts w:ascii="Times New Roman" w:hAnsi="Times New Roman" w:cs="Times New Roman"/>
        </w:rPr>
        <w:t>ボラティリティを推計するためには，過去の一定期間のデータの標準偏差を計算するのが一般的である</w:t>
      </w:r>
      <w:r w:rsidR="00F23052" w:rsidRPr="00E66B0E">
        <w:rPr>
          <w:rFonts w:ascii="Times New Roman" w:hAnsi="Times New Roman" w:cs="Times New Roman"/>
        </w:rPr>
        <w:t>．</w:t>
      </w:r>
    </w:p>
    <w:p w14:paraId="2ED11EC0" w14:textId="7541D495" w:rsidR="00EE71A9" w:rsidRPr="00E66B0E" w:rsidRDefault="00494EC7" w:rsidP="00EE71A9">
      <w:pPr>
        <w:pStyle w:val="2"/>
        <w:rPr>
          <w:rFonts w:ascii="Times New Roman" w:hAnsi="Times New Roman" w:cs="Times New Roman"/>
        </w:rPr>
      </w:pPr>
      <w:r w:rsidRPr="00E66B0E">
        <w:rPr>
          <w:rFonts w:ascii="Times New Roman" w:hAnsi="Times New Roman" w:cs="Times New Roman"/>
        </w:rPr>
        <w:t xml:space="preserve">　</w:t>
      </w:r>
      <w:r w:rsidR="00EE71A9" w:rsidRPr="00E66B0E">
        <w:rPr>
          <w:rFonts w:ascii="Times New Roman" w:hAnsi="Times New Roman" w:cs="Times New Roman"/>
        </w:rPr>
        <w:t>保有期間</w:t>
      </w:r>
    </w:p>
    <w:p w14:paraId="0D37B790" w14:textId="77777777" w:rsidR="00435B36" w:rsidRPr="00E66B0E" w:rsidRDefault="00E43160" w:rsidP="00EE71A9">
      <w:pPr>
        <w:rPr>
          <w:rFonts w:ascii="Times New Roman" w:hAnsi="Times New Roman" w:cs="Times New Roman"/>
        </w:rPr>
      </w:pPr>
      <w:r w:rsidRPr="00E66B0E">
        <w:rPr>
          <w:rFonts w:ascii="Times New Roman" w:hAnsi="Times New Roman" w:cs="Times New Roman"/>
        </w:rPr>
        <w:t>保有期間</w:t>
      </w:r>
      <w:r w:rsidRPr="00E66B0E">
        <w:rPr>
          <w:rFonts w:ascii="Times New Roman" w:hAnsi="Times New Roman" w:cs="Times New Roman"/>
        </w:rPr>
        <w:t>…</w:t>
      </w:r>
      <w:r w:rsidRPr="00E66B0E">
        <w:rPr>
          <w:rFonts w:ascii="Times New Roman" w:hAnsi="Times New Roman" w:cs="Times New Roman"/>
        </w:rPr>
        <w:t>投資ホライズンとも呼ばれ，現状のポートフォリオを解消するのに</w:t>
      </w:r>
      <w:r w:rsidR="004F18A6" w:rsidRPr="00E66B0E">
        <w:rPr>
          <w:rFonts w:ascii="Times New Roman" w:hAnsi="Times New Roman" w:cs="Times New Roman"/>
        </w:rPr>
        <w:t>必要</w:t>
      </w:r>
      <w:r w:rsidRPr="00E66B0E">
        <w:rPr>
          <w:rFonts w:ascii="Times New Roman" w:hAnsi="Times New Roman" w:cs="Times New Roman"/>
        </w:rPr>
        <w:t>な</w:t>
      </w:r>
      <w:r w:rsidR="004F18A6" w:rsidRPr="00E66B0E">
        <w:rPr>
          <w:rFonts w:ascii="Times New Roman" w:hAnsi="Times New Roman" w:cs="Times New Roman"/>
        </w:rPr>
        <w:t>時間と定義される．</w:t>
      </w:r>
      <w:r w:rsidR="005C1467" w:rsidRPr="00E66B0E">
        <w:rPr>
          <w:rFonts w:ascii="Times New Roman" w:hAnsi="Times New Roman" w:cs="Times New Roman"/>
        </w:rPr>
        <w:lastRenderedPageBreak/>
        <w:t>データが日</w:t>
      </w:r>
      <w:r w:rsidR="00DB707F" w:rsidRPr="00E66B0E">
        <w:rPr>
          <w:rFonts w:ascii="Times New Roman" w:hAnsi="Times New Roman" w:cs="Times New Roman"/>
        </w:rPr>
        <w:t>次</w:t>
      </w:r>
      <w:r w:rsidR="005C1467" w:rsidRPr="00E66B0E">
        <w:rPr>
          <w:rFonts w:ascii="Times New Roman" w:hAnsi="Times New Roman" w:cs="Times New Roman"/>
        </w:rPr>
        <w:t>の場合</w:t>
      </w:r>
    </w:p>
    <w:p w14:paraId="526E3D16" w14:textId="31C58B7C" w:rsidR="00EE71A9" w:rsidRPr="00E66B0E" w:rsidRDefault="00DB707F" w:rsidP="00EE71A9">
      <w:pPr>
        <w:rPr>
          <w:rFonts w:ascii="Times New Roman" w:hAnsi="Times New Roman" w:cs="Times New Roman"/>
        </w:rPr>
      </w:pPr>
      <w:r w:rsidRPr="00E66B0E">
        <w:rPr>
          <w:rFonts w:ascii="Times New Roman" w:hAnsi="Times New Roman" w:cs="Times New Roman"/>
        </w:rPr>
        <w:t>…</w:t>
      </w:r>
      <w:r w:rsidRPr="00E66B0E">
        <w:rPr>
          <w:rFonts w:ascii="Times New Roman" w:hAnsi="Times New Roman" w:cs="Times New Roman"/>
        </w:rPr>
        <w:t>保有期間が</w:t>
      </w:r>
      <w:r w:rsidRPr="00E66B0E">
        <w:rPr>
          <w:rFonts w:ascii="Times New Roman" w:hAnsi="Times New Roman" w:cs="Times New Roman"/>
        </w:rPr>
        <w:t>1</w:t>
      </w:r>
      <w:r w:rsidRPr="00E66B0E">
        <w:rPr>
          <w:rFonts w:ascii="Times New Roman" w:hAnsi="Times New Roman" w:cs="Times New Roman"/>
        </w:rPr>
        <w:t>日でなければその長さに応じた調整が必要である．</w:t>
      </w:r>
      <w:r w:rsidR="00435B36" w:rsidRPr="00E66B0E">
        <w:rPr>
          <w:rFonts w:ascii="Times New Roman" w:hAnsi="Times New Roman" w:cs="Times New Roman"/>
        </w:rPr>
        <w:t>調整が保有期間の</w:t>
      </w:r>
      <w:r w:rsidR="00A847A4" w:rsidRPr="00E66B0E">
        <w:rPr>
          <w:rFonts w:ascii="Times New Roman" w:hAnsi="Times New Roman" w:cs="Times New Roman"/>
        </w:rPr>
        <w:t>平方根倍になるというのは，データに時系列的に独立（系列相関がない）という仮定に基づいている．</w:t>
      </w:r>
    </w:p>
    <w:p w14:paraId="0284E19A" w14:textId="1435076A" w:rsidR="00307CCA" w:rsidRDefault="00606568" w:rsidP="00670D2A">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hint="eastAsia"/>
        </w:rPr>
        <w:t>『補足』</w:t>
      </w:r>
    </w:p>
    <w:p w14:paraId="6C1750B7" w14:textId="4C357713" w:rsidR="008B317B" w:rsidRPr="00EC2C44" w:rsidRDefault="00EC2C44" w:rsidP="00670D2A">
      <w:pPr>
        <w:pBdr>
          <w:top w:val="double" w:sz="4" w:space="1" w:color="auto"/>
          <w:left w:val="double" w:sz="4" w:space="4" w:color="auto"/>
          <w:bottom w:val="double" w:sz="4" w:space="1" w:color="auto"/>
          <w:right w:val="double" w:sz="4" w:space="4" w:color="auto"/>
        </w:pBdr>
        <w:rPr>
          <w:rFonts w:ascii="Times New Roman" w:hAnsi="Times New Roman" w:cs="Times New Roman"/>
        </w:rPr>
      </w:pPr>
      <m:oMath>
        <m:r>
          <w:rPr>
            <w:rFonts w:ascii="Cambria Math" w:hAnsi="Cambria Math" w:cs="Times New Roman"/>
          </w:rPr>
          <m:t>t</m:t>
        </m:r>
      </m:oMath>
      <w:r w:rsidR="00606568">
        <w:rPr>
          <w:rFonts w:ascii="Times New Roman" w:hAnsi="Times New Roman" w:cs="Times New Roman" w:hint="eastAsia"/>
        </w:rPr>
        <w:t>個の</w:t>
      </w:r>
      <m:oMath>
        <m:r>
          <m:rPr>
            <m:sty m:val="p"/>
          </m:rPr>
          <w:rPr>
            <w:rFonts w:ascii="Cambria Math" w:hAnsi="Cambria Math" w:cs="Times New Roman"/>
          </w:rPr>
          <m:t>r.v.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4543EA">
        <w:rPr>
          <w:rFonts w:ascii="Times New Roman" w:hAnsi="Times New Roman" w:cs="Times New Roman" w:hint="eastAsia"/>
        </w:rPr>
        <w:t>が</w:t>
      </w:r>
      <m:oMath>
        <m:r>
          <m:rPr>
            <m:sty m:val="p"/>
          </m:rPr>
          <w:rPr>
            <w:rFonts w:ascii="Cambria Math" w:hAnsi="Cambria Math" w:cs="Times New Roman"/>
          </w:rPr>
          <m:t>i.i.d</m:t>
        </m:r>
        <m:r>
          <w:rPr>
            <w:rFonts w:ascii="Cambria Math" w:hAnsi="Cambria Math" w:cs="Times New Roman"/>
          </w:rPr>
          <m:t>.</m:t>
        </m:r>
      </m:oMath>
      <w:r w:rsidR="004543EA">
        <w:rPr>
          <w:rFonts w:ascii="Times New Roman" w:hAnsi="Times New Roman" w:cs="Times New Roman" w:hint="eastAsia"/>
        </w:rPr>
        <w:t>であるならば，</w:t>
      </w:r>
      <m:oMath>
        <m:r>
          <w:rPr>
            <w:rFonts w:ascii="Cambria Math" w:hAnsi="Cambria Math" w:cs="Times New Roman"/>
          </w:rPr>
          <m:t>t</m:t>
        </m:r>
      </m:oMath>
      <w:r w:rsidR="0071535D">
        <w:rPr>
          <w:rFonts w:ascii="Times New Roman" w:hAnsi="Times New Roman" w:cs="Times New Roman" w:hint="eastAsia"/>
        </w:rPr>
        <w:t>個の</w:t>
      </w:r>
      <m:oMath>
        <m:r>
          <m:rPr>
            <m:sty m:val="p"/>
          </m:rPr>
          <w:rPr>
            <w:rFonts w:ascii="Cambria Math" w:hAnsi="Cambria Math" w:cs="Times New Roman"/>
          </w:rPr>
          <m:t>r.v.</m:t>
        </m:r>
      </m:oMath>
      <w:r w:rsidR="0071535D">
        <w:rPr>
          <w:rFonts w:ascii="Times New Roman" w:hAnsi="Times New Roman" w:cs="Times New Roman" w:hint="eastAsia"/>
        </w:rPr>
        <w:t>の合計の標準偏差は</w:t>
      </w:r>
      <w:r>
        <w:rPr>
          <w:rFonts w:ascii="Times New Roman" w:hAnsi="Times New Roman" w:cs="Times New Roman" w:hint="eastAsia"/>
        </w:rPr>
        <w:t>，各</w:t>
      </w:r>
      <m:oMath>
        <m:r>
          <m:rPr>
            <m:sty m:val="p"/>
          </m:rPr>
          <w:rPr>
            <w:rFonts w:ascii="Cambria Math" w:hAnsi="Cambria Math" w:cs="Times New Roman"/>
          </w:rPr>
          <m:t>r.v.</m:t>
        </m:r>
      </m:oMath>
      <w:r w:rsidR="008E5856">
        <w:rPr>
          <w:rFonts w:ascii="Times New Roman" w:hAnsi="Times New Roman" w:cs="Times New Roman" w:hint="eastAsia"/>
        </w:rPr>
        <w:t>の標準偏差</w:t>
      </w:r>
      <m:oMath>
        <m:r>
          <w:rPr>
            <w:rFonts w:ascii="Cambria Math" w:hAnsi="Cambria Math" w:cs="Times New Roman"/>
          </w:rPr>
          <m:t>σ</m:t>
        </m:r>
      </m:oMath>
      <w:r w:rsidR="007349A9">
        <w:rPr>
          <w:rFonts w:ascii="Times New Roman" w:hAnsi="Times New Roman" w:cs="Times New Roman" w:hint="eastAsia"/>
        </w:rPr>
        <w:t>の</w:t>
      </w:r>
      <m:oMath>
        <m:rad>
          <m:radPr>
            <m:degHide m:val="1"/>
            <m:ctrlPr>
              <w:rPr>
                <w:rFonts w:ascii="Cambria Math" w:hAnsi="Cambria Math" w:cs="Times New Roman"/>
                <w:i/>
              </w:rPr>
            </m:ctrlPr>
          </m:radPr>
          <m:deg/>
          <m:e>
            <m:r>
              <w:rPr>
                <w:rFonts w:ascii="Cambria Math" w:hAnsi="Cambria Math" w:cs="Times New Roman"/>
              </w:rPr>
              <m:t>t</m:t>
            </m:r>
          </m:e>
        </m:rad>
      </m:oMath>
      <w:r w:rsidR="007349A9">
        <w:rPr>
          <w:rFonts w:ascii="Times New Roman" w:hAnsi="Times New Roman" w:cs="Times New Roman" w:hint="eastAsia"/>
        </w:rPr>
        <w:t>倍になる</w:t>
      </w:r>
      <w:r w:rsidR="00670D2A">
        <w:rPr>
          <w:rFonts w:ascii="Times New Roman" w:hAnsi="Times New Roman" w:cs="Times New Roman" w:hint="eastAsia"/>
        </w:rPr>
        <w:t>．</w:t>
      </w:r>
    </w:p>
    <w:p w14:paraId="3A15150A" w14:textId="2285B46E" w:rsidR="00307CCA" w:rsidRPr="00E66B0E" w:rsidRDefault="00307CCA" w:rsidP="00EE71A9">
      <w:pPr>
        <w:rPr>
          <w:rFonts w:ascii="Times New Roman" w:hAnsi="Times New Roman" w:cs="Times New Roman"/>
        </w:rPr>
      </w:pPr>
      <w:r w:rsidRPr="00E66B0E">
        <w:rPr>
          <w:rFonts w:ascii="Times New Roman" w:hAnsi="Times New Roman" w:cs="Times New Roman"/>
        </w:rPr>
        <w:t>この仮定</w:t>
      </w:r>
      <w:r w:rsidR="0032670D" w:rsidRPr="00E66B0E">
        <w:rPr>
          <w:rFonts w:ascii="Times New Roman" w:hAnsi="Times New Roman" w:cs="Times New Roman"/>
        </w:rPr>
        <w:t>を用いた分析方法を</w:t>
      </w:r>
      <w:r w:rsidR="0032670D" w:rsidRPr="00E66B0E">
        <w:rPr>
          <w:rFonts w:ascii="Times New Roman" w:hAnsi="Times New Roman" w:cs="Times New Roman"/>
          <w:color w:val="FF0000"/>
        </w:rPr>
        <w:t>ルート</w:t>
      </w:r>
      <m:oMath>
        <m:r>
          <w:rPr>
            <w:rFonts w:ascii="Cambria Math" w:hAnsi="Cambria Math" w:cs="Times New Roman"/>
            <w:color w:val="FF0000"/>
          </w:rPr>
          <m:t>t</m:t>
        </m:r>
      </m:oMath>
      <w:r w:rsidR="0032670D" w:rsidRPr="00E66B0E">
        <w:rPr>
          <w:rFonts w:ascii="Times New Roman" w:hAnsi="Times New Roman" w:cs="Times New Roman"/>
          <w:color w:val="FF0000"/>
        </w:rPr>
        <w:t>倍法</w:t>
      </w:r>
      <w:r w:rsidR="0032670D" w:rsidRPr="00E66B0E">
        <w:rPr>
          <w:rFonts w:ascii="Times New Roman" w:hAnsi="Times New Roman" w:cs="Times New Roman"/>
        </w:rPr>
        <w:t>と呼ぶ．</w:t>
      </w:r>
    </w:p>
    <w:p w14:paraId="64D959CD" w14:textId="77777777" w:rsidR="00307CCA" w:rsidRPr="00E66B0E" w:rsidRDefault="00307CCA" w:rsidP="00EE71A9">
      <w:pPr>
        <w:rPr>
          <w:rFonts w:ascii="Times New Roman" w:hAnsi="Times New Roman" w:cs="Times New Roman"/>
        </w:rPr>
      </w:pPr>
    </w:p>
    <w:p w14:paraId="7569B80A" w14:textId="4A83DB96" w:rsidR="008B5EF1" w:rsidRPr="00E66B0E" w:rsidRDefault="00494EC7" w:rsidP="008B5EF1">
      <w:pPr>
        <w:pStyle w:val="2"/>
        <w:rPr>
          <w:rFonts w:ascii="Times New Roman" w:hAnsi="Times New Roman" w:cs="Times New Roman"/>
        </w:rPr>
      </w:pPr>
      <w:r w:rsidRPr="00E66B0E">
        <w:rPr>
          <w:rFonts w:ascii="Times New Roman" w:hAnsi="Times New Roman" w:cs="Times New Roman"/>
        </w:rPr>
        <w:t xml:space="preserve">　</w:t>
      </w:r>
      <w:r w:rsidR="008B5EF1" w:rsidRPr="00E66B0E">
        <w:rPr>
          <w:rFonts w:ascii="Times New Roman" w:hAnsi="Times New Roman" w:cs="Times New Roman"/>
        </w:rPr>
        <w:t>信頼水準と信頼係数</w:t>
      </w:r>
    </w:p>
    <w:p w14:paraId="7802B740" w14:textId="795335BB" w:rsidR="004F3529" w:rsidRPr="00E66B0E" w:rsidRDefault="001C0D94" w:rsidP="001C0D94">
      <w:pPr>
        <w:rPr>
          <w:rFonts w:ascii="Times New Roman" w:hAnsi="Times New Roman" w:cs="Times New Roman"/>
        </w:rPr>
      </w:pPr>
      <w:r w:rsidRPr="00E66B0E">
        <w:rPr>
          <w:rFonts w:ascii="Times New Roman" w:hAnsi="Times New Roman" w:cs="Times New Roman"/>
        </w:rPr>
        <w:t>将来のポートフォリオの価値変化</w:t>
      </w:r>
      <w:r w:rsidR="004F3529" w:rsidRPr="00E66B0E">
        <w:rPr>
          <w:rFonts w:ascii="Times New Roman" w:hAnsi="Times New Roman" w:cs="Times New Roman"/>
        </w:rPr>
        <w:t>が正規分布に従っていると仮定する．</w:t>
      </w:r>
    </w:p>
    <w:p w14:paraId="0FD5B4FE" w14:textId="77777777" w:rsidR="00A241A7" w:rsidRPr="00E66B0E" w:rsidRDefault="00024777" w:rsidP="00A241A7">
      <w:pPr>
        <w:keepNext/>
        <w:jc w:val="center"/>
        <w:rPr>
          <w:rFonts w:ascii="Times New Roman" w:hAnsi="Times New Roman" w:cs="Times New Roman"/>
        </w:rPr>
      </w:pPr>
      <w:r w:rsidRPr="00E66B0E">
        <w:rPr>
          <w:rFonts w:ascii="Times New Roman" w:hAnsi="Times New Roman" w:cs="Times New Roman"/>
          <w:noProof/>
        </w:rPr>
        <w:drawing>
          <wp:inline distT="0" distB="0" distL="0" distR="0" wp14:anchorId="3B50FFE9" wp14:editId="3B6F364D">
            <wp:extent cx="5317263" cy="311364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0462" cy="3133090"/>
                    </a:xfrm>
                    <a:prstGeom prst="rect">
                      <a:avLst/>
                    </a:prstGeom>
                  </pic:spPr>
                </pic:pic>
              </a:graphicData>
            </a:graphic>
          </wp:inline>
        </w:drawing>
      </w:r>
    </w:p>
    <w:p w14:paraId="2A688F21" w14:textId="2576C914" w:rsidR="008B5EF1" w:rsidRPr="00E66B0E" w:rsidRDefault="00A241A7" w:rsidP="00A241A7">
      <w:pPr>
        <w:pStyle w:val="ac"/>
        <w:jc w:val="center"/>
        <w:rPr>
          <w:rFonts w:ascii="Times New Roman" w:hAnsi="Times New Roman" w:cs="Times New Roman"/>
        </w:rPr>
      </w:pPr>
      <w:bookmarkStart w:id="1" w:name="_Ref59460373"/>
      <w:r w:rsidRPr="00E66B0E">
        <w:rPr>
          <w:rFonts w:ascii="Times New Roman" w:hAnsi="Times New Roman" w:cs="Times New Roman"/>
        </w:rPr>
        <w:t>図</w:t>
      </w:r>
      <w:r w:rsidRPr="00E66B0E">
        <w:rPr>
          <w:rFonts w:ascii="Times New Roman" w:hAnsi="Times New Roman" w:cs="Times New Roman"/>
        </w:rPr>
        <w:t xml:space="preserve"> </w:t>
      </w:r>
      <w:r w:rsidR="00140778">
        <w:rPr>
          <w:rFonts w:ascii="Times New Roman" w:hAnsi="Times New Roman" w:cs="Times New Roman"/>
        </w:rPr>
        <w:fldChar w:fldCharType="begin"/>
      </w:r>
      <w:r w:rsidR="00140778">
        <w:rPr>
          <w:rFonts w:ascii="Times New Roman" w:hAnsi="Times New Roman" w:cs="Times New Roman"/>
        </w:rPr>
        <w:instrText xml:space="preserve"> STYLEREF 1 \s </w:instrText>
      </w:r>
      <w:r w:rsidR="00140778">
        <w:rPr>
          <w:rFonts w:ascii="Times New Roman" w:hAnsi="Times New Roman" w:cs="Times New Roman"/>
        </w:rPr>
        <w:fldChar w:fldCharType="separate"/>
      </w:r>
      <w:r w:rsidR="00140778">
        <w:rPr>
          <w:rFonts w:ascii="Times New Roman" w:hAnsi="Times New Roman" w:cs="Times New Roman"/>
          <w:noProof/>
        </w:rPr>
        <w:t>2</w:t>
      </w:r>
      <w:r w:rsidR="00140778">
        <w:rPr>
          <w:rFonts w:ascii="Times New Roman" w:hAnsi="Times New Roman" w:cs="Times New Roman"/>
        </w:rPr>
        <w:fldChar w:fldCharType="end"/>
      </w:r>
      <w:r w:rsidR="00140778">
        <w:rPr>
          <w:rFonts w:ascii="Times New Roman" w:hAnsi="Times New Roman" w:cs="Times New Roman"/>
        </w:rPr>
        <w:noBreakHyphen/>
      </w:r>
      <w:r w:rsidR="00140778">
        <w:rPr>
          <w:rFonts w:ascii="Times New Roman" w:hAnsi="Times New Roman" w:cs="Times New Roman"/>
        </w:rPr>
        <w:fldChar w:fldCharType="begin"/>
      </w:r>
      <w:r w:rsidR="00140778">
        <w:rPr>
          <w:rFonts w:ascii="Times New Roman" w:hAnsi="Times New Roman" w:cs="Times New Roman"/>
        </w:rPr>
        <w:instrText xml:space="preserve"> SEQ </w:instrText>
      </w:r>
      <w:r w:rsidR="00140778">
        <w:rPr>
          <w:rFonts w:ascii="Times New Roman" w:hAnsi="Times New Roman" w:cs="Times New Roman"/>
        </w:rPr>
        <w:instrText>図</w:instrText>
      </w:r>
      <w:r w:rsidR="00140778">
        <w:rPr>
          <w:rFonts w:ascii="Times New Roman" w:hAnsi="Times New Roman" w:cs="Times New Roman"/>
        </w:rPr>
        <w:instrText xml:space="preserve"> \* ARABIC \s 1 </w:instrText>
      </w:r>
      <w:r w:rsidR="00140778">
        <w:rPr>
          <w:rFonts w:ascii="Times New Roman" w:hAnsi="Times New Roman" w:cs="Times New Roman"/>
        </w:rPr>
        <w:fldChar w:fldCharType="separate"/>
      </w:r>
      <w:r w:rsidR="00140778">
        <w:rPr>
          <w:rFonts w:ascii="Times New Roman" w:hAnsi="Times New Roman" w:cs="Times New Roman"/>
          <w:noProof/>
        </w:rPr>
        <w:t>1</w:t>
      </w:r>
      <w:r w:rsidR="00140778">
        <w:rPr>
          <w:rFonts w:ascii="Times New Roman" w:hAnsi="Times New Roman" w:cs="Times New Roman"/>
        </w:rPr>
        <w:fldChar w:fldCharType="end"/>
      </w:r>
      <w:bookmarkEnd w:id="1"/>
      <w:r w:rsidRPr="00E66B0E">
        <w:rPr>
          <w:rFonts w:ascii="Times New Roman" w:hAnsi="Times New Roman" w:cs="Times New Roman"/>
        </w:rPr>
        <w:t xml:space="preserve">　</w:t>
      </w:r>
      <w:proofErr w:type="spellStart"/>
      <w:r w:rsidRPr="00E66B0E">
        <w:rPr>
          <w:rFonts w:ascii="Times New Roman" w:hAnsi="Times New Roman" w:cs="Times New Roman"/>
        </w:rPr>
        <w:t>VaR</w:t>
      </w:r>
      <w:proofErr w:type="spellEnd"/>
      <w:r w:rsidRPr="00E66B0E">
        <w:rPr>
          <w:rFonts w:ascii="Times New Roman" w:hAnsi="Times New Roman" w:cs="Times New Roman"/>
        </w:rPr>
        <w:t>の概念（信頼水準と</w:t>
      </w:r>
      <w:proofErr w:type="spellStart"/>
      <w:r w:rsidRPr="00E66B0E">
        <w:rPr>
          <w:rFonts w:ascii="Times New Roman" w:hAnsi="Times New Roman" w:cs="Times New Roman"/>
        </w:rPr>
        <w:t>VaR</w:t>
      </w:r>
      <w:proofErr w:type="spellEnd"/>
      <w:r w:rsidRPr="00E66B0E">
        <w:rPr>
          <w:rFonts w:ascii="Times New Roman" w:hAnsi="Times New Roman" w:cs="Times New Roman"/>
        </w:rPr>
        <w:t>の関係）</w:t>
      </w:r>
    </w:p>
    <w:p w14:paraId="2788E739" w14:textId="1A17C907" w:rsidR="00A241A7" w:rsidRPr="00E66B0E" w:rsidRDefault="00A241A7" w:rsidP="00A241A7">
      <w:pPr>
        <w:rPr>
          <w:rFonts w:ascii="Times New Roman" w:hAnsi="Times New Roman" w:cs="Times New Roman"/>
        </w:rPr>
      </w:pPr>
    </w:p>
    <w:p w14:paraId="1D87E444" w14:textId="04EEBD29" w:rsidR="00A241A7" w:rsidRPr="00E66B0E" w:rsidRDefault="00BC0760" w:rsidP="00A241A7">
      <w:pPr>
        <w:rPr>
          <w:rFonts w:ascii="Times New Roman" w:hAnsi="Times New Roman" w:cs="Times New Roman"/>
        </w:rPr>
      </w:pPr>
      <w:r w:rsidRPr="00E66B0E">
        <w:rPr>
          <w:rFonts w:ascii="Times New Roman" w:hAnsi="Times New Roman" w:cs="Times New Roman"/>
        </w:rPr>
        <w:fldChar w:fldCharType="begin"/>
      </w:r>
      <w:r w:rsidRPr="00E66B0E">
        <w:rPr>
          <w:rFonts w:ascii="Times New Roman" w:hAnsi="Times New Roman" w:cs="Times New Roman"/>
        </w:rPr>
        <w:instrText xml:space="preserve"> REF _Ref59460373 \h </w:instrText>
      </w:r>
      <w:r w:rsidR="00E66B0E">
        <w:rPr>
          <w:rFonts w:ascii="Times New Roman" w:hAnsi="Times New Roman" w:cs="Times New Roman"/>
        </w:rPr>
        <w:instrText xml:space="preserve"> \* MERGEFORMAT </w:instrText>
      </w:r>
      <w:r w:rsidRPr="00E66B0E">
        <w:rPr>
          <w:rFonts w:ascii="Times New Roman" w:hAnsi="Times New Roman" w:cs="Times New Roman"/>
        </w:rPr>
      </w:r>
      <w:r w:rsidRPr="00E66B0E">
        <w:rPr>
          <w:rFonts w:ascii="Times New Roman" w:hAnsi="Times New Roman" w:cs="Times New Roman"/>
        </w:rPr>
        <w:fldChar w:fldCharType="separate"/>
      </w:r>
      <w:r w:rsidRPr="00E66B0E">
        <w:rPr>
          <w:rFonts w:ascii="Times New Roman" w:hAnsi="Times New Roman" w:cs="Times New Roman"/>
        </w:rPr>
        <w:t>図</w:t>
      </w:r>
      <w:r w:rsidRPr="00E66B0E">
        <w:rPr>
          <w:rFonts w:ascii="Times New Roman" w:hAnsi="Times New Roman" w:cs="Times New Roman"/>
        </w:rPr>
        <w:t xml:space="preserve"> </w:t>
      </w:r>
      <w:r w:rsidRPr="00E66B0E">
        <w:rPr>
          <w:rFonts w:ascii="Times New Roman" w:hAnsi="Times New Roman" w:cs="Times New Roman"/>
          <w:noProof/>
        </w:rPr>
        <w:t>2</w:t>
      </w:r>
      <w:r w:rsidRPr="00E66B0E">
        <w:rPr>
          <w:rFonts w:ascii="Times New Roman" w:hAnsi="Times New Roman" w:cs="Times New Roman"/>
        </w:rPr>
        <w:noBreakHyphen/>
      </w:r>
      <w:r w:rsidRPr="00E66B0E">
        <w:rPr>
          <w:rFonts w:ascii="Times New Roman" w:hAnsi="Times New Roman" w:cs="Times New Roman"/>
          <w:noProof/>
        </w:rPr>
        <w:t>1</w:t>
      </w:r>
      <w:r w:rsidRPr="00E66B0E">
        <w:rPr>
          <w:rFonts w:ascii="Times New Roman" w:hAnsi="Times New Roman" w:cs="Times New Roman"/>
        </w:rPr>
        <w:fldChar w:fldCharType="end"/>
      </w:r>
      <w:r w:rsidRPr="00E66B0E">
        <w:rPr>
          <w:rFonts w:ascii="Times New Roman" w:hAnsi="Times New Roman" w:cs="Times New Roman"/>
        </w:rPr>
        <w:t>において</w:t>
      </w:r>
      <w:r w:rsidR="00E90815" w:rsidRPr="00E66B0E">
        <w:rPr>
          <w:rFonts w:ascii="Times New Roman" w:hAnsi="Times New Roman" w:cs="Times New Roman"/>
        </w:rPr>
        <w:t>，正規分布を仮定している</w:t>
      </w:r>
      <w:r w:rsidR="007A5BA3" w:rsidRPr="00E66B0E">
        <w:rPr>
          <w:rFonts w:ascii="Times New Roman" w:hAnsi="Times New Roman" w:cs="Times New Roman"/>
        </w:rPr>
        <w:t>ので，区間の下端を示す</w:t>
      </w:r>
      <m:oMath>
        <m:r>
          <w:rPr>
            <w:rFonts w:ascii="Cambria Math" w:hAnsi="Cambria Math" w:cs="Times New Roman"/>
          </w:rPr>
          <m:t>X</m:t>
        </m:r>
      </m:oMath>
      <w:r w:rsidR="00654A37" w:rsidRPr="00E66B0E">
        <w:rPr>
          <w:rFonts w:ascii="Times New Roman" w:hAnsi="Times New Roman" w:cs="Times New Roman"/>
        </w:rPr>
        <w:t>は平均より</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654A37" w:rsidRPr="00E66B0E" w14:paraId="4EECD361" w14:textId="77777777" w:rsidTr="00654A37">
        <w:tc>
          <w:tcPr>
            <w:tcW w:w="8075" w:type="dxa"/>
          </w:tcPr>
          <w:p w14:paraId="27753CBA" w14:textId="1BFE0BD7" w:rsidR="00654A37" w:rsidRPr="00E66B0E" w:rsidRDefault="00654A37" w:rsidP="0059240A">
            <w:pPr>
              <w:rPr>
                <w:rFonts w:ascii="Times New Roman" w:hAnsi="Times New Roman" w:cs="Times New Roman"/>
              </w:rPr>
            </w:pPr>
            <m:oMathPara>
              <m:oMath>
                <m:r>
                  <w:rPr>
                    <w:rFonts w:ascii="Cambria Math" w:hAnsi="Cambria Math" w:cs="Times New Roman"/>
                    <w:color w:val="FF0000"/>
                  </w:rPr>
                  <m:t>2.33</m:t>
                </m:r>
                <m:r>
                  <w:rPr>
                    <w:rFonts w:ascii="Cambria Math" w:hAnsi="Cambria Math" w:cs="Times New Roman"/>
                  </w:rPr>
                  <m:t>×</m:t>
                </m:r>
                <m:r>
                  <m:rPr>
                    <m:sty m:val="p"/>
                  </m:rPr>
                  <w:rPr>
                    <w:rFonts w:ascii="Cambria Math" w:hAnsi="Cambria Math" w:cs="Times New Roman"/>
                  </w:rPr>
                  <m:t>標準偏差</m:t>
                </m:r>
              </m:oMath>
            </m:oMathPara>
          </w:p>
        </w:tc>
        <w:tc>
          <w:tcPr>
            <w:tcW w:w="1661" w:type="dxa"/>
            <w:vAlign w:val="center"/>
          </w:tcPr>
          <w:p w14:paraId="57A7797F" w14:textId="1FA07327" w:rsidR="00654A37" w:rsidRPr="00E66B0E" w:rsidRDefault="00654A37" w:rsidP="00654A37">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Pr="00E66B0E">
              <w:rPr>
                <w:rFonts w:ascii="Times New Roman" w:hAnsi="Times New Roman" w:cs="Times New Roman"/>
              </w:rPr>
              <w:t>)</w:t>
            </w:r>
          </w:p>
        </w:tc>
      </w:tr>
    </w:tbl>
    <w:p w14:paraId="2D36F093" w14:textId="2FBAFE40" w:rsidR="007B7B7B" w:rsidRPr="00E66B0E" w:rsidRDefault="001C2EA4" w:rsidP="00A241A7">
      <w:pPr>
        <w:rPr>
          <w:rFonts w:ascii="Times New Roman" w:hAnsi="Times New Roman" w:cs="Times New Roman"/>
        </w:rPr>
      </w:pPr>
      <w:r w:rsidRPr="00E66B0E">
        <w:rPr>
          <w:rFonts w:ascii="Times New Roman" w:hAnsi="Times New Roman" w:cs="Times New Roman"/>
        </w:rPr>
        <w:t>に位置する．</w:t>
      </w:r>
    </w:p>
    <w:p w14:paraId="33B89D51" w14:textId="412D51DC" w:rsidR="001C2EA4" w:rsidRPr="00E66B0E" w:rsidRDefault="001C2EA4" w:rsidP="00A241A7">
      <w:pPr>
        <w:rPr>
          <w:rFonts w:ascii="Times New Roman" w:hAnsi="Times New Roman" w:cs="Times New Roman"/>
        </w:rPr>
      </w:pPr>
      <w:r w:rsidRPr="00E66B0E">
        <w:rPr>
          <w:rFonts w:ascii="Times New Roman" w:hAnsi="Times New Roman" w:cs="Times New Roman"/>
        </w:rPr>
        <w:t>この時，</w:t>
      </w:r>
      <w:r w:rsidRPr="00E66B0E">
        <w:rPr>
          <w:rFonts w:ascii="Times New Roman" w:hAnsi="Times New Roman" w:cs="Times New Roman"/>
        </w:rPr>
        <w:t>99%</w:t>
      </w:r>
      <w:r w:rsidRPr="00E66B0E">
        <w:rPr>
          <w:rFonts w:ascii="Times New Roman" w:hAnsi="Times New Roman" w:cs="Times New Roman"/>
        </w:rPr>
        <w:t>を信頼水準といい，標準偏差に掛け合わされた</w:t>
      </w:r>
      <w:r w:rsidR="00803C83" w:rsidRPr="00E66B0E">
        <w:rPr>
          <w:rFonts w:ascii="Times New Roman" w:hAnsi="Times New Roman" w:cs="Times New Roman"/>
        </w:rPr>
        <w:t>係数</w:t>
      </w:r>
      <w:r w:rsidR="00803C83" w:rsidRPr="00E66B0E">
        <w:rPr>
          <w:rFonts w:ascii="Times New Roman" w:hAnsi="Times New Roman" w:cs="Times New Roman"/>
          <w:color w:val="FF0000"/>
        </w:rPr>
        <w:t>2.33</w:t>
      </w:r>
      <w:r w:rsidR="00803C83" w:rsidRPr="00E66B0E">
        <w:rPr>
          <w:rFonts w:ascii="Times New Roman" w:hAnsi="Times New Roman" w:cs="Times New Roman"/>
        </w:rPr>
        <w:t>を</w:t>
      </w:r>
      <w:r w:rsidR="00DF3A94" w:rsidRPr="00E66B0E">
        <w:rPr>
          <w:rFonts w:ascii="Times New Roman" w:hAnsi="Times New Roman" w:cs="Times New Roman"/>
          <w:color w:val="FF0000"/>
        </w:rPr>
        <w:t>信頼係数</w:t>
      </w:r>
      <w:r w:rsidR="00DF3A94" w:rsidRPr="00E66B0E">
        <w:rPr>
          <w:rFonts w:ascii="Times New Roman" w:hAnsi="Times New Roman" w:cs="Times New Roman"/>
        </w:rPr>
        <w:t>という．</w:t>
      </w:r>
      <w:r w:rsidR="002C1FA4" w:rsidRPr="00E66B0E">
        <w:rPr>
          <w:rFonts w:ascii="Times New Roman" w:hAnsi="Times New Roman" w:cs="Times New Roman"/>
        </w:rPr>
        <w:t>また，</w:t>
      </w:r>
      <w:r w:rsidR="002C1FA4" w:rsidRPr="00E66B0E">
        <w:rPr>
          <w:rFonts w:ascii="Times New Roman" w:hAnsi="Times New Roman" w:cs="Times New Roman"/>
        </w:rPr>
        <w:t>100%</w:t>
      </w:r>
      <w:r w:rsidR="002C1FA4" w:rsidRPr="00E66B0E">
        <w:rPr>
          <w:rFonts w:ascii="Times New Roman" w:hAnsi="Times New Roman" w:cs="Times New Roman"/>
        </w:rPr>
        <w:t>から信頼水準を引いた値，</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F52AC7" w:rsidRPr="00E66B0E" w14:paraId="5640550E" w14:textId="77777777" w:rsidTr="00F52AC7">
        <w:tc>
          <w:tcPr>
            <w:tcW w:w="8075" w:type="dxa"/>
          </w:tcPr>
          <w:p w14:paraId="5A055BB0" w14:textId="7BFBD4E6" w:rsidR="00F52AC7" w:rsidRPr="00E66B0E" w:rsidRDefault="00F52AC7" w:rsidP="0059240A">
            <w:pPr>
              <w:rPr>
                <w:rFonts w:ascii="Times New Roman" w:hAnsi="Times New Roman" w:cs="Times New Roman"/>
              </w:rPr>
            </w:pPr>
            <m:oMathPara>
              <m:oMath>
                <m:r>
                  <w:rPr>
                    <w:rFonts w:ascii="Cambria Math" w:hAnsi="Cambria Math" w:cs="Times New Roman"/>
                  </w:rPr>
                  <m:t>100%-99%=1%</m:t>
                </m:r>
              </m:oMath>
            </m:oMathPara>
          </w:p>
        </w:tc>
        <w:tc>
          <w:tcPr>
            <w:tcW w:w="1661" w:type="dxa"/>
            <w:vAlign w:val="center"/>
          </w:tcPr>
          <w:p w14:paraId="1A9B6362" w14:textId="65659997" w:rsidR="00F52AC7" w:rsidRPr="00E66B0E" w:rsidRDefault="00F52AC7" w:rsidP="00F52AC7">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3</w:t>
            </w:r>
            <w:r w:rsidR="004F70F7" w:rsidRPr="00E66B0E">
              <w:rPr>
                <w:rFonts w:ascii="Times New Roman" w:hAnsi="Times New Roman" w:cs="Times New Roman"/>
              </w:rPr>
              <w:fldChar w:fldCharType="end"/>
            </w:r>
            <w:r w:rsidRPr="00E66B0E">
              <w:rPr>
                <w:rFonts w:ascii="Times New Roman" w:hAnsi="Times New Roman" w:cs="Times New Roman"/>
              </w:rPr>
              <w:t>)</w:t>
            </w:r>
          </w:p>
        </w:tc>
      </w:tr>
    </w:tbl>
    <w:p w14:paraId="02AA4AD4" w14:textId="18FE4BE9" w:rsidR="00F52AC7" w:rsidRPr="00E66B0E" w:rsidRDefault="00B42572" w:rsidP="00A241A7">
      <w:pPr>
        <w:rPr>
          <w:rFonts w:ascii="Times New Roman" w:hAnsi="Times New Roman" w:cs="Times New Roman"/>
        </w:rPr>
      </w:pPr>
      <w:r w:rsidRPr="00E66B0E">
        <w:rPr>
          <w:rFonts w:ascii="Times New Roman" w:hAnsi="Times New Roman" w:cs="Times New Roman"/>
        </w:rPr>
        <w:t>を</w:t>
      </w:r>
      <w:r w:rsidRPr="00E66B0E">
        <w:rPr>
          <w:rFonts w:ascii="Times New Roman" w:hAnsi="Times New Roman" w:cs="Times New Roman"/>
          <w:color w:val="FF0000"/>
        </w:rPr>
        <w:t>損失発生確率</w:t>
      </w:r>
      <w:r w:rsidRPr="00E66B0E">
        <w:rPr>
          <w:rFonts w:ascii="Times New Roman" w:hAnsi="Times New Roman" w:cs="Times New Roman"/>
        </w:rPr>
        <w:t>という．</w:t>
      </w:r>
    </w:p>
    <w:p w14:paraId="6EB2E2AA" w14:textId="77777777" w:rsidR="0019724B" w:rsidRPr="00E66B0E" w:rsidRDefault="0019724B" w:rsidP="00A241A7">
      <w:pPr>
        <w:rPr>
          <w:rFonts w:ascii="Times New Roman" w:hAnsi="Times New Roman" w:cs="Times New Roman"/>
        </w:rPr>
      </w:pPr>
    </w:p>
    <w:p w14:paraId="2483FCC7" w14:textId="5E77121A" w:rsidR="0059240A" w:rsidRPr="00E66B0E" w:rsidRDefault="00AF1842" w:rsidP="00A241A7">
      <w:pPr>
        <w:rPr>
          <w:rFonts w:ascii="Times New Roman" w:hAnsi="Times New Roman" w:cs="Times New Roman"/>
        </w:rPr>
      </w:pPr>
      <w:r w:rsidRPr="00E66B0E">
        <w:rPr>
          <w:rFonts w:ascii="Times New Roman" w:hAnsi="Times New Roman" w:cs="Times New Roman"/>
        </w:rPr>
        <w:t>【記号設定】</w:t>
      </w:r>
    </w:p>
    <w:p w14:paraId="1178CA25" w14:textId="1CD33041" w:rsidR="00B42572" w:rsidRPr="00E66B0E" w:rsidRDefault="00062EC7" w:rsidP="008B4AF3">
      <w:pPr>
        <w:rPr>
          <w:rFonts w:ascii="Times New Roman" w:hAnsi="Times New Roman" w:cs="Times New Roman"/>
        </w:rPr>
      </w:pPr>
      <w:r w:rsidRPr="00E66B0E">
        <w:rPr>
          <w:rFonts w:ascii="Times New Roman" w:hAnsi="Times New Roman" w:cs="Times New Roman"/>
        </w:rPr>
        <w:t>「信頼水準</w:t>
      </w:r>
      <m:oMath>
        <m:r>
          <w:rPr>
            <w:rFonts w:ascii="Cambria Math" w:hAnsi="Cambria Math" w:cs="Times New Roman"/>
          </w:rPr>
          <m:t>X%</m:t>
        </m:r>
      </m:oMath>
      <w:r w:rsidRPr="00E66B0E">
        <w:rPr>
          <w:rFonts w:ascii="Times New Roman" w:hAnsi="Times New Roman" w:cs="Times New Roman"/>
        </w:rPr>
        <w:t>の</w:t>
      </w:r>
      <w:proofErr w:type="spellStart"/>
      <w:r w:rsidRPr="00E66B0E">
        <w:rPr>
          <w:rFonts w:ascii="Times New Roman" w:hAnsi="Times New Roman" w:cs="Times New Roman"/>
        </w:rPr>
        <w:t>VaR</w:t>
      </w:r>
      <w:proofErr w:type="spellEnd"/>
      <w:r w:rsidRPr="00E66B0E">
        <w:rPr>
          <w:rFonts w:ascii="Times New Roman" w:hAnsi="Times New Roman" w:cs="Times New Roman"/>
        </w:rPr>
        <w:t>」を</w:t>
      </w:r>
      <m:oMath>
        <m:r>
          <w:rPr>
            <w:rFonts w:ascii="Cambria Math" w:hAnsi="Cambria Math" w:cs="Times New Roman"/>
          </w:rPr>
          <m:t>Va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oMath>
      <w:r w:rsidRPr="00E66B0E">
        <w:rPr>
          <w:rFonts w:ascii="Times New Roman" w:hAnsi="Times New Roman" w:cs="Times New Roman"/>
        </w:rPr>
        <w:t>，信頼係数を</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X</m:t>
            </m:r>
          </m:sub>
        </m:sSub>
      </m:oMath>
      <w:r w:rsidR="006F25C7" w:rsidRPr="00E66B0E">
        <w:rPr>
          <w:rFonts w:ascii="Times New Roman" w:hAnsi="Times New Roman" w:cs="Times New Roman"/>
        </w:rPr>
        <w:t>と記述する．</w:t>
      </w:r>
      <w:r w:rsidR="0019724B" w:rsidRPr="00E66B0E">
        <w:rPr>
          <w:rFonts w:ascii="Times New Roman" w:hAnsi="Times New Roman" w:cs="Times New Roman"/>
        </w:rPr>
        <w:t>確率分布型</w:t>
      </w:r>
      <w:r w:rsidR="00477699" w:rsidRPr="00E66B0E">
        <w:rPr>
          <w:rFonts w:ascii="Times New Roman" w:hAnsi="Times New Roman" w:cs="Times New Roman"/>
        </w:rPr>
        <w:t>を特定する必要がある場合，分布</w:t>
      </w:r>
      <w:r w:rsidR="00477699" w:rsidRPr="00E66B0E">
        <w:rPr>
          <w:rFonts w:ascii="Times New Roman" w:hAnsi="Times New Roman" w:cs="Times New Roman"/>
        </w:rPr>
        <w:lastRenderedPageBreak/>
        <w:t>型を示す関数を</w:t>
      </w:r>
      <m:oMath>
        <m:r>
          <w:rPr>
            <w:rFonts w:ascii="Cambria Math" w:hAnsi="Cambria Math" w:cs="Times New Roman"/>
          </w:rPr>
          <m:t>f(x)</m:t>
        </m:r>
      </m:oMath>
      <w:r w:rsidR="00477699" w:rsidRPr="00E66B0E">
        <w:rPr>
          <w:rFonts w:ascii="Times New Roman" w:hAnsi="Times New Roman" w:cs="Times New Roman"/>
        </w:rPr>
        <w:t>とすると</w:t>
      </w:r>
      <w:r w:rsidR="003E1D14" w:rsidRPr="00E66B0E">
        <w:rPr>
          <w:rFonts w:ascii="Times New Roman" w:hAnsi="Times New Roman" w:cs="Times New Roman"/>
        </w:rPr>
        <w:t>，それぞれ</w:t>
      </w:r>
      <m:oMath>
        <m:r>
          <w:rPr>
            <w:rFonts w:ascii="Cambria Math" w:hAnsi="Cambria Math" w:cs="Times New Roman"/>
          </w:rPr>
          <m:t>Va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X</m:t>
            </m:r>
          </m:sub>
        </m:sSub>
        <m:r>
          <w:rPr>
            <w:rFonts w:ascii="Cambria Math" w:hAnsi="Cambria Math" w:cs="Times New Roman"/>
          </w:rPr>
          <m:t>[f(x)]</m:t>
        </m:r>
      </m:oMath>
      <w:r w:rsidR="003E1D14" w:rsidRPr="00E66B0E">
        <w:rPr>
          <w:rFonts w:ascii="Times New Roman" w:hAnsi="Times New Roman" w:cs="Times New Roman"/>
        </w:rPr>
        <w:t>と記述する．</w:t>
      </w:r>
    </w:p>
    <w:p w14:paraId="6CEEE821" w14:textId="23DB1C26" w:rsidR="008B4AF3" w:rsidRPr="00E66B0E" w:rsidRDefault="008B4AF3" w:rsidP="00A241A7">
      <w:pPr>
        <w:rPr>
          <w:rFonts w:ascii="Times New Roman" w:hAnsi="Times New Roman" w:cs="Times New Roman"/>
        </w:rPr>
      </w:pPr>
      <w:r w:rsidRPr="00E66B0E">
        <w:rPr>
          <w:rFonts w:ascii="ＭＳ 明朝" w:eastAsia="ＭＳ 明朝" w:hAnsi="ＭＳ 明朝" w:cs="ＭＳ 明朝" w:hint="eastAsia"/>
        </w:rPr>
        <w:t>≪</w:t>
      </w:r>
      <w:r w:rsidRPr="00E66B0E">
        <w:rPr>
          <w:rFonts w:ascii="Times New Roman" w:hAnsi="Times New Roman" w:cs="Times New Roman"/>
        </w:rPr>
        <w:t>例</w:t>
      </w:r>
      <w:r w:rsidRPr="00E66B0E">
        <w:rPr>
          <w:rFonts w:ascii="ＭＳ 明朝" w:eastAsia="ＭＳ 明朝" w:hAnsi="ＭＳ 明朝" w:cs="ＭＳ 明朝" w:hint="eastAsia"/>
        </w:rPr>
        <w:t>≫</w:t>
      </w:r>
    </w:p>
    <w:p w14:paraId="1A9524A8" w14:textId="53BD89F2" w:rsidR="008B4AF3" w:rsidRPr="00E66B0E" w:rsidRDefault="00C52EF7" w:rsidP="00A241A7">
      <w:pPr>
        <w:rPr>
          <w:rFonts w:ascii="Times New Roman" w:hAnsi="Times New Roman" w:cs="Times New Roman"/>
        </w:rPr>
      </w:pPr>
      <w:r w:rsidRPr="00E66B0E">
        <w:rPr>
          <w:rFonts w:ascii="Times New Roman" w:hAnsi="Times New Roman" w:cs="Times New Roman"/>
        </w:rPr>
        <w:t>将来のポートフォリオ価値の確率分布</w:t>
      </w:r>
      <w:r w:rsidR="00215A04" w:rsidRPr="00E66B0E">
        <w:rPr>
          <w:rFonts w:ascii="Times New Roman" w:hAnsi="Times New Roman" w:cs="Times New Roman"/>
        </w:rPr>
        <w:t>が</w:t>
      </w:r>
      <m:oMath>
        <m:r>
          <w:rPr>
            <w:rFonts w:ascii="Cambria Math" w:hAnsi="Cambria Math" w:cs="Times New Roman"/>
          </w:rPr>
          <m:t>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r w:rsidR="005227E7" w:rsidRPr="00E66B0E">
        <w:rPr>
          <w:rFonts w:ascii="Times New Roman" w:hAnsi="Times New Roman" w:cs="Times New Roman"/>
        </w:rPr>
        <w:t>に従うとき，その信頼水準</w:t>
      </w:r>
      <w:r w:rsidR="005227E7" w:rsidRPr="00E66B0E">
        <w:rPr>
          <w:rFonts w:ascii="Times New Roman" w:hAnsi="Times New Roman" w:cs="Times New Roman"/>
        </w:rPr>
        <w:t>99%</w:t>
      </w:r>
      <w:r w:rsidR="005227E7" w:rsidRPr="00E66B0E">
        <w:rPr>
          <w:rFonts w:ascii="Times New Roman" w:hAnsi="Times New Roman" w:cs="Times New Roman"/>
        </w:rPr>
        <w:t>の</w:t>
      </w:r>
      <w:proofErr w:type="spellStart"/>
      <w:r w:rsidR="005227E7" w:rsidRPr="00E66B0E">
        <w:rPr>
          <w:rFonts w:ascii="Times New Roman" w:hAnsi="Times New Roman" w:cs="Times New Roman"/>
        </w:rPr>
        <w:t>VaR</w:t>
      </w:r>
      <w:proofErr w:type="spellEnd"/>
      <w:r w:rsidR="005227E7" w:rsidRPr="00E66B0E">
        <w:rPr>
          <w:rFonts w:ascii="Times New Roman" w:hAnsi="Times New Roman" w:cs="Times New Roman"/>
        </w:rPr>
        <w:t>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5227E7" w:rsidRPr="00E66B0E" w14:paraId="033467B7" w14:textId="77777777" w:rsidTr="00071E55">
        <w:tc>
          <w:tcPr>
            <w:tcW w:w="8075" w:type="dxa"/>
          </w:tcPr>
          <w:p w14:paraId="2E473521" w14:textId="734B5051" w:rsidR="005227E7" w:rsidRPr="00E66B0E" w:rsidRDefault="005227E7" w:rsidP="00071E55">
            <w:pPr>
              <w:rPr>
                <w:rFonts w:ascii="Times New Roman" w:hAnsi="Times New Roman" w:cs="Times New Roman"/>
              </w:rPr>
            </w:pPr>
            <m:oMathPara>
              <m:oMath>
                <m:r>
                  <w:rPr>
                    <w:rFonts w:ascii="Cambria Math" w:hAnsi="Cambria Math" w:cs="Times New Roman"/>
                  </w:rPr>
                  <m:t>Va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99</m:t>
                    </m:r>
                  </m:sub>
                </m:sSub>
                <m:r>
                  <w:rPr>
                    <w:rFonts w:ascii="Cambria Math" w:hAnsi="Cambria Math" w:cs="Times New Roman"/>
                  </w:rPr>
                  <m:t>[N(0,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m:oMathPara>
          </w:p>
        </w:tc>
        <w:tc>
          <w:tcPr>
            <w:tcW w:w="1661" w:type="dxa"/>
            <w:vAlign w:val="center"/>
          </w:tcPr>
          <w:p w14:paraId="7CCDEE1A" w14:textId="201A5B6C" w:rsidR="005227E7" w:rsidRPr="00E66B0E" w:rsidRDefault="005227E7" w:rsidP="00071E55">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4</w:t>
            </w:r>
            <w:r w:rsidR="004F70F7" w:rsidRPr="00E66B0E">
              <w:rPr>
                <w:rFonts w:ascii="Times New Roman" w:hAnsi="Times New Roman" w:cs="Times New Roman"/>
              </w:rPr>
              <w:fldChar w:fldCharType="end"/>
            </w:r>
            <w:r w:rsidRPr="00E66B0E">
              <w:rPr>
                <w:rFonts w:ascii="Times New Roman" w:hAnsi="Times New Roman" w:cs="Times New Roman"/>
              </w:rPr>
              <w:t>)</w:t>
            </w:r>
          </w:p>
        </w:tc>
      </w:tr>
    </w:tbl>
    <w:p w14:paraId="60DE33CA" w14:textId="645D1946" w:rsidR="005227E7" w:rsidRPr="00E66B0E" w:rsidRDefault="00430F94" w:rsidP="00A241A7">
      <w:pPr>
        <w:rPr>
          <w:rFonts w:ascii="Times New Roman" w:hAnsi="Times New Roman" w:cs="Times New Roman"/>
        </w:rPr>
      </w:pPr>
      <w:r w:rsidRPr="00E66B0E">
        <w:rPr>
          <w:rFonts w:ascii="Times New Roman" w:hAnsi="Times New Roman" w:cs="Times New Roman"/>
        </w:rPr>
        <w:t>信頼係数は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5227E7" w:rsidRPr="00E66B0E" w14:paraId="3C497499" w14:textId="77777777" w:rsidTr="00430F94">
        <w:tc>
          <w:tcPr>
            <w:tcW w:w="8075" w:type="dxa"/>
          </w:tcPr>
          <w:p w14:paraId="0BD44D56" w14:textId="23EDA3AA" w:rsidR="005227E7" w:rsidRPr="00E66B0E" w:rsidRDefault="00675E28" w:rsidP="00071E5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99</m:t>
                    </m:r>
                  </m:sub>
                </m:sSub>
                <m:r>
                  <w:rPr>
                    <w:rFonts w:ascii="Cambria Math" w:hAnsi="Cambria Math" w:cs="Times New Roman"/>
                  </w:rPr>
                  <m:t>[N(0,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m:oMathPara>
          </w:p>
        </w:tc>
        <w:tc>
          <w:tcPr>
            <w:tcW w:w="1661" w:type="dxa"/>
            <w:vAlign w:val="center"/>
          </w:tcPr>
          <w:p w14:paraId="6AA7A3F2" w14:textId="2B59F10F" w:rsidR="005227E7" w:rsidRPr="00E66B0E" w:rsidRDefault="00430F94" w:rsidP="00430F94">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5</w:t>
            </w:r>
            <w:r w:rsidR="004F70F7" w:rsidRPr="00E66B0E">
              <w:rPr>
                <w:rFonts w:ascii="Times New Roman" w:hAnsi="Times New Roman" w:cs="Times New Roman"/>
              </w:rPr>
              <w:fldChar w:fldCharType="end"/>
            </w:r>
            <w:r w:rsidR="005227E7" w:rsidRPr="00E66B0E">
              <w:rPr>
                <w:rFonts w:ascii="Times New Roman" w:hAnsi="Times New Roman" w:cs="Times New Roman"/>
              </w:rPr>
              <w:t>)</w:t>
            </w:r>
          </w:p>
        </w:tc>
      </w:tr>
    </w:tbl>
    <w:p w14:paraId="086AFF64" w14:textId="64A22D5A" w:rsidR="005227E7" w:rsidRPr="00E66B0E" w:rsidRDefault="000F14DB" w:rsidP="00A241A7">
      <w:pPr>
        <w:rPr>
          <w:rFonts w:ascii="Times New Roman" w:hAnsi="Times New Roman" w:cs="Times New Roman"/>
        </w:rPr>
      </w:pPr>
      <w:r w:rsidRPr="00E66B0E">
        <w:rPr>
          <w:rFonts w:ascii="Times New Roman" w:hAnsi="Times New Roman" w:cs="Times New Roman"/>
        </w:rPr>
        <w:t>と記述する．</w:t>
      </w:r>
    </w:p>
    <w:p w14:paraId="3CB2BF6B" w14:textId="30665107" w:rsidR="000F14DB" w:rsidRPr="00E66B0E" w:rsidRDefault="000F14DB" w:rsidP="00A241A7">
      <w:pPr>
        <w:rPr>
          <w:rFonts w:ascii="Times New Roman" w:hAnsi="Times New Roman" w:cs="Times New Roman"/>
        </w:rPr>
      </w:pPr>
    </w:p>
    <w:p w14:paraId="603F3542" w14:textId="4998ED51" w:rsidR="000F14DB" w:rsidRPr="00E66B0E" w:rsidRDefault="00A04A99" w:rsidP="00A04A99">
      <w:pPr>
        <w:pStyle w:val="2"/>
        <w:rPr>
          <w:rFonts w:ascii="Times New Roman" w:hAnsi="Times New Roman" w:cs="Times New Roman"/>
        </w:rPr>
      </w:pPr>
      <w:r w:rsidRPr="00E66B0E">
        <w:rPr>
          <w:rFonts w:ascii="Times New Roman" w:hAnsi="Times New Roman" w:cs="Times New Roman"/>
        </w:rPr>
        <w:t xml:space="preserve">　</w:t>
      </w:r>
      <w:proofErr w:type="spellStart"/>
      <w:r w:rsidRPr="00E66B0E">
        <w:rPr>
          <w:rFonts w:ascii="Times New Roman" w:hAnsi="Times New Roman" w:cs="Times New Roman"/>
        </w:rPr>
        <w:t>VaR</w:t>
      </w:r>
      <w:proofErr w:type="spellEnd"/>
      <w:r w:rsidRPr="00E66B0E">
        <w:rPr>
          <w:rFonts w:ascii="Times New Roman" w:hAnsi="Times New Roman" w:cs="Times New Roman"/>
        </w:rPr>
        <w:t>の概念まとめ</w:t>
      </w:r>
    </w:p>
    <w:p w14:paraId="0AD50CC1" w14:textId="3463574A" w:rsidR="00EC2C25" w:rsidRPr="00E66B0E" w:rsidRDefault="000717B2" w:rsidP="000717B2">
      <w:pPr>
        <w:jc w:val="center"/>
        <w:rPr>
          <w:rFonts w:ascii="Times New Roman" w:hAnsi="Times New Roman" w:cs="Times New Roman"/>
        </w:rPr>
      </w:pPr>
      <w:r w:rsidRPr="00E66B0E">
        <w:rPr>
          <w:rFonts w:ascii="Times New Roman" w:hAnsi="Times New Roman" w:cs="Times New Roman"/>
          <w:noProof/>
        </w:rPr>
        <w:drawing>
          <wp:inline distT="0" distB="0" distL="0" distR="0" wp14:anchorId="2A9D53D5" wp14:editId="426EEC12">
            <wp:extent cx="5232694" cy="3208030"/>
            <wp:effectExtent l="0" t="0" r="635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773" cy="3228923"/>
                    </a:xfrm>
                    <a:prstGeom prst="rect">
                      <a:avLst/>
                    </a:prstGeom>
                    <a:noFill/>
                    <a:ln>
                      <a:noFill/>
                    </a:ln>
                  </pic:spPr>
                </pic:pic>
              </a:graphicData>
            </a:graphic>
          </wp:inline>
        </w:drawing>
      </w:r>
    </w:p>
    <w:p w14:paraId="6218892C" w14:textId="1DCD07CA" w:rsidR="000717B2" w:rsidRPr="00E66B0E" w:rsidRDefault="002B51A8" w:rsidP="002B51A8">
      <w:pPr>
        <w:pStyle w:val="ac"/>
        <w:jc w:val="center"/>
        <w:rPr>
          <w:rFonts w:ascii="Times New Roman" w:hAnsi="Times New Roman" w:cs="Times New Roman"/>
        </w:rPr>
      </w:pPr>
      <w:r w:rsidRPr="00E66B0E">
        <w:rPr>
          <w:rFonts w:ascii="Times New Roman" w:hAnsi="Times New Roman" w:cs="Times New Roman"/>
        </w:rPr>
        <w:t>図</w:t>
      </w:r>
      <w:r w:rsidRPr="00E66B0E">
        <w:rPr>
          <w:rFonts w:ascii="Times New Roman" w:hAnsi="Times New Roman" w:cs="Times New Roman"/>
        </w:rPr>
        <w:t xml:space="preserve"> </w:t>
      </w:r>
      <w:r w:rsidR="00140778">
        <w:rPr>
          <w:rFonts w:ascii="Times New Roman" w:hAnsi="Times New Roman" w:cs="Times New Roman"/>
        </w:rPr>
        <w:fldChar w:fldCharType="begin"/>
      </w:r>
      <w:r w:rsidR="00140778">
        <w:rPr>
          <w:rFonts w:ascii="Times New Roman" w:hAnsi="Times New Roman" w:cs="Times New Roman"/>
        </w:rPr>
        <w:instrText xml:space="preserve"> STYLEREF 1 \s </w:instrText>
      </w:r>
      <w:r w:rsidR="00140778">
        <w:rPr>
          <w:rFonts w:ascii="Times New Roman" w:hAnsi="Times New Roman" w:cs="Times New Roman"/>
        </w:rPr>
        <w:fldChar w:fldCharType="separate"/>
      </w:r>
      <w:r w:rsidR="00140778">
        <w:rPr>
          <w:rFonts w:ascii="Times New Roman" w:hAnsi="Times New Roman" w:cs="Times New Roman"/>
          <w:noProof/>
        </w:rPr>
        <w:t>2</w:t>
      </w:r>
      <w:r w:rsidR="00140778">
        <w:rPr>
          <w:rFonts w:ascii="Times New Roman" w:hAnsi="Times New Roman" w:cs="Times New Roman"/>
        </w:rPr>
        <w:fldChar w:fldCharType="end"/>
      </w:r>
      <w:r w:rsidR="00140778">
        <w:rPr>
          <w:rFonts w:ascii="Times New Roman" w:hAnsi="Times New Roman" w:cs="Times New Roman"/>
        </w:rPr>
        <w:noBreakHyphen/>
      </w:r>
      <w:r w:rsidR="00140778">
        <w:rPr>
          <w:rFonts w:ascii="Times New Roman" w:hAnsi="Times New Roman" w:cs="Times New Roman"/>
        </w:rPr>
        <w:fldChar w:fldCharType="begin"/>
      </w:r>
      <w:r w:rsidR="00140778">
        <w:rPr>
          <w:rFonts w:ascii="Times New Roman" w:hAnsi="Times New Roman" w:cs="Times New Roman"/>
        </w:rPr>
        <w:instrText xml:space="preserve"> SEQ </w:instrText>
      </w:r>
      <w:r w:rsidR="00140778">
        <w:rPr>
          <w:rFonts w:ascii="Times New Roman" w:hAnsi="Times New Roman" w:cs="Times New Roman"/>
        </w:rPr>
        <w:instrText>図</w:instrText>
      </w:r>
      <w:r w:rsidR="00140778">
        <w:rPr>
          <w:rFonts w:ascii="Times New Roman" w:hAnsi="Times New Roman" w:cs="Times New Roman"/>
        </w:rPr>
        <w:instrText xml:space="preserve"> \* ARABIC \s 1 </w:instrText>
      </w:r>
      <w:r w:rsidR="00140778">
        <w:rPr>
          <w:rFonts w:ascii="Times New Roman" w:hAnsi="Times New Roman" w:cs="Times New Roman"/>
        </w:rPr>
        <w:fldChar w:fldCharType="separate"/>
      </w:r>
      <w:r w:rsidR="00140778">
        <w:rPr>
          <w:rFonts w:ascii="Times New Roman" w:hAnsi="Times New Roman" w:cs="Times New Roman"/>
          <w:noProof/>
        </w:rPr>
        <w:t>2</w:t>
      </w:r>
      <w:r w:rsidR="00140778">
        <w:rPr>
          <w:rFonts w:ascii="Times New Roman" w:hAnsi="Times New Roman" w:cs="Times New Roman"/>
        </w:rPr>
        <w:fldChar w:fldCharType="end"/>
      </w:r>
      <w:r w:rsidRPr="00E66B0E">
        <w:rPr>
          <w:rFonts w:ascii="Times New Roman" w:hAnsi="Times New Roman" w:cs="Times New Roman"/>
        </w:rPr>
        <w:t xml:space="preserve">　</w:t>
      </w:r>
      <w:proofErr w:type="spellStart"/>
      <w:r w:rsidRPr="00E66B0E">
        <w:rPr>
          <w:rFonts w:ascii="Times New Roman" w:hAnsi="Times New Roman" w:cs="Times New Roman"/>
        </w:rPr>
        <w:t>VaR</w:t>
      </w:r>
      <w:proofErr w:type="spellEnd"/>
      <w:r w:rsidRPr="00E66B0E">
        <w:rPr>
          <w:rFonts w:ascii="Times New Roman" w:hAnsi="Times New Roman" w:cs="Times New Roman"/>
        </w:rPr>
        <w:t>計測の概念図</w:t>
      </w:r>
    </w:p>
    <w:p w14:paraId="4C389148" w14:textId="312A4BE7" w:rsidR="002B51A8" w:rsidRPr="00E66B0E" w:rsidRDefault="002B51A8" w:rsidP="002B51A8">
      <w:pPr>
        <w:rPr>
          <w:rFonts w:ascii="Times New Roman" w:hAnsi="Times New Roman" w:cs="Times New Roman"/>
        </w:rPr>
      </w:pPr>
    </w:p>
    <w:p w14:paraId="3EAEA11A" w14:textId="47B054FE" w:rsidR="002B51A8" w:rsidRPr="00E66B0E" w:rsidRDefault="00FE615E" w:rsidP="002B51A8">
      <w:pPr>
        <w:rPr>
          <w:rFonts w:ascii="Times New Roman" w:hAnsi="Times New Roman" w:cs="Times New Roman"/>
        </w:rPr>
      </w:pPr>
      <w:r w:rsidRPr="00E66B0E">
        <w:rPr>
          <w:rFonts w:ascii="Times New Roman" w:hAnsi="Times New Roman" w:cs="Times New Roman"/>
        </w:rPr>
        <w:t>【</w:t>
      </w:r>
      <w:proofErr w:type="spellStart"/>
      <w:r w:rsidRPr="00E66B0E">
        <w:rPr>
          <w:rFonts w:ascii="Times New Roman" w:hAnsi="Times New Roman" w:cs="Times New Roman"/>
        </w:rPr>
        <w:t>VaR</w:t>
      </w:r>
      <w:proofErr w:type="spellEnd"/>
      <w:r w:rsidRPr="00E66B0E">
        <w:rPr>
          <w:rFonts w:ascii="Times New Roman" w:hAnsi="Times New Roman" w:cs="Times New Roman"/>
        </w:rPr>
        <w:t>の推計】</w:t>
      </w:r>
    </w:p>
    <w:p w14:paraId="1652236D" w14:textId="1C0E1DA3" w:rsidR="00CB7123" w:rsidRPr="00E66B0E" w:rsidRDefault="00CB7123" w:rsidP="002B51A8">
      <w:pPr>
        <w:rPr>
          <w:rFonts w:ascii="Times New Roman" w:hAnsi="Times New Roman" w:cs="Times New Roman"/>
        </w:rPr>
      </w:pPr>
      <w:r w:rsidRPr="00E66B0E">
        <w:rPr>
          <w:rFonts w:ascii="Times New Roman" w:hAnsi="Times New Roman" w:cs="Times New Roman"/>
        </w:rPr>
        <w:t>過去の観測期間におけるマーケット変動を参考として，</w:t>
      </w:r>
      <w:r w:rsidR="008250D6" w:rsidRPr="00E66B0E">
        <w:rPr>
          <w:rFonts w:ascii="Times New Roman" w:hAnsi="Times New Roman" w:cs="Times New Roman"/>
        </w:rPr>
        <w:t>保有期間経過後の価格変動に正規分布などの確率分布を仮定して，信頼水準に対応する</w:t>
      </w:r>
      <w:r w:rsidR="00BD2654" w:rsidRPr="00E66B0E">
        <w:rPr>
          <w:rFonts w:ascii="Times New Roman" w:hAnsi="Times New Roman" w:cs="Times New Roman"/>
        </w:rPr>
        <w:t>確率で生じる損失額の最大値を推定することになる．</w:t>
      </w:r>
    </w:p>
    <w:p w14:paraId="6493BE38" w14:textId="12F5598A" w:rsidR="00BD2654" w:rsidRPr="00E66B0E" w:rsidRDefault="00BD2654" w:rsidP="002B51A8">
      <w:pPr>
        <w:rPr>
          <w:rFonts w:ascii="Times New Roman" w:hAnsi="Times New Roman" w:cs="Times New Roman"/>
        </w:rPr>
      </w:pPr>
    </w:p>
    <w:p w14:paraId="6978CBE3" w14:textId="2F591D20" w:rsidR="00BD2654" w:rsidRPr="00E66B0E" w:rsidRDefault="00BD2654" w:rsidP="002B51A8">
      <w:pPr>
        <w:rPr>
          <w:rFonts w:ascii="Times New Roman" w:hAnsi="Times New Roman" w:cs="Times New Roman"/>
        </w:rPr>
      </w:pPr>
      <w:r w:rsidRPr="00E66B0E">
        <w:rPr>
          <w:rFonts w:ascii="Times New Roman" w:hAnsi="Times New Roman" w:cs="Times New Roman"/>
        </w:rPr>
        <w:t>【</w:t>
      </w:r>
      <w:proofErr w:type="spellStart"/>
      <w:r w:rsidRPr="00E66B0E">
        <w:rPr>
          <w:rFonts w:ascii="Times New Roman" w:hAnsi="Times New Roman" w:cs="Times New Roman"/>
        </w:rPr>
        <w:t>VaR</w:t>
      </w:r>
      <w:proofErr w:type="spellEnd"/>
      <w:r w:rsidRPr="00E66B0E">
        <w:rPr>
          <w:rFonts w:ascii="Times New Roman" w:hAnsi="Times New Roman" w:cs="Times New Roman"/>
        </w:rPr>
        <w:t>の特徴】</w:t>
      </w:r>
    </w:p>
    <w:p w14:paraId="08BF2194" w14:textId="245BF634" w:rsidR="00BD2654" w:rsidRPr="00E66B0E" w:rsidRDefault="00E03B64" w:rsidP="009320AD">
      <w:pPr>
        <w:pStyle w:val="a7"/>
        <w:numPr>
          <w:ilvl w:val="0"/>
          <w:numId w:val="10"/>
        </w:numPr>
        <w:pBdr>
          <w:top w:val="single" w:sz="4" w:space="1" w:color="auto" w:shadow="1"/>
          <w:left w:val="single" w:sz="4" w:space="4" w:color="auto" w:shadow="1"/>
          <w:bottom w:val="single" w:sz="4" w:space="1" w:color="auto" w:shadow="1"/>
          <w:right w:val="single" w:sz="4" w:space="4" w:color="auto" w:shadow="1"/>
        </w:pBdr>
        <w:ind w:leftChars="0"/>
        <w:rPr>
          <w:rFonts w:ascii="Times New Roman" w:hAnsi="Times New Roman" w:cs="Times New Roman"/>
        </w:rPr>
      </w:pPr>
      <w:r w:rsidRPr="00E66B0E">
        <w:rPr>
          <w:rFonts w:ascii="Times New Roman" w:hAnsi="Times New Roman" w:cs="Times New Roman"/>
        </w:rPr>
        <w:t>多種多様なポートフォリオのリスクを，「ある一定の確率のもとで損失可能性」という共通の尺度で比較できる．</w:t>
      </w:r>
    </w:p>
    <w:p w14:paraId="7701013B" w14:textId="0114F2C4" w:rsidR="00E03B64" w:rsidRPr="00E66B0E" w:rsidRDefault="00E03B64" w:rsidP="009320AD">
      <w:pPr>
        <w:pStyle w:val="a7"/>
        <w:numPr>
          <w:ilvl w:val="0"/>
          <w:numId w:val="10"/>
        </w:numPr>
        <w:pBdr>
          <w:top w:val="single" w:sz="4" w:space="1" w:color="auto" w:shadow="1"/>
          <w:left w:val="single" w:sz="4" w:space="4" w:color="auto" w:shadow="1"/>
          <w:bottom w:val="single" w:sz="4" w:space="1" w:color="auto" w:shadow="1"/>
          <w:right w:val="single" w:sz="4" w:space="4" w:color="auto" w:shadow="1"/>
        </w:pBdr>
        <w:ind w:leftChars="0"/>
        <w:rPr>
          <w:rFonts w:ascii="Times New Roman" w:hAnsi="Times New Roman" w:cs="Times New Roman"/>
        </w:rPr>
      </w:pPr>
      <w:r w:rsidRPr="00E66B0E">
        <w:rPr>
          <w:rFonts w:ascii="Times New Roman" w:hAnsi="Times New Roman" w:cs="Times New Roman"/>
        </w:rPr>
        <w:t>様々な</w:t>
      </w:r>
      <w:r w:rsidR="009320AD" w:rsidRPr="00E66B0E">
        <w:rPr>
          <w:rFonts w:ascii="Times New Roman" w:hAnsi="Times New Roman" w:cs="Times New Roman"/>
        </w:rPr>
        <w:t>リスク要因相互の関連を考慮し，投資戦略の全体の予想損益変化を認識でいるため，自己資本等との比較が可能である．</w:t>
      </w:r>
    </w:p>
    <w:p w14:paraId="1BB20094" w14:textId="7322156C" w:rsidR="009320AD" w:rsidRPr="00E66B0E" w:rsidRDefault="009320AD" w:rsidP="009320AD">
      <w:pPr>
        <w:pStyle w:val="a7"/>
        <w:numPr>
          <w:ilvl w:val="0"/>
          <w:numId w:val="10"/>
        </w:numPr>
        <w:pBdr>
          <w:top w:val="single" w:sz="4" w:space="1" w:color="auto" w:shadow="1"/>
          <w:left w:val="single" w:sz="4" w:space="4" w:color="auto" w:shadow="1"/>
          <w:bottom w:val="single" w:sz="4" w:space="1" w:color="auto" w:shadow="1"/>
          <w:right w:val="single" w:sz="4" w:space="4" w:color="auto" w:shadow="1"/>
        </w:pBdr>
        <w:ind w:leftChars="0"/>
        <w:rPr>
          <w:rFonts w:ascii="Times New Roman" w:hAnsi="Times New Roman" w:cs="Times New Roman"/>
        </w:rPr>
      </w:pPr>
      <w:r w:rsidRPr="00E66B0E">
        <w:rPr>
          <w:rFonts w:ascii="Times New Roman" w:hAnsi="Times New Roman" w:cs="Times New Roman"/>
        </w:rPr>
        <w:lastRenderedPageBreak/>
        <w:t>統計的手法により，理論的な裏付けがある．</w:t>
      </w:r>
    </w:p>
    <w:p w14:paraId="1DCBEFD0" w14:textId="77777777" w:rsidR="00C746EB" w:rsidRPr="00E66B0E" w:rsidRDefault="00C746EB" w:rsidP="003226E2">
      <w:pPr>
        <w:tabs>
          <w:tab w:val="left" w:pos="2897"/>
        </w:tabs>
        <w:rPr>
          <w:rFonts w:ascii="Times New Roman" w:hAnsi="Times New Roman" w:cs="Times New Roman"/>
        </w:rPr>
        <w:sectPr w:rsidR="00C746EB" w:rsidRPr="00E66B0E" w:rsidSect="005D54A9">
          <w:footerReference w:type="default" r:id="rId12"/>
          <w:pgSz w:w="11906" w:h="16838"/>
          <w:pgMar w:top="1440" w:right="1080" w:bottom="1440" w:left="1080" w:header="851" w:footer="992" w:gutter="0"/>
          <w:cols w:space="425"/>
          <w:docGrid w:type="lines" w:linePitch="360"/>
        </w:sectPr>
      </w:pPr>
    </w:p>
    <w:p w14:paraId="43E06D56" w14:textId="77777777" w:rsidR="00C746EB" w:rsidRPr="00E66B0E" w:rsidRDefault="00C746EB" w:rsidP="003226E2">
      <w:pPr>
        <w:tabs>
          <w:tab w:val="left" w:pos="2897"/>
        </w:tabs>
        <w:rPr>
          <w:rFonts w:ascii="Times New Roman" w:hAnsi="Times New Roman" w:cs="Times New Roman"/>
        </w:rPr>
        <w:sectPr w:rsidR="00C746EB" w:rsidRPr="00E66B0E" w:rsidSect="005D54A9">
          <w:type w:val="continuous"/>
          <w:pgSz w:w="11906" w:h="16838"/>
          <w:pgMar w:top="1440" w:right="1080" w:bottom="1440" w:left="1080" w:header="851" w:footer="992" w:gutter="0"/>
          <w:cols w:space="425"/>
          <w:docGrid w:type="lines" w:linePitch="360"/>
        </w:sectPr>
      </w:pPr>
    </w:p>
    <w:p w14:paraId="44FA5189" w14:textId="1FE14CB8" w:rsidR="003226E2" w:rsidRPr="00E66B0E" w:rsidRDefault="003226E2" w:rsidP="003226E2">
      <w:pPr>
        <w:pStyle w:val="2"/>
        <w:rPr>
          <w:rFonts w:ascii="Times New Roman" w:hAnsi="Times New Roman" w:cs="Times New Roman"/>
        </w:rPr>
      </w:pPr>
      <w:r w:rsidRPr="00E66B0E">
        <w:rPr>
          <w:rFonts w:ascii="Times New Roman" w:hAnsi="Times New Roman" w:cs="Times New Roman"/>
        </w:rPr>
        <w:lastRenderedPageBreak/>
        <w:t xml:space="preserve">　</w:t>
      </w:r>
      <w:proofErr w:type="spellStart"/>
      <w:r w:rsidRPr="00E66B0E">
        <w:rPr>
          <w:rFonts w:ascii="Times New Roman" w:hAnsi="Times New Roman" w:cs="Times New Roman"/>
        </w:rPr>
        <w:t>VaR</w:t>
      </w:r>
      <w:proofErr w:type="spellEnd"/>
      <w:r w:rsidRPr="00E66B0E">
        <w:rPr>
          <w:rFonts w:ascii="Times New Roman" w:hAnsi="Times New Roman" w:cs="Times New Roman"/>
        </w:rPr>
        <w:t>とポートフォリオ理論の相違点と共通点</w:t>
      </w:r>
    </w:p>
    <w:p w14:paraId="53EF9480" w14:textId="5772C50A" w:rsidR="00C3317E" w:rsidRPr="00E66B0E" w:rsidRDefault="00C3317E" w:rsidP="003226E2">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の計算方法の</w:t>
      </w:r>
      <w:r w:rsidRPr="00E66B0E">
        <w:rPr>
          <w:rFonts w:ascii="Times New Roman" w:hAnsi="Times New Roman" w:cs="Times New Roman"/>
        </w:rPr>
        <w:t>1</w:t>
      </w:r>
      <w:r w:rsidRPr="00E66B0E">
        <w:rPr>
          <w:rFonts w:ascii="Times New Roman" w:hAnsi="Times New Roman" w:cs="Times New Roman"/>
        </w:rPr>
        <w:t>つであるデルタ法が，ポートフォリオ理論の計算過程と同様の手続きを踏むため，</w:t>
      </w:r>
      <w:r w:rsidR="00F43D1F" w:rsidRPr="00E66B0E">
        <w:rPr>
          <w:rFonts w:ascii="Times New Roman" w:hAnsi="Times New Roman" w:cs="Times New Roman"/>
        </w:rPr>
        <w:t>2</w:t>
      </w:r>
      <w:r w:rsidR="00F43D1F" w:rsidRPr="00E66B0E">
        <w:rPr>
          <w:rFonts w:ascii="Times New Roman" w:hAnsi="Times New Roman" w:cs="Times New Roman"/>
        </w:rPr>
        <w:t>つは近い概念として認識される．</w:t>
      </w:r>
    </w:p>
    <w:p w14:paraId="1C269326" w14:textId="49940858" w:rsidR="00F43D1F" w:rsidRPr="00E66B0E" w:rsidRDefault="00F43D1F" w:rsidP="003226E2">
      <w:pPr>
        <w:rPr>
          <w:rFonts w:ascii="Times New Roman" w:hAnsi="Times New Roman" w:cs="Times New Roman"/>
        </w:rPr>
      </w:pPr>
    </w:p>
    <w:tbl>
      <w:tblPr>
        <w:tblStyle w:val="ab"/>
        <w:tblW w:w="0" w:type="auto"/>
        <w:tblLook w:val="04A0" w:firstRow="1" w:lastRow="0" w:firstColumn="1" w:lastColumn="0" w:noHBand="0" w:noVBand="1"/>
      </w:tblPr>
      <w:tblGrid>
        <w:gridCol w:w="1980"/>
        <w:gridCol w:w="4111"/>
        <w:gridCol w:w="4110"/>
        <w:gridCol w:w="3747"/>
      </w:tblGrid>
      <w:tr w:rsidR="00555915" w:rsidRPr="00E66B0E" w14:paraId="3C164CC2" w14:textId="77777777" w:rsidTr="00555915">
        <w:tc>
          <w:tcPr>
            <w:tcW w:w="1980" w:type="dxa"/>
            <w:shd w:val="clear" w:color="auto" w:fill="002060"/>
          </w:tcPr>
          <w:p w14:paraId="2868B847" w14:textId="77777777" w:rsidR="00555915" w:rsidRPr="00E66B0E" w:rsidRDefault="00555915" w:rsidP="003226E2">
            <w:pPr>
              <w:rPr>
                <w:rFonts w:ascii="Times New Roman" w:hAnsi="Times New Roman" w:cs="Times New Roman"/>
              </w:rPr>
            </w:pPr>
          </w:p>
        </w:tc>
        <w:tc>
          <w:tcPr>
            <w:tcW w:w="4111" w:type="dxa"/>
            <w:shd w:val="clear" w:color="auto" w:fill="002060"/>
            <w:vAlign w:val="center"/>
          </w:tcPr>
          <w:p w14:paraId="54723FD4" w14:textId="4D2A9859"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ポートフォリオ理論</w:t>
            </w:r>
          </w:p>
        </w:tc>
        <w:tc>
          <w:tcPr>
            <w:tcW w:w="4110" w:type="dxa"/>
            <w:shd w:val="clear" w:color="auto" w:fill="002060"/>
            <w:vAlign w:val="center"/>
          </w:tcPr>
          <w:p w14:paraId="3E077F28" w14:textId="777FAABB" w:rsidR="00555915" w:rsidRPr="00E66B0E" w:rsidRDefault="00555915" w:rsidP="00555915">
            <w:pPr>
              <w:jc w:val="center"/>
              <w:rPr>
                <w:rFonts w:ascii="Times New Roman" w:hAnsi="Times New Roman" w:cs="Times New Roman"/>
                <w:b/>
                <w:bCs/>
              </w:rPr>
            </w:pPr>
            <w:proofErr w:type="spellStart"/>
            <w:r w:rsidRPr="00E66B0E">
              <w:rPr>
                <w:rFonts w:ascii="Times New Roman" w:hAnsi="Times New Roman" w:cs="Times New Roman"/>
                <w:b/>
                <w:bCs/>
              </w:rPr>
              <w:t>VaR</w:t>
            </w:r>
            <w:proofErr w:type="spellEnd"/>
          </w:p>
        </w:tc>
        <w:tc>
          <w:tcPr>
            <w:tcW w:w="3747" w:type="dxa"/>
            <w:shd w:val="clear" w:color="auto" w:fill="002060"/>
            <w:vAlign w:val="center"/>
          </w:tcPr>
          <w:p w14:paraId="40A604E3" w14:textId="7ED0CDB2"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評価</w:t>
            </w:r>
          </w:p>
        </w:tc>
      </w:tr>
      <w:tr w:rsidR="00555915" w:rsidRPr="00E66B0E" w14:paraId="33EC1837" w14:textId="77777777" w:rsidTr="00555915">
        <w:tc>
          <w:tcPr>
            <w:tcW w:w="1980" w:type="dxa"/>
            <w:shd w:val="clear" w:color="auto" w:fill="002060"/>
            <w:vAlign w:val="center"/>
          </w:tcPr>
          <w:p w14:paraId="3E8B9594" w14:textId="0121DB51"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リスクの指標</w:t>
            </w:r>
          </w:p>
        </w:tc>
        <w:tc>
          <w:tcPr>
            <w:tcW w:w="4111" w:type="dxa"/>
          </w:tcPr>
          <w:p w14:paraId="0BF62636" w14:textId="3B4CC42D" w:rsidR="00555915" w:rsidRPr="00E66B0E" w:rsidRDefault="00AD33F0" w:rsidP="003226E2">
            <w:pPr>
              <w:rPr>
                <w:rFonts w:ascii="Times New Roman" w:hAnsi="Times New Roman" w:cs="Times New Roman"/>
              </w:rPr>
            </w:pPr>
            <w:r w:rsidRPr="00E66B0E">
              <w:rPr>
                <w:rFonts w:ascii="Times New Roman" w:hAnsi="Times New Roman" w:cs="Times New Roman"/>
              </w:rPr>
              <w:t>収益率の標準偏差</w:t>
            </w:r>
          </w:p>
        </w:tc>
        <w:tc>
          <w:tcPr>
            <w:tcW w:w="4110" w:type="dxa"/>
          </w:tcPr>
          <w:p w14:paraId="7D24981E" w14:textId="4D4B86A1" w:rsidR="00555915" w:rsidRPr="00E66B0E" w:rsidRDefault="00AD33F0" w:rsidP="003226E2">
            <w:pPr>
              <w:rPr>
                <w:rFonts w:ascii="Times New Roman" w:hAnsi="Times New Roman" w:cs="Times New Roman"/>
              </w:rPr>
            </w:pPr>
            <w:r w:rsidRPr="00E66B0E">
              <w:rPr>
                <w:rFonts w:ascii="Times New Roman" w:hAnsi="Times New Roman" w:cs="Times New Roman"/>
              </w:rPr>
              <w:t>最大損失額または最大損失率</w:t>
            </w:r>
          </w:p>
        </w:tc>
        <w:tc>
          <w:tcPr>
            <w:tcW w:w="3747" w:type="dxa"/>
          </w:tcPr>
          <w:p w14:paraId="7FECA111" w14:textId="2650E03E" w:rsidR="00555915" w:rsidRPr="00E66B0E" w:rsidRDefault="00AD33F0" w:rsidP="003226E2">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の方が直感的に理解しやすい</w:t>
            </w:r>
          </w:p>
        </w:tc>
      </w:tr>
      <w:tr w:rsidR="00555915" w:rsidRPr="00E66B0E" w14:paraId="4C6A76A6" w14:textId="77777777" w:rsidTr="00555915">
        <w:tc>
          <w:tcPr>
            <w:tcW w:w="1980" w:type="dxa"/>
            <w:shd w:val="clear" w:color="auto" w:fill="002060"/>
            <w:vAlign w:val="center"/>
          </w:tcPr>
          <w:p w14:paraId="0369C662" w14:textId="7DFFDD74"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リスクの計算方法</w:t>
            </w:r>
          </w:p>
        </w:tc>
        <w:tc>
          <w:tcPr>
            <w:tcW w:w="4111" w:type="dxa"/>
          </w:tcPr>
          <w:p w14:paraId="0BEC4D42" w14:textId="789EA846" w:rsidR="00555915" w:rsidRPr="00E66B0E" w:rsidRDefault="0090359A" w:rsidP="003226E2">
            <w:pPr>
              <w:rPr>
                <w:rFonts w:ascii="Times New Roman" w:hAnsi="Times New Roman" w:cs="Times New Roman"/>
              </w:rPr>
            </w:pPr>
            <w:r w:rsidRPr="00E66B0E">
              <w:rPr>
                <w:rFonts w:ascii="Times New Roman" w:hAnsi="Times New Roman" w:cs="Times New Roman"/>
              </w:rPr>
              <w:t>分散共分散法</w:t>
            </w:r>
          </w:p>
        </w:tc>
        <w:tc>
          <w:tcPr>
            <w:tcW w:w="4110" w:type="dxa"/>
          </w:tcPr>
          <w:p w14:paraId="3860E51B" w14:textId="77777777" w:rsidR="00555915" w:rsidRPr="00E66B0E" w:rsidRDefault="0090359A" w:rsidP="003226E2">
            <w:pPr>
              <w:rPr>
                <w:rFonts w:ascii="Times New Roman" w:hAnsi="Times New Roman" w:cs="Times New Roman"/>
              </w:rPr>
            </w:pPr>
            <w:r w:rsidRPr="00E66B0E">
              <w:rPr>
                <w:rFonts w:ascii="Times New Roman" w:hAnsi="Times New Roman" w:cs="Times New Roman"/>
              </w:rPr>
              <w:t>分散共分散法</w:t>
            </w:r>
          </w:p>
          <w:p w14:paraId="13A2677D" w14:textId="77777777" w:rsidR="0090359A" w:rsidRPr="00E66B0E" w:rsidRDefault="0090359A" w:rsidP="003226E2">
            <w:pPr>
              <w:rPr>
                <w:rFonts w:ascii="Times New Roman" w:hAnsi="Times New Roman" w:cs="Times New Roman"/>
              </w:rPr>
            </w:pPr>
            <w:r w:rsidRPr="00E66B0E">
              <w:rPr>
                <w:rFonts w:ascii="Times New Roman" w:hAnsi="Times New Roman" w:cs="Times New Roman"/>
              </w:rPr>
              <w:t>モンテカルロ法</w:t>
            </w:r>
          </w:p>
          <w:p w14:paraId="035CA48A" w14:textId="795FDA1B" w:rsidR="0090359A" w:rsidRPr="00E66B0E" w:rsidRDefault="0090359A" w:rsidP="003226E2">
            <w:pPr>
              <w:rPr>
                <w:rFonts w:ascii="Times New Roman" w:hAnsi="Times New Roman" w:cs="Times New Roman"/>
              </w:rPr>
            </w:pPr>
            <w:r w:rsidRPr="00E66B0E">
              <w:rPr>
                <w:rFonts w:ascii="Times New Roman" w:hAnsi="Times New Roman" w:cs="Times New Roman"/>
              </w:rPr>
              <w:t>ヒストリカル法</w:t>
            </w:r>
          </w:p>
        </w:tc>
        <w:tc>
          <w:tcPr>
            <w:tcW w:w="3747" w:type="dxa"/>
          </w:tcPr>
          <w:p w14:paraId="1420E128" w14:textId="138FACF1" w:rsidR="00555915" w:rsidRPr="00E66B0E" w:rsidRDefault="0090359A" w:rsidP="003226E2">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はポートフォリオ理論の応用ではない</w:t>
            </w:r>
          </w:p>
        </w:tc>
      </w:tr>
      <w:tr w:rsidR="00555915" w:rsidRPr="00E66B0E" w14:paraId="1384DA51" w14:textId="77777777" w:rsidTr="00555915">
        <w:tc>
          <w:tcPr>
            <w:tcW w:w="1980" w:type="dxa"/>
            <w:shd w:val="clear" w:color="auto" w:fill="002060"/>
            <w:vAlign w:val="center"/>
          </w:tcPr>
          <w:p w14:paraId="2B56A435" w14:textId="4B4A8D06"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適応範囲</w:t>
            </w:r>
          </w:p>
        </w:tc>
        <w:tc>
          <w:tcPr>
            <w:tcW w:w="4111" w:type="dxa"/>
          </w:tcPr>
          <w:p w14:paraId="35E6604B" w14:textId="3C282E98" w:rsidR="00555915" w:rsidRPr="00E66B0E" w:rsidRDefault="00A24504" w:rsidP="003226E2">
            <w:pPr>
              <w:rPr>
                <w:rFonts w:ascii="Times New Roman" w:hAnsi="Times New Roman" w:cs="Times New Roman"/>
              </w:rPr>
            </w:pPr>
            <w:r w:rsidRPr="00E66B0E">
              <w:rPr>
                <w:rFonts w:ascii="Times New Roman" w:hAnsi="Times New Roman" w:cs="Times New Roman"/>
              </w:rPr>
              <w:t>市場リスクのみ</w:t>
            </w:r>
          </w:p>
        </w:tc>
        <w:tc>
          <w:tcPr>
            <w:tcW w:w="4110" w:type="dxa"/>
          </w:tcPr>
          <w:p w14:paraId="65B1F527" w14:textId="77777777" w:rsidR="00A24504" w:rsidRPr="00E66B0E" w:rsidRDefault="00A24504" w:rsidP="003226E2">
            <w:pPr>
              <w:rPr>
                <w:rFonts w:ascii="Times New Roman" w:hAnsi="Times New Roman" w:cs="Times New Roman"/>
              </w:rPr>
            </w:pPr>
            <w:r w:rsidRPr="00E66B0E">
              <w:rPr>
                <w:rFonts w:ascii="Times New Roman" w:hAnsi="Times New Roman" w:cs="Times New Roman"/>
              </w:rPr>
              <w:t>市場リスク</w:t>
            </w:r>
          </w:p>
          <w:p w14:paraId="357409C0" w14:textId="77777777" w:rsidR="00A24504" w:rsidRPr="00E66B0E" w:rsidRDefault="00A24504" w:rsidP="003226E2">
            <w:pPr>
              <w:rPr>
                <w:rFonts w:ascii="Times New Roman" w:hAnsi="Times New Roman" w:cs="Times New Roman"/>
              </w:rPr>
            </w:pPr>
            <w:r w:rsidRPr="00E66B0E">
              <w:rPr>
                <w:rFonts w:ascii="Times New Roman" w:hAnsi="Times New Roman" w:cs="Times New Roman"/>
              </w:rPr>
              <w:t>クレジットリスク</w:t>
            </w:r>
          </w:p>
          <w:p w14:paraId="6208EB52" w14:textId="2852AD0B" w:rsidR="00A24504" w:rsidRPr="00E66B0E" w:rsidRDefault="00A24504" w:rsidP="003226E2">
            <w:pPr>
              <w:rPr>
                <w:rFonts w:ascii="Times New Roman" w:hAnsi="Times New Roman" w:cs="Times New Roman"/>
              </w:rPr>
            </w:pPr>
            <w:r w:rsidRPr="00E66B0E">
              <w:rPr>
                <w:rFonts w:ascii="Times New Roman" w:hAnsi="Times New Roman" w:cs="Times New Roman"/>
              </w:rPr>
              <w:t>流動性リスク</w:t>
            </w:r>
          </w:p>
        </w:tc>
        <w:tc>
          <w:tcPr>
            <w:tcW w:w="3747" w:type="dxa"/>
          </w:tcPr>
          <w:p w14:paraId="0B388CF9" w14:textId="5250FCB6" w:rsidR="00555915" w:rsidRPr="00E66B0E" w:rsidRDefault="00A24504" w:rsidP="003226E2">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は適応範囲が</w:t>
            </w:r>
            <w:r w:rsidR="00AD4ADF" w:rsidRPr="00E66B0E">
              <w:rPr>
                <w:rFonts w:ascii="Times New Roman" w:hAnsi="Times New Roman" w:cs="Times New Roman"/>
              </w:rPr>
              <w:t>広く，多くのリスクを同時に評価できる</w:t>
            </w:r>
          </w:p>
        </w:tc>
      </w:tr>
      <w:tr w:rsidR="00555915" w:rsidRPr="00E66B0E" w14:paraId="314F2F49" w14:textId="77777777" w:rsidTr="00555915">
        <w:tc>
          <w:tcPr>
            <w:tcW w:w="1980" w:type="dxa"/>
            <w:shd w:val="clear" w:color="auto" w:fill="002060"/>
            <w:vAlign w:val="center"/>
          </w:tcPr>
          <w:p w14:paraId="6AB80F31" w14:textId="03B3411C"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分布型</w:t>
            </w:r>
          </w:p>
        </w:tc>
        <w:tc>
          <w:tcPr>
            <w:tcW w:w="4111" w:type="dxa"/>
          </w:tcPr>
          <w:p w14:paraId="322BCCBA" w14:textId="1576F1B2" w:rsidR="00555915" w:rsidRPr="00E66B0E" w:rsidRDefault="00AD4ADF" w:rsidP="003226E2">
            <w:pPr>
              <w:rPr>
                <w:rFonts w:ascii="Times New Roman" w:hAnsi="Times New Roman" w:cs="Times New Roman"/>
              </w:rPr>
            </w:pPr>
            <w:r w:rsidRPr="00E66B0E">
              <w:rPr>
                <w:rFonts w:ascii="Times New Roman" w:hAnsi="Times New Roman" w:cs="Times New Roman"/>
              </w:rPr>
              <w:t>正規分布（モデルによって歪度を取り入れることは可能）</w:t>
            </w:r>
          </w:p>
        </w:tc>
        <w:tc>
          <w:tcPr>
            <w:tcW w:w="4110" w:type="dxa"/>
          </w:tcPr>
          <w:p w14:paraId="4E6D5F92" w14:textId="77777777" w:rsidR="00555915" w:rsidRPr="00E66B0E" w:rsidRDefault="00AD4ADF" w:rsidP="003226E2">
            <w:pPr>
              <w:rPr>
                <w:rFonts w:ascii="Times New Roman" w:hAnsi="Times New Roman" w:cs="Times New Roman"/>
              </w:rPr>
            </w:pPr>
            <w:r w:rsidRPr="00E66B0E">
              <w:rPr>
                <w:rFonts w:ascii="Times New Roman" w:hAnsi="Times New Roman" w:cs="Times New Roman"/>
              </w:rPr>
              <w:t>正規分布</w:t>
            </w:r>
          </w:p>
          <w:p w14:paraId="5DC74391" w14:textId="77777777" w:rsidR="00AD4ADF" w:rsidRPr="00E66B0E" w:rsidRDefault="00AD4ADF" w:rsidP="003226E2">
            <w:pPr>
              <w:rPr>
                <w:rFonts w:ascii="Times New Roman" w:hAnsi="Times New Roman" w:cs="Times New Roman"/>
              </w:rPr>
            </w:pPr>
            <w:r w:rsidRPr="00E66B0E">
              <w:rPr>
                <w:rFonts w:ascii="Times New Roman" w:hAnsi="Times New Roman" w:cs="Times New Roman"/>
              </w:rPr>
              <w:t>非正規分布</w:t>
            </w:r>
          </w:p>
          <w:p w14:paraId="5559D40F" w14:textId="02A4D7C3" w:rsidR="00AD4ADF" w:rsidRPr="00E66B0E" w:rsidRDefault="00AD4ADF" w:rsidP="003226E2">
            <w:pPr>
              <w:rPr>
                <w:rFonts w:ascii="Times New Roman" w:hAnsi="Times New Roman" w:cs="Times New Roman"/>
              </w:rPr>
            </w:pPr>
            <w:r w:rsidRPr="00E66B0E">
              <w:rPr>
                <w:rFonts w:ascii="Times New Roman" w:hAnsi="Times New Roman" w:cs="Times New Roman"/>
              </w:rPr>
              <w:t>ノンパラメトリックな分布</w:t>
            </w:r>
            <w:r w:rsidR="00351E05" w:rsidRPr="00E66B0E">
              <w:rPr>
                <w:rFonts w:ascii="Times New Roman" w:hAnsi="Times New Roman" w:cs="Times New Roman"/>
              </w:rPr>
              <w:t>（ヒストグラム等）</w:t>
            </w:r>
          </w:p>
        </w:tc>
        <w:tc>
          <w:tcPr>
            <w:tcW w:w="3747" w:type="dxa"/>
          </w:tcPr>
          <w:p w14:paraId="72293124" w14:textId="37036E79" w:rsidR="00351E05" w:rsidRPr="00E66B0E" w:rsidRDefault="00351E05" w:rsidP="003226E2">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は計算方法に多くのバリエーションがあるため，分布型にとらわれない</w:t>
            </w:r>
          </w:p>
        </w:tc>
      </w:tr>
      <w:tr w:rsidR="00555915" w:rsidRPr="00E66B0E" w14:paraId="5830C4C5" w14:textId="77777777" w:rsidTr="00555915">
        <w:tc>
          <w:tcPr>
            <w:tcW w:w="1980" w:type="dxa"/>
            <w:shd w:val="clear" w:color="auto" w:fill="002060"/>
            <w:vAlign w:val="center"/>
          </w:tcPr>
          <w:p w14:paraId="45D5CB13" w14:textId="6E88F9BB" w:rsidR="00555915" w:rsidRPr="00E66B0E" w:rsidRDefault="00555915" w:rsidP="00555915">
            <w:pPr>
              <w:jc w:val="center"/>
              <w:rPr>
                <w:rFonts w:ascii="Times New Roman" w:hAnsi="Times New Roman" w:cs="Times New Roman"/>
                <w:b/>
                <w:bCs/>
              </w:rPr>
            </w:pPr>
            <w:r w:rsidRPr="00E66B0E">
              <w:rPr>
                <w:rFonts w:ascii="Times New Roman" w:hAnsi="Times New Roman" w:cs="Times New Roman"/>
                <w:b/>
                <w:bCs/>
              </w:rPr>
              <w:t>アウトプット</w:t>
            </w:r>
          </w:p>
        </w:tc>
        <w:tc>
          <w:tcPr>
            <w:tcW w:w="4111" w:type="dxa"/>
          </w:tcPr>
          <w:p w14:paraId="35DC83A6" w14:textId="0F20AB99" w:rsidR="00555915" w:rsidRPr="00E66B0E" w:rsidRDefault="00351E05" w:rsidP="003226E2">
            <w:pPr>
              <w:rPr>
                <w:rFonts w:ascii="Times New Roman" w:hAnsi="Times New Roman" w:cs="Times New Roman"/>
              </w:rPr>
            </w:pPr>
            <w:r w:rsidRPr="00E66B0E">
              <w:rPr>
                <w:rFonts w:ascii="Times New Roman" w:hAnsi="Times New Roman" w:cs="Times New Roman"/>
              </w:rPr>
              <w:t>ポートフォリオの最適資産比率</w:t>
            </w:r>
          </w:p>
        </w:tc>
        <w:tc>
          <w:tcPr>
            <w:tcW w:w="4110" w:type="dxa"/>
          </w:tcPr>
          <w:p w14:paraId="67B358C9" w14:textId="2EBE83ED" w:rsidR="00555915" w:rsidRPr="00E66B0E" w:rsidRDefault="00BA5B10" w:rsidP="003226E2">
            <w:pPr>
              <w:rPr>
                <w:rFonts w:ascii="Times New Roman" w:hAnsi="Times New Roman" w:cs="Times New Roman"/>
              </w:rPr>
            </w:pPr>
            <w:r w:rsidRPr="00E66B0E">
              <w:rPr>
                <w:rFonts w:ascii="Times New Roman" w:hAnsi="Times New Roman" w:cs="Times New Roman"/>
              </w:rPr>
              <w:t>ポートフォリオのリスク量</w:t>
            </w:r>
          </w:p>
        </w:tc>
        <w:tc>
          <w:tcPr>
            <w:tcW w:w="3747" w:type="dxa"/>
          </w:tcPr>
          <w:p w14:paraId="6661FCEC" w14:textId="77777777" w:rsidR="00555915" w:rsidRPr="00E66B0E" w:rsidRDefault="00555915" w:rsidP="003226E2">
            <w:pPr>
              <w:rPr>
                <w:rFonts w:ascii="Times New Roman" w:hAnsi="Times New Roman" w:cs="Times New Roman"/>
              </w:rPr>
            </w:pPr>
          </w:p>
        </w:tc>
      </w:tr>
    </w:tbl>
    <w:p w14:paraId="4F11024B" w14:textId="24487595" w:rsidR="002B15D5" w:rsidRPr="00E66B0E" w:rsidRDefault="00BA5B10" w:rsidP="00BA5B10">
      <w:pPr>
        <w:pStyle w:val="ac"/>
        <w:jc w:val="center"/>
        <w:rPr>
          <w:rFonts w:ascii="Times New Roman" w:hAnsi="Times New Roman" w:cs="Times New Roman"/>
          <w:b w:val="0"/>
          <w:bCs w:val="0"/>
        </w:rPr>
      </w:pPr>
      <w:r w:rsidRPr="00E66B0E">
        <w:rPr>
          <w:rFonts w:ascii="Times New Roman" w:hAnsi="Times New Roman" w:cs="Times New Roman"/>
          <w:b w:val="0"/>
          <w:bCs w:val="0"/>
        </w:rPr>
        <w:t>図表</w:t>
      </w:r>
      <w:r w:rsidRPr="00E66B0E">
        <w:rPr>
          <w:rFonts w:ascii="Times New Roman" w:hAnsi="Times New Roman" w:cs="Times New Roman"/>
          <w:b w:val="0"/>
          <w:bCs w:val="0"/>
        </w:rPr>
        <w:t xml:space="preserve"> </w:t>
      </w:r>
      <w:r w:rsidRPr="00E66B0E">
        <w:rPr>
          <w:rFonts w:ascii="Times New Roman" w:hAnsi="Times New Roman" w:cs="Times New Roman"/>
          <w:b w:val="0"/>
          <w:bCs w:val="0"/>
        </w:rPr>
        <w:fldChar w:fldCharType="begin"/>
      </w:r>
      <w:r w:rsidRPr="00E66B0E">
        <w:rPr>
          <w:rFonts w:ascii="Times New Roman" w:hAnsi="Times New Roman" w:cs="Times New Roman"/>
          <w:b w:val="0"/>
          <w:bCs w:val="0"/>
        </w:rPr>
        <w:instrText xml:space="preserve"> STYLEREF 1 \s </w:instrText>
      </w:r>
      <w:r w:rsidRPr="00E66B0E">
        <w:rPr>
          <w:rFonts w:ascii="Times New Roman" w:hAnsi="Times New Roman" w:cs="Times New Roman"/>
          <w:b w:val="0"/>
          <w:bCs w:val="0"/>
        </w:rPr>
        <w:fldChar w:fldCharType="separate"/>
      </w:r>
      <w:r w:rsidRPr="00E66B0E">
        <w:rPr>
          <w:rFonts w:ascii="Times New Roman" w:hAnsi="Times New Roman" w:cs="Times New Roman"/>
          <w:b w:val="0"/>
          <w:bCs w:val="0"/>
          <w:noProof/>
        </w:rPr>
        <w:t>2</w:t>
      </w:r>
      <w:r w:rsidRPr="00E66B0E">
        <w:rPr>
          <w:rFonts w:ascii="Times New Roman" w:hAnsi="Times New Roman" w:cs="Times New Roman"/>
          <w:b w:val="0"/>
          <w:bCs w:val="0"/>
        </w:rPr>
        <w:fldChar w:fldCharType="end"/>
      </w:r>
      <w:r w:rsidRPr="00E66B0E">
        <w:rPr>
          <w:rFonts w:ascii="Times New Roman" w:hAnsi="Times New Roman" w:cs="Times New Roman"/>
          <w:b w:val="0"/>
          <w:bCs w:val="0"/>
        </w:rPr>
        <w:noBreakHyphen/>
      </w:r>
      <w:r w:rsidRPr="00E66B0E">
        <w:rPr>
          <w:rFonts w:ascii="Times New Roman" w:hAnsi="Times New Roman" w:cs="Times New Roman"/>
          <w:b w:val="0"/>
          <w:bCs w:val="0"/>
        </w:rPr>
        <w:fldChar w:fldCharType="begin"/>
      </w:r>
      <w:r w:rsidRPr="00E66B0E">
        <w:rPr>
          <w:rFonts w:ascii="Times New Roman" w:hAnsi="Times New Roman" w:cs="Times New Roman"/>
          <w:b w:val="0"/>
          <w:bCs w:val="0"/>
        </w:rPr>
        <w:instrText xml:space="preserve"> SEQ </w:instrText>
      </w:r>
      <w:r w:rsidRPr="00E66B0E">
        <w:rPr>
          <w:rFonts w:ascii="Times New Roman" w:hAnsi="Times New Roman" w:cs="Times New Roman"/>
          <w:b w:val="0"/>
          <w:bCs w:val="0"/>
        </w:rPr>
        <w:instrText>図表</w:instrText>
      </w:r>
      <w:r w:rsidRPr="00E66B0E">
        <w:rPr>
          <w:rFonts w:ascii="Times New Roman" w:hAnsi="Times New Roman" w:cs="Times New Roman"/>
          <w:b w:val="0"/>
          <w:bCs w:val="0"/>
        </w:rPr>
        <w:instrText xml:space="preserve"> \* ARABIC \s 1 </w:instrText>
      </w:r>
      <w:r w:rsidRPr="00E66B0E">
        <w:rPr>
          <w:rFonts w:ascii="Times New Roman" w:hAnsi="Times New Roman" w:cs="Times New Roman"/>
          <w:b w:val="0"/>
          <w:bCs w:val="0"/>
        </w:rPr>
        <w:fldChar w:fldCharType="separate"/>
      </w:r>
      <w:r w:rsidRPr="00E66B0E">
        <w:rPr>
          <w:rFonts w:ascii="Times New Roman" w:hAnsi="Times New Roman" w:cs="Times New Roman"/>
          <w:b w:val="0"/>
          <w:bCs w:val="0"/>
          <w:noProof/>
        </w:rPr>
        <w:t>1</w:t>
      </w:r>
      <w:r w:rsidRPr="00E66B0E">
        <w:rPr>
          <w:rFonts w:ascii="Times New Roman" w:hAnsi="Times New Roman" w:cs="Times New Roman"/>
          <w:b w:val="0"/>
          <w:bCs w:val="0"/>
        </w:rPr>
        <w:fldChar w:fldCharType="end"/>
      </w:r>
      <w:r w:rsidRPr="00E66B0E">
        <w:rPr>
          <w:rFonts w:ascii="Times New Roman" w:hAnsi="Times New Roman" w:cs="Times New Roman"/>
          <w:b w:val="0"/>
          <w:bCs w:val="0"/>
        </w:rPr>
        <w:t xml:space="preserve">　ポートフォリオ理論と</w:t>
      </w:r>
      <w:proofErr w:type="spellStart"/>
      <w:r w:rsidRPr="00E66B0E">
        <w:rPr>
          <w:rFonts w:ascii="Times New Roman" w:hAnsi="Times New Roman" w:cs="Times New Roman"/>
          <w:b w:val="0"/>
          <w:bCs w:val="0"/>
        </w:rPr>
        <w:t>VaR</w:t>
      </w:r>
      <w:proofErr w:type="spellEnd"/>
    </w:p>
    <w:p w14:paraId="072F6A2D" w14:textId="77777777" w:rsidR="00637AD7" w:rsidRPr="00E66B0E" w:rsidRDefault="00637AD7" w:rsidP="00BA5B10">
      <w:pPr>
        <w:rPr>
          <w:rFonts w:ascii="Times New Roman" w:hAnsi="Times New Roman" w:cs="Times New Roman"/>
        </w:rPr>
      </w:pPr>
    </w:p>
    <w:p w14:paraId="098FB7E6" w14:textId="23E444C8" w:rsidR="00AC438D" w:rsidRPr="00E66B0E" w:rsidRDefault="00AC438D" w:rsidP="00BA5B10">
      <w:pPr>
        <w:rPr>
          <w:rFonts w:ascii="Times New Roman" w:hAnsi="Times New Roman" w:cs="Times New Roman"/>
        </w:rPr>
        <w:sectPr w:rsidR="00AC438D" w:rsidRPr="00E66B0E" w:rsidSect="005D54A9">
          <w:pgSz w:w="16838" w:h="11906" w:orient="landscape"/>
          <w:pgMar w:top="1080" w:right="1440" w:bottom="1080" w:left="1440" w:header="851" w:footer="992" w:gutter="0"/>
          <w:cols w:space="425"/>
          <w:docGrid w:type="lines" w:linePitch="360"/>
        </w:sectPr>
      </w:pPr>
    </w:p>
    <w:p w14:paraId="7BAD3617" w14:textId="5216EC50" w:rsidR="004707B4" w:rsidRPr="00E66B0E" w:rsidRDefault="004707B4" w:rsidP="00637AD7">
      <w:pPr>
        <w:rPr>
          <w:rFonts w:ascii="Times New Roman" w:hAnsi="Times New Roman" w:cs="Times New Roman"/>
        </w:rPr>
      </w:pPr>
      <w:r w:rsidRPr="00E66B0E">
        <w:rPr>
          <w:rFonts w:ascii="Times New Roman" w:hAnsi="Times New Roman" w:cs="Times New Roman"/>
        </w:rPr>
        <w:lastRenderedPageBreak/>
        <w:t>【ポートフォリオ理論】</w:t>
      </w:r>
    </w:p>
    <w:p w14:paraId="698E965E" w14:textId="33703502" w:rsidR="00637AD7" w:rsidRPr="00E66B0E" w:rsidRDefault="00637AD7" w:rsidP="00637AD7">
      <w:pPr>
        <w:rPr>
          <w:rFonts w:ascii="Times New Roman" w:hAnsi="Times New Roman" w:cs="Times New Roman"/>
        </w:rPr>
      </w:pPr>
      <w:r w:rsidRPr="00E66B0E">
        <w:rPr>
          <w:rFonts w:ascii="Times New Roman" w:hAnsi="Times New Roman" w:cs="Times New Roman"/>
        </w:rPr>
        <w:t>投資家の投資戦略作成のため，リスク最小化問題を解く．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140A62" w:rsidRPr="00E66B0E" w14:paraId="5EF73F60" w14:textId="77777777" w:rsidTr="00071E55">
        <w:tc>
          <w:tcPr>
            <w:tcW w:w="8075" w:type="dxa"/>
          </w:tcPr>
          <w:p w14:paraId="1E2B8D9C" w14:textId="2503C8C8" w:rsidR="00140A62" w:rsidRPr="00E66B0E" w:rsidRDefault="00675E28" w:rsidP="00071E55">
            <w:pPr>
              <w:rPr>
                <w:rFonts w:ascii="Times New Roman" w:hAnsi="Times New Roman" w:cs="Times New Roman"/>
                <w:iCs/>
              </w:rPr>
            </w:pPr>
            <m:oMathPara>
              <m:oMath>
                <m:func>
                  <m:funcPr>
                    <m:ctrlPr>
                      <w:rPr>
                        <w:rFonts w:ascii="Cambria Math" w:hAnsi="Cambria Math" w:cs="Times New Roman"/>
                        <w:iCs/>
                      </w:rPr>
                    </m:ctrlPr>
                  </m:funcPr>
                  <m:fName>
                    <m:limLow>
                      <m:limLowPr>
                        <m:ctrlPr>
                          <w:rPr>
                            <w:rFonts w:ascii="Cambria Math" w:hAnsi="Cambria Math" w:cs="Times New Roman"/>
                            <w:iCs/>
                          </w:rPr>
                        </m:ctrlPr>
                      </m:limLowPr>
                      <m:e>
                        <m:r>
                          <m:rPr>
                            <m:sty m:val="p"/>
                          </m:rPr>
                          <w:rPr>
                            <w:rFonts w:ascii="Cambria Math" w:hAnsi="Cambria Math" w:cs="Times New Roman"/>
                          </w:rPr>
                          <m:t>min</m:t>
                        </m:r>
                      </m:e>
                      <m:lim>
                        <m:r>
                          <m:rPr>
                            <m:sty m:val="p"/>
                          </m:rPr>
                          <w:rPr>
                            <w:rFonts w:ascii="Cambria Math" w:hAnsi="Cambria Math" w:cs="Times New Roman"/>
                          </w:rPr>
                          <m:t>s</m:t>
                        </m:r>
                      </m:lim>
                    </m:limLow>
                    <m:ctrlPr>
                      <w:rPr>
                        <w:rFonts w:ascii="Cambria Math" w:hAnsi="Cambria Math" w:cs="Times New Roman"/>
                        <w:i/>
                        <w:iCs/>
                      </w:rPr>
                    </m:ctrlPr>
                  </m:fName>
                  <m:e>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ctrlPr>
                              <w:rPr>
                                <w:rFonts w:ascii="Cambria Math" w:hAnsi="Cambria Math" w:cs="Times New Roman"/>
                              </w:rPr>
                            </m:ctrlPr>
                          </m:e>
                          <m:lim>
                            <m:r>
                              <w:rPr>
                                <w:rFonts w:ascii="Cambria Math" w:hAnsi="Cambria Math" w:cs="Times New Roman"/>
                              </w:rPr>
                              <m:t>s</m:t>
                            </m:r>
                            <m:ctrlPr>
                              <w:rPr>
                                <w:rFonts w:ascii="Cambria Math" w:hAnsi="Cambria Math" w:cs="Times New Roman"/>
                              </w:rPr>
                            </m:ctrlPr>
                          </m:lim>
                        </m:limLow>
                      </m:fName>
                      <m:e>
                        <m:nary>
                          <m:naryPr>
                            <m:chr m:val="∑"/>
                            <m:supHide m:val="1"/>
                            <m:ctrlPr>
                              <w:rPr>
                                <w:rFonts w:ascii="Cambria Math" w:hAnsi="Cambria Math" w:cs="Times New Roman"/>
                                <w:i/>
                                <w:iCs/>
                              </w:rPr>
                            </m:ctrlPr>
                          </m:naryPr>
                          <m:sub>
                            <m:r>
                              <w:rPr>
                                <w:rFonts w:ascii="Cambria Math" w:hAnsi="Cambria Math" w:cs="Times New Roman"/>
                              </w:rPr>
                              <m:t>i</m:t>
                            </m:r>
                          </m:sub>
                          <m:sup/>
                          <m:e>
                            <m:nary>
                              <m:naryPr>
                                <m:chr m:val="∑"/>
                                <m:supHide m:val="1"/>
                                <m:ctrlPr>
                                  <w:rPr>
                                    <w:rFonts w:ascii="Cambria Math" w:hAnsi="Cambria Math" w:cs="Times New Roman"/>
                                    <w:i/>
                                    <w:iCs/>
                                  </w:rPr>
                                </m:ctrlPr>
                              </m:naryPr>
                              <m:sub>
                                <m:r>
                                  <w:rPr>
                                    <w:rFonts w:ascii="Cambria Math" w:hAnsi="Cambria Math" w:cs="Times New Roman"/>
                                  </w:rPr>
                                  <m:t>j</m:t>
                                </m:r>
                              </m:sub>
                              <m:sup/>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m:t>
                                    </m:r>
                                  </m:sub>
                                </m:sSub>
                                <m:r>
                                  <m:rPr>
                                    <m:sty m:val="p"/>
                                  </m:rPr>
                                  <w:rPr>
                                    <w:rFonts w:ascii="Cambria Math" w:hAnsi="Cambria Math" w:cs="Times New Roman"/>
                                  </w:rPr>
                                  <m:t>Cov</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r>
                                  <w:rPr>
                                    <w:rFonts w:ascii="Cambria Math" w:hAnsi="Cambria Math" w:cs="Times New Roman"/>
                                  </w:rPr>
                                  <m:t>)</m:t>
                                </m:r>
                              </m:e>
                            </m:nary>
                          </m:e>
                        </m:nary>
                      </m:e>
                    </m:func>
                    <m:ctrlPr>
                      <w:rPr>
                        <w:rFonts w:ascii="Cambria Math" w:hAnsi="Cambria Math" w:cs="Times New Roman"/>
                        <w:i/>
                        <w:iCs/>
                      </w:rPr>
                    </m:ctrlPr>
                  </m:e>
                </m:func>
              </m:oMath>
            </m:oMathPara>
          </w:p>
        </w:tc>
        <w:tc>
          <w:tcPr>
            <w:tcW w:w="1661" w:type="dxa"/>
            <w:vMerge w:val="restart"/>
            <w:vAlign w:val="center"/>
          </w:tcPr>
          <w:p w14:paraId="07E45E03" w14:textId="4265EEE6" w:rsidR="00140A62" w:rsidRPr="00E66B0E" w:rsidRDefault="00140A62" w:rsidP="00071E55">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6</w:t>
            </w:r>
            <w:r w:rsidR="004F70F7" w:rsidRPr="00E66B0E">
              <w:rPr>
                <w:rFonts w:ascii="Times New Roman" w:hAnsi="Times New Roman" w:cs="Times New Roman"/>
              </w:rPr>
              <w:fldChar w:fldCharType="end"/>
            </w:r>
            <w:r w:rsidRPr="00E66B0E">
              <w:rPr>
                <w:rFonts w:ascii="Times New Roman" w:hAnsi="Times New Roman" w:cs="Times New Roman"/>
              </w:rPr>
              <w:t>)</w:t>
            </w:r>
          </w:p>
        </w:tc>
      </w:tr>
      <w:tr w:rsidR="00140A62" w:rsidRPr="00E66B0E" w14:paraId="0B0B4D9E" w14:textId="77777777" w:rsidTr="00071E55">
        <w:tc>
          <w:tcPr>
            <w:tcW w:w="8075" w:type="dxa"/>
          </w:tcPr>
          <w:p w14:paraId="39CE8DFB" w14:textId="7EB781E5" w:rsidR="00140A62" w:rsidRPr="00E66B0E" w:rsidRDefault="00140A62" w:rsidP="00071E55">
            <w:pPr>
              <w:rPr>
                <w:rFonts w:ascii="Times New Roman" w:eastAsia="游明朝" w:hAnsi="Times New Roman" w:cs="Times New Roman"/>
              </w:rPr>
            </w:pPr>
            <m:oMathPara>
              <m:oMath>
                <m:r>
                  <m:rPr>
                    <m:sty m:val="p"/>
                  </m:rPr>
                  <w:rPr>
                    <w:rFonts w:ascii="Cambria Math" w:eastAsia="游明朝" w:hAnsi="Cambria Math" w:cs="Times New Roman"/>
                  </w:rPr>
                  <m:t>subject to :</m:t>
                </m:r>
                <m:r>
                  <m:rPr>
                    <m:sty m:val="p"/>
                  </m:rPr>
                  <w:rPr>
                    <w:rFonts w:ascii="Cambria Math" w:eastAsia="游明朝" w:hAnsi="Cambria Math" w:cs="Times New Roman"/>
                  </w:rPr>
                  <m:t>1</m:t>
                </m:r>
                <m:r>
                  <w:rPr>
                    <w:rFonts w:ascii="Cambria Math" w:eastAsia="游明朝" w:hAnsi="Cambria Math" w:cs="Times New Roman"/>
                  </w:rPr>
                  <m:t>=</m:t>
                </m:r>
                <m:nary>
                  <m:naryPr>
                    <m:chr m:val="∑"/>
                    <m:supHide m:val="1"/>
                    <m:ctrlPr>
                      <w:rPr>
                        <w:rFonts w:ascii="Cambria Math" w:eastAsia="游明朝" w:hAnsi="Cambria Math" w:cs="Times New Roman"/>
                        <w:i/>
                        <w:iCs/>
                      </w:rPr>
                    </m:ctrlPr>
                  </m:naryPr>
                  <m:sub>
                    <m:r>
                      <w:rPr>
                        <w:rFonts w:ascii="Cambria Math" w:eastAsia="游明朝" w:hAnsi="Cambria Math" w:cs="Times New Roman"/>
                      </w:rPr>
                      <m:t>i</m:t>
                    </m:r>
                  </m:sub>
                  <m:sup/>
                  <m:e>
                    <m:sSub>
                      <m:sSubPr>
                        <m:ctrlPr>
                          <w:rPr>
                            <w:rFonts w:ascii="Cambria Math" w:eastAsia="游明朝" w:hAnsi="Cambria Math" w:cs="Times New Roman"/>
                            <w:i/>
                            <w:iCs/>
                          </w:rPr>
                        </m:ctrlPr>
                      </m:sSubPr>
                      <m:e>
                        <m:r>
                          <w:rPr>
                            <w:rFonts w:ascii="Cambria Math" w:eastAsia="游明朝" w:hAnsi="Cambria Math" w:cs="Times New Roman"/>
                          </w:rPr>
                          <m:t>s</m:t>
                        </m:r>
                      </m:e>
                      <m:sub>
                        <m:r>
                          <w:rPr>
                            <w:rFonts w:ascii="Cambria Math" w:eastAsia="游明朝" w:hAnsi="Cambria Math" w:cs="Times New Roman"/>
                          </w:rPr>
                          <m:t>i</m:t>
                        </m:r>
                      </m:sub>
                    </m:sSub>
                  </m:e>
                </m:nary>
                <m:r>
                  <w:rPr>
                    <w:rFonts w:ascii="Cambria Math" w:eastAsia="游明朝" w:hAnsi="Cambria Math" w:cs="Times New Roman" w:hint="eastAsia"/>
                  </w:rPr>
                  <m:t>，</m:t>
                </m:r>
                <m:r>
                  <w:rPr>
                    <w:rFonts w:ascii="Cambria Math" w:eastAsia="游明朝" w:hAnsi="Cambria Math" w:cs="Times New Roman"/>
                  </w:rPr>
                  <m:t>∀</m:t>
                </m:r>
                <m:sSub>
                  <m:sSubPr>
                    <m:ctrlPr>
                      <w:rPr>
                        <w:rFonts w:ascii="Cambria Math" w:eastAsia="游明朝" w:hAnsi="Cambria Math" w:cs="Times New Roman"/>
                        <w:i/>
                        <w:iCs/>
                      </w:rPr>
                    </m:ctrlPr>
                  </m:sSubPr>
                  <m:e>
                    <m:r>
                      <w:rPr>
                        <w:rFonts w:ascii="Cambria Math" w:eastAsia="游明朝" w:hAnsi="Cambria Math" w:cs="Times New Roman"/>
                      </w:rPr>
                      <m:t>s</m:t>
                    </m:r>
                  </m:e>
                  <m:sub>
                    <m:r>
                      <w:rPr>
                        <w:rFonts w:ascii="Cambria Math" w:eastAsia="游明朝" w:hAnsi="Cambria Math" w:cs="Times New Roman"/>
                      </w:rPr>
                      <m:t>i</m:t>
                    </m:r>
                  </m:sub>
                </m:sSub>
                <m:r>
                  <w:rPr>
                    <w:rFonts w:ascii="Cambria Math" w:eastAsia="游明朝" w:hAnsi="Cambria Math" w:cs="Times New Roman"/>
                  </w:rPr>
                  <m:t xml:space="preserve">, </m:t>
                </m:r>
                <m:sSub>
                  <m:sSubPr>
                    <m:ctrlPr>
                      <w:rPr>
                        <w:rFonts w:ascii="Cambria Math" w:eastAsia="游明朝" w:hAnsi="Cambria Math" w:cs="Times New Roman"/>
                        <w:i/>
                        <w:iCs/>
                      </w:rPr>
                    </m:ctrlPr>
                  </m:sSubPr>
                  <m:e>
                    <m:r>
                      <w:rPr>
                        <w:rFonts w:ascii="Cambria Math" w:eastAsia="游明朝" w:hAnsi="Cambria Math" w:cs="Times New Roman"/>
                      </w:rPr>
                      <m:t xml:space="preserve"> s</m:t>
                    </m:r>
                  </m:e>
                  <m:sub>
                    <m:r>
                      <w:rPr>
                        <w:rFonts w:ascii="Cambria Math" w:eastAsia="游明朝" w:hAnsi="Cambria Math" w:cs="Times New Roman"/>
                      </w:rPr>
                      <m:t>i</m:t>
                    </m:r>
                  </m:sub>
                </m:sSub>
                <m:r>
                  <w:rPr>
                    <w:rFonts w:ascii="Cambria Math" w:eastAsia="游明朝" w:hAnsi="Cambria Math" w:cs="Times New Roman"/>
                  </w:rPr>
                  <m:t>≥0</m:t>
                </m:r>
              </m:oMath>
            </m:oMathPara>
          </w:p>
        </w:tc>
        <w:tc>
          <w:tcPr>
            <w:tcW w:w="1661" w:type="dxa"/>
            <w:vMerge/>
            <w:vAlign w:val="center"/>
          </w:tcPr>
          <w:p w14:paraId="44299A25" w14:textId="77777777" w:rsidR="00140A62" w:rsidRPr="00E66B0E" w:rsidRDefault="00140A62" w:rsidP="00071E55">
            <w:pPr>
              <w:pStyle w:val="ac"/>
              <w:jc w:val="center"/>
              <w:rPr>
                <w:rFonts w:ascii="Times New Roman" w:hAnsi="Times New Roman" w:cs="Times New Roman"/>
              </w:rPr>
            </w:pPr>
          </w:p>
        </w:tc>
      </w:tr>
    </w:tbl>
    <w:p w14:paraId="0AD39978" w14:textId="2E57B437" w:rsidR="00BA5B10" w:rsidRPr="00E66B0E" w:rsidRDefault="00BA5B10" w:rsidP="00BA5B10">
      <w:pPr>
        <w:rPr>
          <w:rFonts w:ascii="Times New Roman" w:hAnsi="Times New Roman" w:cs="Times New Roman"/>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426"/>
        <w:gridCol w:w="4820"/>
      </w:tblGrid>
      <w:tr w:rsidR="00603167" w:rsidRPr="00E66B0E" w14:paraId="243CD7D7" w14:textId="77777777" w:rsidTr="00C82125">
        <w:trPr>
          <w:jc w:val="center"/>
        </w:trPr>
        <w:tc>
          <w:tcPr>
            <w:tcW w:w="2556" w:type="dxa"/>
          </w:tcPr>
          <w:p w14:paraId="0061CB4E" w14:textId="60E282A5" w:rsidR="00603167" w:rsidRPr="00E66B0E" w:rsidRDefault="00675E28" w:rsidP="00C82125">
            <w:pPr>
              <w:ind w:leftChars="14" w:left="29"/>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oMath>
            </m:oMathPara>
          </w:p>
        </w:tc>
        <w:tc>
          <w:tcPr>
            <w:tcW w:w="426" w:type="dxa"/>
          </w:tcPr>
          <w:p w14:paraId="42C124AF" w14:textId="77777777" w:rsidR="00603167" w:rsidRPr="00E66B0E" w:rsidRDefault="00603167" w:rsidP="00C82125">
            <w:pPr>
              <w:rPr>
                <w:rFonts w:ascii="Times New Roman" w:hAnsi="Times New Roman" w:cs="Times New Roman"/>
              </w:rPr>
            </w:pPr>
            <w:r w:rsidRPr="00E66B0E">
              <w:rPr>
                <w:rFonts w:ascii="Times New Roman" w:hAnsi="Times New Roman" w:cs="Times New Roman"/>
              </w:rPr>
              <w:t>：</w:t>
            </w:r>
          </w:p>
        </w:tc>
        <w:tc>
          <w:tcPr>
            <w:tcW w:w="4820" w:type="dxa"/>
          </w:tcPr>
          <w:p w14:paraId="06A93402" w14:textId="2E56960B" w:rsidR="00603167" w:rsidRPr="00E66B0E" w:rsidRDefault="00C54D7D" w:rsidP="00C82125">
            <w:pPr>
              <w:rPr>
                <w:rFonts w:ascii="Times New Roman" w:hAnsi="Times New Roman" w:cs="Times New Roman"/>
              </w:rPr>
            </w:pPr>
            <w:r w:rsidRPr="00E66B0E">
              <w:rPr>
                <w:rFonts w:ascii="Times New Roman" w:hAnsi="Times New Roman" w:cs="Times New Roman"/>
              </w:rPr>
              <w:t>各資産の資産比率</w:t>
            </w:r>
          </w:p>
        </w:tc>
      </w:tr>
      <w:tr w:rsidR="00603167" w:rsidRPr="00E66B0E" w14:paraId="70B0B957" w14:textId="77777777" w:rsidTr="00C82125">
        <w:trPr>
          <w:jc w:val="center"/>
        </w:trPr>
        <w:tc>
          <w:tcPr>
            <w:tcW w:w="2556" w:type="dxa"/>
          </w:tcPr>
          <w:p w14:paraId="4D3125E7" w14:textId="6B6E6A17" w:rsidR="00603167" w:rsidRPr="00E66B0E" w:rsidRDefault="00675E28" w:rsidP="00C82125">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oMath>
            </m:oMathPara>
          </w:p>
        </w:tc>
        <w:tc>
          <w:tcPr>
            <w:tcW w:w="426" w:type="dxa"/>
          </w:tcPr>
          <w:p w14:paraId="7187DDBD" w14:textId="77777777" w:rsidR="00603167" w:rsidRPr="00E66B0E" w:rsidRDefault="00603167" w:rsidP="00C82125">
            <w:pPr>
              <w:rPr>
                <w:rFonts w:ascii="Times New Roman" w:hAnsi="Times New Roman" w:cs="Times New Roman"/>
              </w:rPr>
            </w:pPr>
            <w:r w:rsidRPr="00E66B0E">
              <w:rPr>
                <w:rFonts w:ascii="Times New Roman" w:hAnsi="Times New Roman" w:cs="Times New Roman"/>
              </w:rPr>
              <w:t>：</w:t>
            </w:r>
          </w:p>
        </w:tc>
        <w:tc>
          <w:tcPr>
            <w:tcW w:w="4820" w:type="dxa"/>
          </w:tcPr>
          <w:p w14:paraId="04529F2A" w14:textId="24CAEF55" w:rsidR="00603167" w:rsidRPr="00E66B0E" w:rsidRDefault="00603167" w:rsidP="00C82125">
            <w:pPr>
              <w:rPr>
                <w:rFonts w:ascii="Times New Roman" w:hAnsi="Times New Roman" w:cs="Times New Roman"/>
              </w:rPr>
            </w:pPr>
            <w:r w:rsidRPr="00E66B0E">
              <w:rPr>
                <w:rFonts w:ascii="Times New Roman" w:hAnsi="Times New Roman" w:cs="Times New Roman"/>
              </w:rPr>
              <w:t>ポートフォリオ</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oMath>
            <w:r w:rsidRPr="00E66B0E">
              <w:rPr>
                <w:rFonts w:ascii="Times New Roman" w:hAnsi="Times New Roman" w:cs="Times New Roman"/>
              </w:rPr>
              <w:t>の</w:t>
            </w:r>
            <w:r w:rsidR="00C82125" w:rsidRPr="00E66B0E">
              <w:rPr>
                <w:rFonts w:ascii="Times New Roman" w:hAnsi="Times New Roman" w:cs="Times New Roman"/>
              </w:rPr>
              <w:t>収益率分布の分散</w:t>
            </w:r>
          </w:p>
        </w:tc>
      </w:tr>
      <w:tr w:rsidR="00603167" w:rsidRPr="00E66B0E" w14:paraId="6A43B7A2" w14:textId="77777777" w:rsidTr="00C82125">
        <w:trPr>
          <w:jc w:val="center"/>
        </w:trPr>
        <w:tc>
          <w:tcPr>
            <w:tcW w:w="2556" w:type="dxa"/>
          </w:tcPr>
          <w:p w14:paraId="46C32974" w14:textId="3C2D5057" w:rsidR="00603167" w:rsidRPr="00E66B0E" w:rsidRDefault="00675E28" w:rsidP="00C82125">
            <w:pPr>
              <w:ind w:leftChars="85" w:left="178"/>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m:oMathPara>
          </w:p>
        </w:tc>
        <w:tc>
          <w:tcPr>
            <w:tcW w:w="426" w:type="dxa"/>
          </w:tcPr>
          <w:p w14:paraId="481A21E1" w14:textId="77777777" w:rsidR="00603167" w:rsidRPr="00E66B0E" w:rsidRDefault="00603167" w:rsidP="00C82125">
            <w:pPr>
              <w:rPr>
                <w:rFonts w:ascii="Times New Roman" w:hAnsi="Times New Roman" w:cs="Times New Roman"/>
              </w:rPr>
            </w:pPr>
            <w:r w:rsidRPr="00E66B0E">
              <w:rPr>
                <w:rFonts w:ascii="Times New Roman" w:hAnsi="Times New Roman" w:cs="Times New Roman"/>
              </w:rPr>
              <w:t>：</w:t>
            </w:r>
          </w:p>
        </w:tc>
        <w:tc>
          <w:tcPr>
            <w:tcW w:w="4820" w:type="dxa"/>
          </w:tcPr>
          <w:p w14:paraId="2D928D4E" w14:textId="1FFEF6C0" w:rsidR="00603167" w:rsidRPr="00E66B0E" w:rsidRDefault="00C82125" w:rsidP="00C82125">
            <w:pPr>
              <w:rPr>
                <w:rFonts w:ascii="Times New Roman" w:hAnsi="Times New Roman" w:cs="Times New Roman"/>
              </w:rPr>
            </w:pPr>
            <w:r w:rsidRPr="00E66B0E">
              <w:rPr>
                <w:rFonts w:ascii="Times New Roman" w:hAnsi="Times New Roman" w:cs="Times New Roman"/>
              </w:rPr>
              <w:t>資産</w:t>
            </w:r>
            <m:oMath>
              <m:r>
                <w:rPr>
                  <w:rFonts w:ascii="Cambria Math" w:hAnsi="Cambria Math" w:cs="Times New Roman"/>
                </w:rPr>
                <m:t>i</m:t>
              </m:r>
            </m:oMath>
            <w:r w:rsidRPr="00E66B0E">
              <w:rPr>
                <w:rFonts w:ascii="Times New Roman" w:hAnsi="Times New Roman" w:cs="Times New Roman"/>
              </w:rPr>
              <w:t>の期待収益率</w:t>
            </w:r>
          </w:p>
        </w:tc>
      </w:tr>
      <w:tr w:rsidR="00CD04D9" w:rsidRPr="00E66B0E" w14:paraId="2B65EB7B" w14:textId="77777777" w:rsidTr="00C82125">
        <w:trPr>
          <w:jc w:val="center"/>
        </w:trPr>
        <w:tc>
          <w:tcPr>
            <w:tcW w:w="2556" w:type="dxa"/>
          </w:tcPr>
          <w:p w14:paraId="55BB2C36" w14:textId="4906DA35" w:rsidR="00CD04D9" w:rsidRPr="00E66B0E" w:rsidRDefault="00675E28" w:rsidP="00C82125">
            <w:pPr>
              <w:ind w:leftChars="14" w:left="29"/>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m:oMathPara>
          </w:p>
        </w:tc>
        <w:tc>
          <w:tcPr>
            <w:tcW w:w="426" w:type="dxa"/>
          </w:tcPr>
          <w:p w14:paraId="089BFEC5" w14:textId="77777777" w:rsidR="00CD04D9" w:rsidRPr="00E66B0E" w:rsidRDefault="00CD04D9" w:rsidP="00C82125">
            <w:pPr>
              <w:rPr>
                <w:rFonts w:ascii="Times New Roman" w:hAnsi="Times New Roman" w:cs="Times New Roman"/>
              </w:rPr>
            </w:pPr>
            <w:r w:rsidRPr="00E66B0E">
              <w:rPr>
                <w:rFonts w:ascii="Times New Roman" w:hAnsi="Times New Roman" w:cs="Times New Roman"/>
              </w:rPr>
              <w:t>：</w:t>
            </w:r>
          </w:p>
        </w:tc>
        <w:tc>
          <w:tcPr>
            <w:tcW w:w="4820" w:type="dxa"/>
          </w:tcPr>
          <w:p w14:paraId="6389754D" w14:textId="7D50A72C" w:rsidR="00CD04D9" w:rsidRPr="00E66B0E" w:rsidRDefault="00C82125" w:rsidP="00C82125">
            <w:pPr>
              <w:rPr>
                <w:rFonts w:ascii="Times New Roman" w:hAnsi="Times New Roman" w:cs="Times New Roman"/>
              </w:rPr>
            </w:pPr>
            <w:r w:rsidRPr="00E66B0E">
              <w:rPr>
                <w:rFonts w:ascii="Times New Roman" w:hAnsi="Times New Roman" w:cs="Times New Roman"/>
              </w:rPr>
              <w:t>ポートフォリオの期待収益率</w:t>
            </w:r>
          </w:p>
        </w:tc>
      </w:tr>
      <w:tr w:rsidR="00CD04D9" w:rsidRPr="00E66B0E" w14:paraId="5D7EB9FD" w14:textId="77777777" w:rsidTr="00C82125">
        <w:trPr>
          <w:jc w:val="center"/>
        </w:trPr>
        <w:tc>
          <w:tcPr>
            <w:tcW w:w="2556" w:type="dxa"/>
          </w:tcPr>
          <w:p w14:paraId="0007A5BB" w14:textId="53105CF7" w:rsidR="00CD04D9" w:rsidRPr="00E66B0E" w:rsidRDefault="00C54D7D" w:rsidP="00C82125">
            <w:pPr>
              <w:rPr>
                <w:rFonts w:ascii="Times New Roman" w:hAnsi="Times New Roman" w:cs="Times New Roman"/>
              </w:rPr>
            </w:pPr>
            <m:oMathPara>
              <m:oMath>
                <m:r>
                  <m:rPr>
                    <m:sty m:val="p"/>
                  </m:rPr>
                  <w:rPr>
                    <w:rFonts w:ascii="Cambria Math" w:hAnsi="Cambria Math" w:cs="Times New Roman"/>
                  </w:rPr>
                  <m:t>Cov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j</m:t>
                    </m:r>
                  </m:sub>
                </m:sSub>
                <m:r>
                  <w:rPr>
                    <w:rFonts w:ascii="Cambria Math" w:hAnsi="Cambria Math" w:cs="Times New Roman"/>
                  </w:rPr>
                  <m:t>)</m:t>
                </m:r>
              </m:oMath>
            </m:oMathPara>
          </w:p>
        </w:tc>
        <w:tc>
          <w:tcPr>
            <w:tcW w:w="426" w:type="dxa"/>
          </w:tcPr>
          <w:p w14:paraId="406D9475" w14:textId="77777777" w:rsidR="00CD04D9" w:rsidRPr="00E66B0E" w:rsidRDefault="00CD04D9" w:rsidP="00C82125">
            <w:pPr>
              <w:rPr>
                <w:rFonts w:ascii="Times New Roman" w:hAnsi="Times New Roman" w:cs="Times New Roman"/>
              </w:rPr>
            </w:pPr>
            <w:r w:rsidRPr="00E66B0E">
              <w:rPr>
                <w:rFonts w:ascii="Times New Roman" w:hAnsi="Times New Roman" w:cs="Times New Roman"/>
              </w:rPr>
              <w:t>：</w:t>
            </w:r>
          </w:p>
        </w:tc>
        <w:tc>
          <w:tcPr>
            <w:tcW w:w="4820" w:type="dxa"/>
          </w:tcPr>
          <w:p w14:paraId="46E515B6" w14:textId="1DAFEB19" w:rsidR="00CD04D9" w:rsidRPr="00E66B0E" w:rsidRDefault="001B2B89" w:rsidP="00C82125">
            <w:pPr>
              <w:rPr>
                <w:rFonts w:ascii="Times New Roman" w:hAnsi="Times New Roman" w:cs="Times New Roman"/>
              </w:rPr>
            </w:pPr>
            <w:r w:rsidRPr="00E66B0E">
              <w:rPr>
                <w:rFonts w:ascii="Times New Roman" w:hAnsi="Times New Roman" w:cs="Times New Roman"/>
              </w:rPr>
              <w:t>資産</w:t>
            </w:r>
            <m:oMath>
              <m:r>
                <w:rPr>
                  <w:rFonts w:ascii="Cambria Math" w:hAnsi="Cambria Math" w:cs="Times New Roman"/>
                </w:rPr>
                <m:t>i</m:t>
              </m:r>
            </m:oMath>
            <w:r w:rsidRPr="00E66B0E">
              <w:rPr>
                <w:rFonts w:ascii="Times New Roman" w:hAnsi="Times New Roman" w:cs="Times New Roman"/>
              </w:rPr>
              <w:t>と資産</w:t>
            </w:r>
            <m:oMath>
              <m:r>
                <w:rPr>
                  <w:rFonts w:ascii="Cambria Math" w:hAnsi="Cambria Math" w:cs="Times New Roman"/>
                </w:rPr>
                <m:t>j</m:t>
              </m:r>
            </m:oMath>
            <w:r w:rsidRPr="00E66B0E">
              <w:rPr>
                <w:rFonts w:ascii="Times New Roman" w:hAnsi="Times New Roman" w:cs="Times New Roman"/>
              </w:rPr>
              <w:t>の収益率の共分散</w:t>
            </w:r>
          </w:p>
        </w:tc>
      </w:tr>
    </w:tbl>
    <w:p w14:paraId="75A97C6A" w14:textId="02502559" w:rsidR="007A35B2" w:rsidRPr="00E66B0E" w:rsidRDefault="007A35B2" w:rsidP="00BA5B10">
      <w:pPr>
        <w:rPr>
          <w:rFonts w:ascii="Times New Roman" w:hAnsi="Times New Roman" w:cs="Times New Roman"/>
        </w:rPr>
      </w:pPr>
    </w:p>
    <w:p w14:paraId="57B5890B" w14:textId="2E1BDB32" w:rsidR="00532CF2" w:rsidRPr="00E66B0E" w:rsidRDefault="00532CF2" w:rsidP="00BA5B10">
      <w:pPr>
        <w:rPr>
          <w:rFonts w:ascii="Times New Roman" w:hAnsi="Times New Roman" w:cs="Times New Roman"/>
        </w:rPr>
      </w:pPr>
      <w:r w:rsidRPr="00E66B0E">
        <w:rPr>
          <w:rFonts w:ascii="Times New Roman" w:hAnsi="Times New Roman" w:cs="Times New Roman"/>
        </w:rPr>
        <w:t>ポートフォリオの期待収益率を一定に固定するのではなく，効用関数と</w:t>
      </w:r>
      <w:r w:rsidR="00533F26" w:rsidRPr="00E66B0E">
        <w:rPr>
          <w:rFonts w:ascii="Times New Roman" w:hAnsi="Times New Roman" w:cs="Times New Roman"/>
        </w:rPr>
        <w:t>リスク許容度の概念を用いて下の形で表現することもある．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533F26" w:rsidRPr="00E66B0E" w14:paraId="5FAA7388" w14:textId="77777777" w:rsidTr="00071E55">
        <w:tc>
          <w:tcPr>
            <w:tcW w:w="8075" w:type="dxa"/>
          </w:tcPr>
          <w:p w14:paraId="2F5980A9" w14:textId="02C3C1E7" w:rsidR="00533F26" w:rsidRPr="00E66B0E" w:rsidRDefault="00675E28" w:rsidP="00071E55">
            <w:pPr>
              <w:rPr>
                <w:rFonts w:ascii="Times New Roman" w:hAnsi="Times New Roman" w:cs="Times New Roman"/>
                <w:iCs/>
              </w:rPr>
            </w:pPr>
            <m:oMathPara>
              <m:oMath>
                <m:func>
                  <m:funcPr>
                    <m:ctrlPr>
                      <w:rPr>
                        <w:rFonts w:ascii="Cambria Math" w:hAnsi="Cambria Math" w:cs="Times New Roman"/>
                        <w:iCs/>
                      </w:rPr>
                    </m:ctrlPr>
                  </m:funcPr>
                  <m:fName>
                    <m:limLow>
                      <m:limLowPr>
                        <m:ctrlPr>
                          <w:rPr>
                            <w:rFonts w:ascii="Cambria Math" w:hAnsi="Cambria Math" w:cs="Times New Roman"/>
                            <w:iCs/>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lim>
                    </m:limLow>
                    <m:ctrlPr>
                      <w:rPr>
                        <w:rFonts w:ascii="Cambria Math" w:hAnsi="Cambria Math" w:cs="Times New Roman"/>
                        <w:i/>
                        <w:iCs/>
                      </w:rPr>
                    </m:ctrlPr>
                  </m:fName>
                  <m:e>
                    <m:nary>
                      <m:naryPr>
                        <m:chr m:val="∑"/>
                        <m:supHide m:val="1"/>
                        <m:ctrlPr>
                          <w:rPr>
                            <w:rFonts w:ascii="Cambria Math" w:hAnsi="Cambria Math" w:cs="Times New Roman"/>
                            <w:i/>
                            <w:iCs/>
                          </w:rPr>
                        </m:ctrlPr>
                      </m:naryPr>
                      <m:sub>
                        <m:r>
                          <w:rPr>
                            <w:rFonts w:ascii="Cambria Math" w:hAnsi="Cambria Math" w:cs="Times New Roman"/>
                          </w:rPr>
                          <m:t>i</m:t>
                        </m:r>
                      </m:sub>
                      <m:sup/>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λ</m:t>
                            </m:r>
                          </m:den>
                        </m:f>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e>
                    </m:nary>
                    <m:ctrlPr>
                      <w:rPr>
                        <w:rFonts w:ascii="Cambria Math" w:hAnsi="Cambria Math" w:cs="Times New Roman"/>
                        <w:i/>
                        <w:iCs/>
                      </w:rPr>
                    </m:ctrlPr>
                  </m:e>
                </m:func>
              </m:oMath>
            </m:oMathPara>
          </w:p>
        </w:tc>
        <w:tc>
          <w:tcPr>
            <w:tcW w:w="1661" w:type="dxa"/>
            <w:vAlign w:val="center"/>
          </w:tcPr>
          <w:p w14:paraId="17A99449" w14:textId="1ACC1263" w:rsidR="00533F26" w:rsidRPr="00E66B0E" w:rsidRDefault="00533F26" w:rsidP="00071E55">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7</w:t>
            </w:r>
            <w:r w:rsidR="004F70F7" w:rsidRPr="00E66B0E">
              <w:rPr>
                <w:rFonts w:ascii="Times New Roman" w:hAnsi="Times New Roman" w:cs="Times New Roman"/>
              </w:rPr>
              <w:fldChar w:fldCharType="end"/>
            </w:r>
            <w:r w:rsidRPr="00E66B0E">
              <w:rPr>
                <w:rFonts w:ascii="Times New Roman" w:hAnsi="Times New Roman" w:cs="Times New Roman"/>
              </w:rPr>
              <w:t>)</w:t>
            </w:r>
          </w:p>
        </w:tc>
      </w:tr>
    </w:tbl>
    <w:p w14:paraId="7DB4DF48" w14:textId="325471F3" w:rsidR="00533F26" w:rsidRPr="00E66B0E" w:rsidRDefault="002B1FD5" w:rsidP="00BA5B10">
      <w:pPr>
        <w:rPr>
          <w:rFonts w:ascii="Times New Roman" w:hAnsi="Times New Roman" w:cs="Times New Roman"/>
        </w:rPr>
      </w:pPr>
      <w:r w:rsidRPr="00E66B0E">
        <w:rPr>
          <w:rFonts w:ascii="Times New Roman" w:hAnsi="Times New Roman" w:cs="Times New Roman"/>
        </w:rPr>
        <w:t>ただし，</w:t>
      </w:r>
      <m:oMath>
        <m:r>
          <w:rPr>
            <w:rFonts w:ascii="Cambria Math" w:hAnsi="Cambria Math" w:cs="Times New Roman"/>
          </w:rPr>
          <m:t>λ</m:t>
        </m:r>
      </m:oMath>
      <w:r w:rsidRPr="00E66B0E">
        <w:rPr>
          <w:rFonts w:ascii="Times New Roman" w:hAnsi="Times New Roman" w:cs="Times New Roman"/>
        </w:rPr>
        <w:t>はリスク許容度である．</w:t>
      </w:r>
    </w:p>
    <w:p w14:paraId="1B3A3A88" w14:textId="7494882E" w:rsidR="00AC438D" w:rsidRPr="00E66B0E" w:rsidRDefault="000667FE" w:rsidP="00BA5B10">
      <w:pPr>
        <w:rPr>
          <w:rFonts w:ascii="Times New Roman" w:hAnsi="Times New Roman" w:cs="Times New Roman"/>
        </w:rPr>
      </w:pPr>
      <w:r w:rsidRPr="00E66B0E">
        <w:rPr>
          <w:rFonts w:ascii="Times New Roman" w:hAnsi="Times New Roman" w:cs="Times New Roman"/>
        </w:rPr>
        <w:t>効用関数のリスク尺度は，リスクの指標のうちのボラティリティ</w:t>
      </w:r>
      <w:r w:rsidR="00CB3517" w:rsidRPr="00E66B0E">
        <w:rPr>
          <w:rFonts w:ascii="Times New Roman" w:hAnsi="Times New Roman" w:cs="Times New Roman"/>
        </w:rPr>
        <w:t>．</w:t>
      </w:r>
    </w:p>
    <w:p w14:paraId="013951A3" w14:textId="0EFD96AF" w:rsidR="00CB3517" w:rsidRPr="00E66B0E" w:rsidRDefault="00CB3517" w:rsidP="00BA5B10">
      <w:pPr>
        <w:rPr>
          <w:rFonts w:ascii="Times New Roman" w:hAnsi="Times New Roman" w:cs="Times New Roman"/>
        </w:rPr>
      </w:pPr>
    </w:p>
    <w:p w14:paraId="318A8175" w14:textId="78320FBD" w:rsidR="00CB3517" w:rsidRPr="00E66B0E" w:rsidRDefault="00CB3517" w:rsidP="00BA5B10">
      <w:pPr>
        <w:rPr>
          <w:rFonts w:ascii="Times New Roman" w:hAnsi="Times New Roman" w:cs="Times New Roman"/>
        </w:rPr>
      </w:pPr>
      <w:r w:rsidRPr="00E66B0E">
        <w:rPr>
          <w:rFonts w:ascii="Times New Roman" w:hAnsi="Times New Roman" w:cs="Times New Roman"/>
        </w:rPr>
        <w:t>【</w:t>
      </w:r>
      <w:proofErr w:type="spellStart"/>
      <w:r w:rsidRPr="00E66B0E">
        <w:rPr>
          <w:rFonts w:ascii="Times New Roman" w:hAnsi="Times New Roman" w:cs="Times New Roman"/>
        </w:rPr>
        <w:t>VaR</w:t>
      </w:r>
      <w:proofErr w:type="spellEnd"/>
      <w:r w:rsidRPr="00E66B0E">
        <w:rPr>
          <w:rFonts w:ascii="Times New Roman" w:hAnsi="Times New Roman" w:cs="Times New Roman"/>
        </w:rPr>
        <w:t>】</w:t>
      </w:r>
    </w:p>
    <w:p w14:paraId="66D0A4CB" w14:textId="1A70F6BD" w:rsidR="00202B56" w:rsidRPr="00E66B0E" w:rsidRDefault="00691CDD" w:rsidP="00BA5B10">
      <w:pPr>
        <w:rPr>
          <w:rFonts w:ascii="Times New Roman" w:hAnsi="Times New Roman" w:cs="Times New Roman"/>
        </w:rPr>
      </w:pPr>
      <w:r w:rsidRPr="00E66B0E">
        <w:rPr>
          <w:rFonts w:ascii="Times New Roman" w:hAnsi="Times New Roman" w:cs="Times New Roman"/>
        </w:rPr>
        <w:t>効用関数の</w:t>
      </w:r>
      <w:r w:rsidR="00BC235C" w:rsidRPr="00E66B0E">
        <w:rPr>
          <w:rFonts w:ascii="Times New Roman" w:hAnsi="Times New Roman" w:cs="Times New Roman"/>
        </w:rPr>
        <w:t>リスク尺度を</w:t>
      </w:r>
      <w:proofErr w:type="spellStart"/>
      <w:r w:rsidR="00BC235C" w:rsidRPr="00E66B0E">
        <w:rPr>
          <w:rFonts w:ascii="Times New Roman" w:hAnsi="Times New Roman" w:cs="Times New Roman"/>
        </w:rPr>
        <w:t>VaR</w:t>
      </w:r>
      <w:proofErr w:type="spellEnd"/>
      <w:r w:rsidR="00BC235C" w:rsidRPr="00E66B0E">
        <w:rPr>
          <w:rFonts w:ascii="Times New Roman" w:hAnsi="Times New Roman" w:cs="Times New Roman"/>
        </w:rPr>
        <w:t>のような下方リスクで</w:t>
      </w:r>
      <w:r w:rsidRPr="00E66B0E">
        <w:rPr>
          <w:rFonts w:ascii="Times New Roman" w:hAnsi="Times New Roman" w:cs="Times New Roman"/>
        </w:rPr>
        <w:t>表現．</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691CDD" w:rsidRPr="00E66B0E" w14:paraId="777DE109" w14:textId="77777777" w:rsidTr="00071E55">
        <w:tc>
          <w:tcPr>
            <w:tcW w:w="8075" w:type="dxa"/>
          </w:tcPr>
          <w:p w14:paraId="542A4F7F" w14:textId="75AF7F2B" w:rsidR="00691CDD" w:rsidRPr="00E66B0E" w:rsidRDefault="00675E28" w:rsidP="00071E55">
            <w:pPr>
              <w:rPr>
                <w:rFonts w:ascii="Times New Roman" w:hAnsi="Times New Roman" w:cs="Times New Roman"/>
                <w:iCs/>
              </w:rPr>
            </w:pPr>
            <m:oMathPara>
              <m:oMath>
                <m:func>
                  <m:funcPr>
                    <m:ctrlPr>
                      <w:rPr>
                        <w:rFonts w:ascii="Cambria Math" w:hAnsi="Cambria Math" w:cs="Times New Roman"/>
                        <w:iCs/>
                      </w:rPr>
                    </m:ctrlPr>
                  </m:funcPr>
                  <m:fName>
                    <m:limLow>
                      <m:limLowPr>
                        <m:ctrlPr>
                          <w:rPr>
                            <w:rFonts w:ascii="Cambria Math" w:hAnsi="Cambria Math" w:cs="Times New Roman"/>
                            <w:iCs/>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lim>
                    </m:limLow>
                    <m:ctrlPr>
                      <w:rPr>
                        <w:rFonts w:ascii="Cambria Math" w:hAnsi="Cambria Math" w:cs="Times New Roman"/>
                        <w:i/>
                        <w:iCs/>
                      </w:rPr>
                    </m:ctrlPr>
                  </m:fName>
                  <m:e>
                    <m:nary>
                      <m:naryPr>
                        <m:chr m:val="∑"/>
                        <m:supHide m:val="1"/>
                        <m:ctrlPr>
                          <w:rPr>
                            <w:rFonts w:ascii="Cambria Math" w:hAnsi="Cambria Math" w:cs="Times New Roman"/>
                            <w:i/>
                            <w:iCs/>
                          </w:rPr>
                        </m:ctrlPr>
                      </m:naryPr>
                      <m:sub>
                        <m:r>
                          <w:rPr>
                            <w:rFonts w:ascii="Cambria Math" w:hAnsi="Cambria Math" w:cs="Times New Roman"/>
                          </w:rPr>
                          <m:t>i</m:t>
                        </m:r>
                      </m:sub>
                      <m:sup/>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VaR</m:t>
                            </m:r>
                            <m:ctrlPr>
                              <w:rPr>
                                <w:rFonts w:ascii="Cambria Math" w:hAnsi="Cambria Math" w:cs="Times New Roman"/>
                                <w:i/>
                                <w:iCs/>
                              </w:rPr>
                            </m:ctrlPr>
                          </m:e>
                          <m:sub>
                            <m:r>
                              <m:rPr>
                                <m:sty m:val="p"/>
                              </m:rPr>
                              <w:rPr>
                                <w:rFonts w:ascii="Cambria Math" w:hAnsi="Cambria Math" w:cs="Times New Roman"/>
                              </w:rPr>
                              <m:t>99</m:t>
                            </m:r>
                          </m:sub>
                        </m:sSub>
                        <m:d>
                          <m:dPr>
                            <m:begChr m:val="["/>
                            <m:endChr m:val="]"/>
                            <m:ctrlPr>
                              <w:rPr>
                                <w:rFonts w:ascii="Cambria Math" w:hAnsi="Cambria Math" w:cs="Times New Roman"/>
                                <w:i/>
                                <w:iCs/>
                              </w:rPr>
                            </m:ctrlPr>
                          </m:dPr>
                          <m:e>
                            <m:r>
                              <w:rPr>
                                <w:rFonts w:ascii="Cambria Math" w:hAnsi="Cambria Math" w:cs="Times New Roman"/>
                              </w:rPr>
                              <m:t>ϕ</m:t>
                            </m:r>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e>
                    </m:nary>
                    <m:ctrlPr>
                      <w:rPr>
                        <w:rFonts w:ascii="Cambria Math" w:hAnsi="Cambria Math" w:cs="Times New Roman"/>
                        <w:i/>
                        <w:iCs/>
                      </w:rPr>
                    </m:ctrlPr>
                  </m:e>
                </m:func>
              </m:oMath>
            </m:oMathPara>
          </w:p>
        </w:tc>
        <w:tc>
          <w:tcPr>
            <w:tcW w:w="1661" w:type="dxa"/>
            <w:vAlign w:val="center"/>
          </w:tcPr>
          <w:p w14:paraId="7638AE26" w14:textId="714B46ED" w:rsidR="00691CDD" w:rsidRPr="00E66B0E" w:rsidRDefault="00691CDD" w:rsidP="00071E55">
            <w:pPr>
              <w:pStyle w:val="ac"/>
              <w:jc w:val="center"/>
              <w:rPr>
                <w:rFonts w:ascii="Times New Roman" w:hAnsi="Times New Roman" w:cs="Times New Roman"/>
              </w:rPr>
            </w:pPr>
            <w:r w:rsidRPr="00E66B0E">
              <w:rPr>
                <w:rFonts w:ascii="Times New Roman" w:hAnsi="Times New Roman" w:cs="Times New Roman"/>
              </w:rPr>
              <w:t>(</w:t>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STYLEREF 1 \s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2</w:t>
            </w:r>
            <w:r w:rsidR="004F70F7" w:rsidRPr="00E66B0E">
              <w:rPr>
                <w:rFonts w:ascii="Times New Roman" w:hAnsi="Times New Roman" w:cs="Times New Roman"/>
              </w:rPr>
              <w:fldChar w:fldCharType="end"/>
            </w:r>
            <w:r w:rsidR="004F70F7" w:rsidRPr="00E66B0E">
              <w:rPr>
                <w:rFonts w:ascii="Times New Roman" w:hAnsi="Times New Roman" w:cs="Times New Roman"/>
              </w:rPr>
              <w:noBreakHyphen/>
            </w:r>
            <w:r w:rsidR="004F70F7" w:rsidRPr="00E66B0E">
              <w:rPr>
                <w:rFonts w:ascii="Times New Roman" w:hAnsi="Times New Roman" w:cs="Times New Roman"/>
              </w:rPr>
              <w:fldChar w:fldCharType="begin"/>
            </w:r>
            <w:r w:rsidR="004F70F7" w:rsidRPr="00E66B0E">
              <w:rPr>
                <w:rFonts w:ascii="Times New Roman" w:hAnsi="Times New Roman" w:cs="Times New Roman"/>
              </w:rPr>
              <w:instrText xml:space="preserve"> SEQ Equation \* ARABIC \s 1 </w:instrText>
            </w:r>
            <w:r w:rsidR="004F70F7" w:rsidRPr="00E66B0E">
              <w:rPr>
                <w:rFonts w:ascii="Times New Roman" w:hAnsi="Times New Roman" w:cs="Times New Roman"/>
              </w:rPr>
              <w:fldChar w:fldCharType="separate"/>
            </w:r>
            <w:r w:rsidR="004F70F7" w:rsidRPr="00E66B0E">
              <w:rPr>
                <w:rFonts w:ascii="Times New Roman" w:hAnsi="Times New Roman" w:cs="Times New Roman"/>
                <w:noProof/>
              </w:rPr>
              <w:t>8</w:t>
            </w:r>
            <w:r w:rsidR="004F70F7" w:rsidRPr="00E66B0E">
              <w:rPr>
                <w:rFonts w:ascii="Times New Roman" w:hAnsi="Times New Roman" w:cs="Times New Roman"/>
              </w:rPr>
              <w:fldChar w:fldCharType="end"/>
            </w:r>
            <w:r w:rsidRPr="00E66B0E">
              <w:rPr>
                <w:rFonts w:ascii="Times New Roman" w:hAnsi="Times New Roman" w:cs="Times New Roman"/>
              </w:rPr>
              <w:t>)</w:t>
            </w:r>
          </w:p>
        </w:tc>
      </w:tr>
    </w:tbl>
    <w:p w14:paraId="29EE8B3B" w14:textId="51CE5B1C" w:rsidR="00691CDD" w:rsidRPr="00E66B0E" w:rsidRDefault="00E9618E" w:rsidP="00BA5B10">
      <w:pPr>
        <w:rPr>
          <w:rFonts w:ascii="Times New Roman" w:hAnsi="Times New Roman" w:cs="Times New Roman"/>
        </w:rPr>
      </w:pPr>
      <w:r w:rsidRPr="00E66B0E">
        <w:rPr>
          <w:rFonts w:ascii="Times New Roman" w:hAnsi="Times New Roman" w:cs="Times New Roman"/>
        </w:rPr>
        <w:t>ただし，</w:t>
      </w:r>
      <w:proofErr w:type="spellStart"/>
      <w:r w:rsidRPr="00E66B0E">
        <w:rPr>
          <w:rFonts w:ascii="Times New Roman" w:hAnsi="Times New Roman" w:cs="Times New Roman"/>
        </w:rPr>
        <w:t>VaR</w:t>
      </w:r>
      <w:proofErr w:type="spellEnd"/>
      <w:r w:rsidRPr="00E66B0E">
        <w:rPr>
          <w:rFonts w:ascii="Times New Roman" w:hAnsi="Times New Roman" w:cs="Times New Roman"/>
        </w:rPr>
        <w:t>を平均からの差で定義した場合である．</w:t>
      </w:r>
    </w:p>
    <w:p w14:paraId="35B86887" w14:textId="2C0CE054" w:rsidR="004F70F7" w:rsidRPr="00E66B0E" w:rsidRDefault="00387776" w:rsidP="004F70F7">
      <w:pPr>
        <w:rPr>
          <w:rFonts w:ascii="Times New Roman" w:hAnsi="Times New Roman" w:cs="Times New Roman"/>
        </w:rPr>
      </w:pPr>
      <w:r w:rsidRPr="00E66B0E">
        <w:rPr>
          <w:rFonts w:ascii="Times New Roman" w:hAnsi="Times New Roman" w:cs="Times New Roman"/>
        </w:rPr>
        <w:t>この時，すべての資産の収益率分布が正規性を仮定できるのであれば</w:t>
      </w:r>
      <w:r w:rsidR="00022CAF" w:rsidRPr="00E66B0E">
        <w:rPr>
          <w:rFonts w:ascii="Times New Roman" w:hAnsi="Times New Roman" w:cs="Times New Roman"/>
        </w:rPr>
        <w:t>以下となる．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387776" w:rsidRPr="00E66B0E" w14:paraId="193406A6" w14:textId="77777777" w:rsidTr="004F70F7">
        <w:tc>
          <w:tcPr>
            <w:tcW w:w="8075" w:type="dxa"/>
          </w:tcPr>
          <w:p w14:paraId="168DF784" w14:textId="73812F6B" w:rsidR="00387776" w:rsidRPr="00E66B0E" w:rsidRDefault="00675E28" w:rsidP="00071E55">
            <w:pPr>
              <w:rPr>
                <w:rFonts w:ascii="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VaR</m:t>
                    </m:r>
                    <m:ctrlPr>
                      <w:rPr>
                        <w:rFonts w:ascii="Cambria Math" w:hAnsi="Cambria Math" w:cs="Times New Roman"/>
                        <w:i/>
                        <w:iCs/>
                      </w:rPr>
                    </m:ctrlPr>
                  </m:e>
                  <m:sub>
                    <m:r>
                      <m:rPr>
                        <m:sty m:val="p"/>
                      </m:rPr>
                      <w:rPr>
                        <w:rFonts w:ascii="Cambria Math" w:hAnsi="Cambria Math" w:cs="Times New Roman"/>
                      </w:rPr>
                      <m:t>99</m:t>
                    </m:r>
                  </m:sub>
                </m:sSub>
                <m:d>
                  <m:dPr>
                    <m:begChr m:val="["/>
                    <m:endChr m:val="]"/>
                    <m:ctrlPr>
                      <w:rPr>
                        <w:rFonts w:ascii="Cambria Math" w:hAnsi="Cambria Math" w:cs="Times New Roman"/>
                        <w:i/>
                        <w:iCs/>
                      </w:rPr>
                    </m:ctrlPr>
                  </m:dPr>
                  <m:e>
                    <m:r>
                      <w:rPr>
                        <w:rFonts w:ascii="Cambria Math" w:hAnsi="Cambria Math" w:cs="Times New Roman"/>
                      </w:rPr>
                      <m:t>ϕ</m:t>
                    </m:r>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r>
                  <w:rPr>
                    <w:rFonts w:ascii="Cambria Math" w:hAnsi="Cambria Math" w:cs="Times New Roman"/>
                  </w:rPr>
                  <m:t>=2.33σ(</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oMath>
            </m:oMathPara>
          </w:p>
        </w:tc>
        <w:tc>
          <w:tcPr>
            <w:tcW w:w="1661" w:type="dxa"/>
            <w:vAlign w:val="center"/>
          </w:tcPr>
          <w:p w14:paraId="5F5D4BDB" w14:textId="3B54B34E" w:rsidR="00387776" w:rsidRPr="00E66B0E" w:rsidRDefault="004F70F7" w:rsidP="004F70F7">
            <w:pPr>
              <w:pStyle w:val="ac"/>
              <w:jc w:val="center"/>
              <w:rPr>
                <w:rFonts w:ascii="Times New Roman" w:hAnsi="Times New Roman" w:cs="Times New Roman"/>
              </w:rPr>
            </w:pPr>
            <w:r w:rsidRPr="00E66B0E">
              <w:rPr>
                <w:rFonts w:ascii="Times New Roman" w:hAnsi="Times New Roman" w:cs="Times New Roman"/>
              </w:rPr>
              <w:t>(</w:t>
            </w:r>
            <w:r w:rsidRPr="00E66B0E">
              <w:rPr>
                <w:rFonts w:ascii="Times New Roman" w:hAnsi="Times New Roman" w:cs="Times New Roman"/>
              </w:rPr>
              <w:fldChar w:fldCharType="begin"/>
            </w:r>
            <w:r w:rsidRPr="00E66B0E">
              <w:rPr>
                <w:rFonts w:ascii="Times New Roman" w:hAnsi="Times New Roman" w:cs="Times New Roman"/>
              </w:rPr>
              <w:instrText xml:space="preserve"> STYLEREF 1 \s </w:instrText>
            </w:r>
            <w:r w:rsidRPr="00E66B0E">
              <w:rPr>
                <w:rFonts w:ascii="Times New Roman" w:hAnsi="Times New Roman" w:cs="Times New Roman"/>
              </w:rPr>
              <w:fldChar w:fldCharType="separate"/>
            </w:r>
            <w:r w:rsidRPr="00E66B0E">
              <w:rPr>
                <w:rFonts w:ascii="Times New Roman" w:hAnsi="Times New Roman" w:cs="Times New Roman"/>
                <w:noProof/>
              </w:rPr>
              <w:t>2</w:t>
            </w:r>
            <w:r w:rsidRPr="00E66B0E">
              <w:rPr>
                <w:rFonts w:ascii="Times New Roman" w:hAnsi="Times New Roman" w:cs="Times New Roman"/>
              </w:rPr>
              <w:fldChar w:fldCharType="end"/>
            </w:r>
            <w:r w:rsidRPr="00E66B0E">
              <w:rPr>
                <w:rFonts w:ascii="Times New Roman" w:hAnsi="Times New Roman" w:cs="Times New Roman"/>
              </w:rPr>
              <w:noBreakHyphen/>
            </w:r>
            <w:r w:rsidRPr="00E66B0E">
              <w:rPr>
                <w:rFonts w:ascii="Times New Roman" w:hAnsi="Times New Roman" w:cs="Times New Roman"/>
              </w:rPr>
              <w:fldChar w:fldCharType="begin"/>
            </w:r>
            <w:r w:rsidRPr="00E66B0E">
              <w:rPr>
                <w:rFonts w:ascii="Times New Roman" w:hAnsi="Times New Roman" w:cs="Times New Roman"/>
              </w:rPr>
              <w:instrText xml:space="preserve"> SEQ Equation \* ARABIC \s 1 </w:instrText>
            </w:r>
            <w:r w:rsidRPr="00E66B0E">
              <w:rPr>
                <w:rFonts w:ascii="Times New Roman" w:hAnsi="Times New Roman" w:cs="Times New Roman"/>
              </w:rPr>
              <w:fldChar w:fldCharType="separate"/>
            </w:r>
            <w:r w:rsidRPr="00E66B0E">
              <w:rPr>
                <w:rFonts w:ascii="Times New Roman" w:hAnsi="Times New Roman" w:cs="Times New Roman"/>
                <w:noProof/>
              </w:rPr>
              <w:t>9</w:t>
            </w:r>
            <w:r w:rsidRPr="00E66B0E">
              <w:rPr>
                <w:rFonts w:ascii="Times New Roman" w:hAnsi="Times New Roman" w:cs="Times New Roman"/>
              </w:rPr>
              <w:fldChar w:fldCharType="end"/>
            </w:r>
            <w:r w:rsidR="00387776" w:rsidRPr="00E66B0E">
              <w:rPr>
                <w:rFonts w:ascii="Times New Roman" w:hAnsi="Times New Roman" w:cs="Times New Roman"/>
              </w:rPr>
              <w:t>)</w:t>
            </w:r>
          </w:p>
        </w:tc>
      </w:tr>
    </w:tbl>
    <w:p w14:paraId="2E055FEB" w14:textId="6066C45E" w:rsidR="00387776" w:rsidRPr="00E66B0E" w:rsidRDefault="00387776" w:rsidP="00BA5B10">
      <w:pPr>
        <w:rPr>
          <w:rFonts w:ascii="Times New Roman" w:hAnsi="Times New Roman" w:cs="Times New Roman"/>
        </w:rPr>
      </w:pPr>
    </w:p>
    <w:p w14:paraId="1612737B" w14:textId="4A0E3330" w:rsidR="00E9618E" w:rsidRPr="00E66B0E" w:rsidRDefault="00807031" w:rsidP="00BA5B10">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はもともとリスク量の測定の尺度だが，</w:t>
      </w:r>
      <w:r w:rsidR="00367C9D" w:rsidRPr="00E66B0E">
        <w:rPr>
          <w:rFonts w:ascii="Times New Roman" w:hAnsi="Times New Roman" w:cs="Times New Roman"/>
        </w:rPr>
        <w:t>一方ではポートフォリオ理論のように，投資戦略にかかわる意思決定ツールとして利用可能．</w:t>
      </w:r>
    </w:p>
    <w:p w14:paraId="3E59EDB9" w14:textId="3F6D1DCE" w:rsidR="006E432E" w:rsidRPr="00E66B0E" w:rsidRDefault="006E432E">
      <w:pPr>
        <w:widowControl/>
        <w:jc w:val="left"/>
        <w:rPr>
          <w:rFonts w:ascii="Times New Roman" w:hAnsi="Times New Roman" w:cs="Times New Roman"/>
        </w:rPr>
      </w:pPr>
      <w:r w:rsidRPr="00E66B0E">
        <w:rPr>
          <w:rFonts w:ascii="Times New Roman" w:hAnsi="Times New Roman" w:cs="Times New Roman"/>
        </w:rPr>
        <w:br w:type="page"/>
      </w:r>
    </w:p>
    <w:p w14:paraId="1D0084C3" w14:textId="2508C1E7" w:rsidR="00280A54" w:rsidRPr="00E66B0E" w:rsidRDefault="006E432E" w:rsidP="00280A54">
      <w:pPr>
        <w:pStyle w:val="Appendix"/>
        <w:rPr>
          <w:rFonts w:eastAsia="ＭＳ 明朝" w:cs="Times New Roman"/>
        </w:rPr>
      </w:pPr>
      <w:r w:rsidRPr="00E66B0E">
        <w:rPr>
          <w:rFonts w:eastAsia="ＭＳ 明朝" w:cs="Times New Roman"/>
        </w:rPr>
        <w:lastRenderedPageBreak/>
        <w:t xml:space="preserve">　</w:t>
      </w:r>
      <w:r w:rsidR="00280A54" w:rsidRPr="00E66B0E">
        <w:rPr>
          <w:rFonts w:eastAsia="ＭＳ 明朝" w:cs="Times New Roman"/>
        </w:rPr>
        <w:t>2</w:t>
      </w:r>
      <w:r w:rsidR="00280A54" w:rsidRPr="00E66B0E">
        <w:rPr>
          <w:rFonts w:eastAsia="ＭＳ 明朝" w:cs="Times New Roman"/>
        </w:rPr>
        <w:t>種類のリターン</w:t>
      </w:r>
    </w:p>
    <w:p w14:paraId="065C9CA6" w14:textId="7573929A" w:rsidR="006E432E" w:rsidRPr="00E66B0E" w:rsidRDefault="00286B38" w:rsidP="00BA5B10">
      <w:pPr>
        <w:rPr>
          <w:rFonts w:ascii="Times New Roman" w:hAnsi="Times New Roman" w:cs="Times New Roman"/>
        </w:rPr>
      </w:pPr>
      <w:r w:rsidRPr="00E66B0E">
        <w:rPr>
          <w:rFonts w:ascii="Times New Roman" w:hAnsi="Times New Roman" w:cs="Times New Roman"/>
        </w:rPr>
        <w:t>【算術収益率】</w:t>
      </w:r>
    </w:p>
    <w:p w14:paraId="46CF3FF3" w14:textId="04B9D49B" w:rsidR="00286B38" w:rsidRPr="00E66B0E" w:rsidRDefault="00AE0EAC" w:rsidP="00BA5B10">
      <w:pPr>
        <w:rPr>
          <w:rFonts w:ascii="Times New Roman" w:hAnsi="Times New Roman" w:cs="Times New Roman"/>
        </w:rPr>
      </w:pPr>
      <w:r w:rsidRPr="00E66B0E">
        <w:rPr>
          <w:rFonts w:ascii="Times New Roman" w:hAnsi="Times New Roman" w:cs="Times New Roman"/>
        </w:rPr>
        <w:t>算術収益率は，以下によって定義される．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DF008F" w:rsidRPr="00E66B0E" w14:paraId="2D9DD1AD" w14:textId="77777777" w:rsidTr="00071E55">
        <w:tc>
          <w:tcPr>
            <w:tcW w:w="8075" w:type="dxa"/>
          </w:tcPr>
          <w:p w14:paraId="446E2708" w14:textId="1E1D5E26" w:rsidR="00DF008F" w:rsidRPr="00E66B0E" w:rsidRDefault="00675E28" w:rsidP="00071E55">
            <w:pPr>
              <w:rPr>
                <w:rFonts w:ascii="Times New Roman" w:hAnsi="Times New Roman" w:cs="Times New Roman"/>
                <w:i/>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A</m:t>
                    </m:r>
                  </m:sup>
                </m:sSub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den>
                </m:f>
              </m:oMath>
            </m:oMathPara>
          </w:p>
        </w:tc>
        <w:tc>
          <w:tcPr>
            <w:tcW w:w="1661" w:type="dxa"/>
            <w:vAlign w:val="center"/>
          </w:tcPr>
          <w:p w14:paraId="50DC4708" w14:textId="49EEABF6" w:rsidR="00DF008F" w:rsidRPr="00E66B0E" w:rsidRDefault="00DF008F" w:rsidP="00071E55">
            <w:pPr>
              <w:pStyle w:val="ac"/>
              <w:jc w:val="center"/>
              <w:rPr>
                <w:rFonts w:ascii="Times New Roman" w:hAnsi="Times New Roman" w:cs="Times New Roman"/>
              </w:rPr>
            </w:pPr>
            <w:r w:rsidRPr="00E66B0E">
              <w:rPr>
                <w:rFonts w:ascii="Times New Roman" w:hAnsi="Times New Roman" w:cs="Times New Roman"/>
              </w:rPr>
              <w:t>(A-1)</w:t>
            </w:r>
          </w:p>
        </w:tc>
      </w:tr>
    </w:tbl>
    <w:p w14:paraId="681DF2E8" w14:textId="4406E252" w:rsidR="00AE0EAC" w:rsidRPr="00E66B0E" w:rsidRDefault="006C7B9B" w:rsidP="00BA5B10">
      <w:pPr>
        <w:rPr>
          <w:rFonts w:ascii="Times New Roman" w:hAnsi="Times New Roman" w:cs="Times New Roman"/>
        </w:rPr>
      </w:pPr>
      <w:r w:rsidRPr="00E66B0E">
        <w:rPr>
          <w:rFonts w:ascii="Times New Roman" w:hAnsi="Times New Roman" w:cs="Times New Roman"/>
        </w:rPr>
        <w:t>ただし，</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Pr="00E66B0E">
        <w:rPr>
          <w:rFonts w:ascii="Times New Roman" w:hAnsi="Times New Roman" w:cs="Times New Roman"/>
        </w:rPr>
        <w:t>は</w:t>
      </w:r>
      <m:oMath>
        <m:r>
          <w:rPr>
            <w:rFonts w:ascii="Cambria Math" w:hAnsi="Cambria Math" w:cs="Times New Roman"/>
          </w:rPr>
          <m:t>t</m:t>
        </m:r>
      </m:oMath>
      <w:r w:rsidRPr="00E66B0E">
        <w:rPr>
          <w:rFonts w:ascii="Times New Roman" w:hAnsi="Times New Roman" w:cs="Times New Roman"/>
        </w:rPr>
        <w:t>時点</w:t>
      </w:r>
      <w:r w:rsidR="00271187" w:rsidRPr="00E66B0E">
        <w:rPr>
          <w:rFonts w:ascii="Times New Roman" w:hAnsi="Times New Roman" w:cs="Times New Roman"/>
        </w:rPr>
        <w:t>でのポートフォリオ価格，</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271187" w:rsidRPr="00E66B0E">
        <w:rPr>
          <w:rFonts w:ascii="Times New Roman" w:hAnsi="Times New Roman" w:cs="Times New Roman"/>
        </w:rPr>
        <w:t>は</w:t>
      </w:r>
      <m:oMath>
        <m:r>
          <w:rPr>
            <w:rFonts w:ascii="Cambria Math" w:hAnsi="Cambria Math" w:cs="Times New Roman"/>
          </w:rPr>
          <m:t>t-1</m:t>
        </m:r>
      </m:oMath>
      <w:r w:rsidR="00271187" w:rsidRPr="00E66B0E">
        <w:rPr>
          <w:rFonts w:ascii="Times New Roman" w:hAnsi="Times New Roman" w:cs="Times New Roman"/>
        </w:rPr>
        <w:t>時点から</w:t>
      </w:r>
      <m:oMath>
        <m:r>
          <w:rPr>
            <w:rFonts w:ascii="Cambria Math" w:hAnsi="Cambria Math" w:cs="Times New Roman"/>
          </w:rPr>
          <m:t>t</m:t>
        </m:r>
      </m:oMath>
      <w:r w:rsidR="00271187" w:rsidRPr="00E66B0E">
        <w:rPr>
          <w:rFonts w:ascii="Times New Roman" w:hAnsi="Times New Roman" w:cs="Times New Roman"/>
        </w:rPr>
        <w:t>時点までに発生する配当などのインカムゲイン</w:t>
      </w:r>
      <w:r w:rsidR="00653E3F" w:rsidRPr="00E66B0E">
        <w:rPr>
          <w:rFonts w:ascii="Times New Roman" w:hAnsi="Times New Roman" w:cs="Times New Roman"/>
        </w:rPr>
        <w:t>を表す．</w:t>
      </w:r>
    </w:p>
    <w:tbl>
      <w:tblPr>
        <w:tblStyle w:val="ab"/>
        <w:tblW w:w="0" w:type="auto"/>
        <w:tblInd w:w="1555" w:type="dxa"/>
        <w:tblLook w:val="04A0" w:firstRow="1" w:lastRow="0" w:firstColumn="1" w:lastColumn="0" w:noHBand="0" w:noVBand="1"/>
      </w:tblPr>
      <w:tblGrid>
        <w:gridCol w:w="3313"/>
        <w:gridCol w:w="3774"/>
      </w:tblGrid>
      <w:tr w:rsidR="00653E3F" w:rsidRPr="00E66B0E" w14:paraId="65F3CC70" w14:textId="77777777" w:rsidTr="0096138C">
        <w:tc>
          <w:tcPr>
            <w:tcW w:w="3313" w:type="dxa"/>
            <w:shd w:val="clear" w:color="auto" w:fill="002060"/>
            <w:vAlign w:val="center"/>
          </w:tcPr>
          <w:p w14:paraId="0DFBDE5A" w14:textId="00F09859" w:rsidR="00653E3F" w:rsidRPr="00E66B0E" w:rsidRDefault="00653E3F" w:rsidP="00653E3F">
            <w:pPr>
              <w:jc w:val="center"/>
              <w:rPr>
                <w:rFonts w:ascii="Times New Roman" w:hAnsi="Times New Roman" w:cs="Times New Roman"/>
                <w:b/>
                <w:bCs/>
              </w:rPr>
            </w:pPr>
            <w:r w:rsidRPr="00E66B0E">
              <w:rPr>
                <w:rFonts w:ascii="Times New Roman" w:hAnsi="Times New Roman" w:cs="Times New Roman"/>
                <w:b/>
                <w:bCs/>
              </w:rPr>
              <w:t>利点</w:t>
            </w:r>
          </w:p>
        </w:tc>
        <w:tc>
          <w:tcPr>
            <w:tcW w:w="3774" w:type="dxa"/>
            <w:shd w:val="clear" w:color="auto" w:fill="002060"/>
            <w:vAlign w:val="center"/>
          </w:tcPr>
          <w:p w14:paraId="128DD367" w14:textId="33CADD6C" w:rsidR="00653E3F" w:rsidRPr="00E66B0E" w:rsidRDefault="00653E3F" w:rsidP="00653E3F">
            <w:pPr>
              <w:jc w:val="center"/>
              <w:rPr>
                <w:rFonts w:ascii="Times New Roman" w:hAnsi="Times New Roman" w:cs="Times New Roman"/>
                <w:b/>
                <w:bCs/>
              </w:rPr>
            </w:pPr>
            <w:r w:rsidRPr="00E66B0E">
              <w:rPr>
                <w:rFonts w:ascii="Times New Roman" w:hAnsi="Times New Roman" w:cs="Times New Roman"/>
                <w:b/>
                <w:bCs/>
              </w:rPr>
              <w:t>欠点</w:t>
            </w:r>
          </w:p>
        </w:tc>
      </w:tr>
      <w:tr w:rsidR="00653E3F" w:rsidRPr="00E66B0E" w14:paraId="5D8CBBF7" w14:textId="77777777" w:rsidTr="0096138C">
        <w:tc>
          <w:tcPr>
            <w:tcW w:w="3313" w:type="dxa"/>
          </w:tcPr>
          <w:p w14:paraId="54F6E377" w14:textId="782563D6" w:rsidR="00653E3F" w:rsidRPr="00E66B0E" w:rsidRDefault="0096138C" w:rsidP="00BA5B10">
            <w:pPr>
              <w:rPr>
                <w:rFonts w:ascii="Times New Roman" w:hAnsi="Times New Roman" w:cs="Times New Roman"/>
              </w:rPr>
            </w:pPr>
            <w:r w:rsidRPr="00E66B0E">
              <w:rPr>
                <w:rFonts w:ascii="Times New Roman" w:hAnsi="Times New Roman" w:cs="Times New Roman"/>
              </w:rPr>
              <w:t>直感的に理解しやすい．</w:t>
            </w:r>
          </w:p>
        </w:tc>
        <w:tc>
          <w:tcPr>
            <w:tcW w:w="3774" w:type="dxa"/>
          </w:tcPr>
          <w:p w14:paraId="1E8132F6" w14:textId="5FB53616" w:rsidR="00653E3F" w:rsidRPr="00E66B0E" w:rsidRDefault="0096138C" w:rsidP="00BA5B10">
            <w:pPr>
              <w:rPr>
                <w:rFonts w:ascii="Times New Roman" w:hAnsi="Times New Roman" w:cs="Times New Roman"/>
              </w:rPr>
            </w:pPr>
            <w:r w:rsidRPr="00E66B0E">
              <w:rPr>
                <w:rFonts w:ascii="Times New Roman" w:hAnsi="Times New Roman" w:cs="Times New Roman"/>
              </w:rPr>
              <w:t>個々の期間の収益率を合算することで期間全体の収益率を表現することが出来ない．</w:t>
            </w:r>
          </w:p>
        </w:tc>
      </w:tr>
    </w:tbl>
    <w:p w14:paraId="6910B12C" w14:textId="77777777" w:rsidR="00286B38" w:rsidRPr="00E66B0E" w:rsidRDefault="00286B38" w:rsidP="00BA5B10">
      <w:pPr>
        <w:rPr>
          <w:rFonts w:ascii="Times New Roman" w:hAnsi="Times New Roman" w:cs="Times New Roman"/>
        </w:rPr>
      </w:pPr>
    </w:p>
    <w:p w14:paraId="65565212" w14:textId="18953E47" w:rsidR="00286B38" w:rsidRPr="00E66B0E" w:rsidRDefault="00286B38" w:rsidP="00BA5B10">
      <w:pPr>
        <w:rPr>
          <w:rFonts w:ascii="Times New Roman" w:hAnsi="Times New Roman" w:cs="Times New Roman"/>
        </w:rPr>
      </w:pPr>
      <w:r w:rsidRPr="00E66B0E">
        <w:rPr>
          <w:rFonts w:ascii="Times New Roman" w:hAnsi="Times New Roman" w:cs="Times New Roman"/>
        </w:rPr>
        <w:t>【対数収益率】</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8664B5" w:rsidRPr="00E66B0E" w14:paraId="7A6336FD" w14:textId="77777777" w:rsidTr="00071E55">
        <w:tc>
          <w:tcPr>
            <w:tcW w:w="8075" w:type="dxa"/>
          </w:tcPr>
          <w:p w14:paraId="41CDA988" w14:textId="78F5BF80" w:rsidR="008664B5" w:rsidRPr="00E66B0E" w:rsidRDefault="00675E28" w:rsidP="00071E55">
            <w:pPr>
              <w:rPr>
                <w:rFonts w:ascii="Times New Roman" w:hAnsi="Times New Roman" w:cs="Times New Roman"/>
                <w:i/>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G</m:t>
                    </m:r>
                  </m:sup>
                </m:sSubSup>
                <m:r>
                  <w:rPr>
                    <w:rFonts w:ascii="Cambria Math" w:hAnsi="Cambria Math" w:cs="Times New Roman"/>
                  </w:rPr>
                  <m:t>=</m:t>
                </m:r>
                <m:r>
                  <m:rPr>
                    <m:sty m:val="p"/>
                  </m:rPr>
                  <w:rPr>
                    <w:rFonts w:ascii="Cambria Math" w:hAnsi="Cambria Math" w:cs="Times New Roman"/>
                  </w:rPr>
                  <m:t>ln</m:t>
                </m:r>
                <m:d>
                  <m:dPr>
                    <m:ctrlPr>
                      <w:rPr>
                        <w:rFonts w:ascii="Cambria Math" w:hAnsi="Cambria Math" w:cs="Times New Roman"/>
                        <w:iCs/>
                      </w:rPr>
                    </m:ctrlPr>
                  </m:dPr>
                  <m:e>
                    <m:f>
                      <m:fPr>
                        <m:ctrlPr>
                          <w:rPr>
                            <w:rFonts w:ascii="Cambria Math" w:hAnsi="Cambria Math" w:cs="Times New Roman"/>
                            <w:iCs/>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num>
                      <m:den>
                        <m:sSub>
                          <m:sSubPr>
                            <m:ctrlPr>
                              <w:rPr>
                                <w:rFonts w:ascii="Cambria Math" w:hAnsi="Cambria Math" w:cs="Times New Roman"/>
                                <w:iCs/>
                              </w:rPr>
                            </m:ctrlPr>
                          </m:sSubPr>
                          <m:e>
                            <m:r>
                              <m:rPr>
                                <m:sty m:val="p"/>
                              </m:rPr>
                              <w:rPr>
                                <w:rFonts w:ascii="Cambria Math" w:hAnsi="Cambria Math" w:cs="Times New Roman"/>
                              </w:rPr>
                              <m:t>P</m:t>
                            </m:r>
                          </m:e>
                          <m:sub>
                            <m:r>
                              <m:rPr>
                                <m:sty m:val="p"/>
                              </m:rPr>
                              <w:rPr>
                                <w:rFonts w:ascii="Cambria Math" w:hAnsi="Cambria Math" w:cs="Times New Roman"/>
                              </w:rPr>
                              <m:t>t-1</m:t>
                            </m:r>
                          </m:sub>
                        </m:sSub>
                      </m:den>
                    </m:f>
                  </m:e>
                </m:d>
              </m:oMath>
            </m:oMathPara>
          </w:p>
        </w:tc>
        <w:tc>
          <w:tcPr>
            <w:tcW w:w="1661" w:type="dxa"/>
            <w:vAlign w:val="center"/>
          </w:tcPr>
          <w:p w14:paraId="09ED9469" w14:textId="782E8A1A" w:rsidR="008664B5" w:rsidRPr="00E66B0E" w:rsidRDefault="008664B5" w:rsidP="00071E55">
            <w:pPr>
              <w:pStyle w:val="ac"/>
              <w:jc w:val="center"/>
              <w:rPr>
                <w:rFonts w:ascii="Times New Roman" w:hAnsi="Times New Roman" w:cs="Times New Roman"/>
              </w:rPr>
            </w:pPr>
            <w:r w:rsidRPr="00E66B0E">
              <w:rPr>
                <w:rFonts w:ascii="Times New Roman" w:hAnsi="Times New Roman" w:cs="Times New Roman"/>
              </w:rPr>
              <w:t>(A-2)</w:t>
            </w:r>
          </w:p>
        </w:tc>
      </w:tr>
    </w:tbl>
    <w:p w14:paraId="4FB0745E" w14:textId="4B6DD2C4" w:rsidR="006E432E" w:rsidRPr="00E66B0E" w:rsidRDefault="006E432E" w:rsidP="00BA5B10">
      <w:pPr>
        <w:rPr>
          <w:rFonts w:ascii="Times New Roman" w:hAnsi="Times New Roman" w:cs="Times New Roman"/>
        </w:rPr>
      </w:pPr>
    </w:p>
    <w:tbl>
      <w:tblPr>
        <w:tblStyle w:val="ab"/>
        <w:tblW w:w="0" w:type="auto"/>
        <w:tblInd w:w="1555" w:type="dxa"/>
        <w:tblLook w:val="04A0" w:firstRow="1" w:lastRow="0" w:firstColumn="1" w:lastColumn="0" w:noHBand="0" w:noVBand="1"/>
      </w:tblPr>
      <w:tblGrid>
        <w:gridCol w:w="3313"/>
        <w:gridCol w:w="3774"/>
      </w:tblGrid>
      <w:tr w:rsidR="00B87C01" w:rsidRPr="00E66B0E" w14:paraId="7436277A" w14:textId="77777777" w:rsidTr="00071E55">
        <w:tc>
          <w:tcPr>
            <w:tcW w:w="3313" w:type="dxa"/>
            <w:shd w:val="clear" w:color="auto" w:fill="002060"/>
            <w:vAlign w:val="center"/>
          </w:tcPr>
          <w:p w14:paraId="5774E1D5" w14:textId="77777777" w:rsidR="00B87C01" w:rsidRPr="00E66B0E" w:rsidRDefault="00B87C01" w:rsidP="00071E55">
            <w:pPr>
              <w:jc w:val="center"/>
              <w:rPr>
                <w:rFonts w:ascii="Times New Roman" w:hAnsi="Times New Roman" w:cs="Times New Roman"/>
                <w:b/>
                <w:bCs/>
              </w:rPr>
            </w:pPr>
            <w:r w:rsidRPr="00E66B0E">
              <w:rPr>
                <w:rFonts w:ascii="Times New Roman" w:hAnsi="Times New Roman" w:cs="Times New Roman"/>
                <w:b/>
                <w:bCs/>
              </w:rPr>
              <w:t>利点</w:t>
            </w:r>
          </w:p>
        </w:tc>
        <w:tc>
          <w:tcPr>
            <w:tcW w:w="3774" w:type="dxa"/>
            <w:shd w:val="clear" w:color="auto" w:fill="002060"/>
            <w:vAlign w:val="center"/>
          </w:tcPr>
          <w:p w14:paraId="3A08872A" w14:textId="77777777" w:rsidR="00B87C01" w:rsidRPr="00E66B0E" w:rsidRDefault="00B87C01" w:rsidP="00071E55">
            <w:pPr>
              <w:jc w:val="center"/>
              <w:rPr>
                <w:rFonts w:ascii="Times New Roman" w:hAnsi="Times New Roman" w:cs="Times New Roman"/>
                <w:b/>
                <w:bCs/>
              </w:rPr>
            </w:pPr>
            <w:r w:rsidRPr="00E66B0E">
              <w:rPr>
                <w:rFonts w:ascii="Times New Roman" w:hAnsi="Times New Roman" w:cs="Times New Roman"/>
                <w:b/>
                <w:bCs/>
              </w:rPr>
              <w:t>欠点</w:t>
            </w:r>
          </w:p>
        </w:tc>
      </w:tr>
      <w:tr w:rsidR="00B87C01" w:rsidRPr="00E66B0E" w14:paraId="46258CA4" w14:textId="77777777" w:rsidTr="00071E55">
        <w:tc>
          <w:tcPr>
            <w:tcW w:w="3313" w:type="dxa"/>
          </w:tcPr>
          <w:p w14:paraId="5C956FA0" w14:textId="10C6135B" w:rsidR="00B87C01" w:rsidRPr="00E66B0E" w:rsidRDefault="00B87C01" w:rsidP="00071E55">
            <w:pPr>
              <w:rPr>
                <w:rFonts w:ascii="Times New Roman" w:hAnsi="Times New Roman" w:cs="Times New Roman"/>
              </w:rPr>
            </w:pPr>
            <w:r w:rsidRPr="00E66B0E">
              <w:rPr>
                <w:rFonts w:ascii="Times New Roman" w:hAnsi="Times New Roman" w:cs="Times New Roman"/>
              </w:rPr>
              <w:t>算術収益率の欠点を解決している．</w:t>
            </w:r>
          </w:p>
        </w:tc>
        <w:tc>
          <w:tcPr>
            <w:tcW w:w="3774" w:type="dxa"/>
          </w:tcPr>
          <w:p w14:paraId="6BE83426" w14:textId="5E01EFA4" w:rsidR="00B87C01" w:rsidRPr="00E66B0E" w:rsidRDefault="00CB74B8" w:rsidP="00071E55">
            <w:pPr>
              <w:rPr>
                <w:rFonts w:ascii="Times New Roman" w:hAnsi="Times New Roman" w:cs="Times New Roman"/>
              </w:rPr>
            </w:pPr>
            <w:r w:rsidRPr="00E66B0E">
              <w:rPr>
                <w:rFonts w:ascii="Times New Roman" w:hAnsi="Times New Roman" w:cs="Times New Roman"/>
              </w:rPr>
              <w:t>複数の収益率を資産額で加重平均できない．</w:t>
            </w:r>
          </w:p>
        </w:tc>
      </w:tr>
    </w:tbl>
    <w:p w14:paraId="2A2CDC3E" w14:textId="77777777" w:rsidR="008664B5" w:rsidRPr="00E66B0E" w:rsidRDefault="008664B5" w:rsidP="00BA5B10">
      <w:pPr>
        <w:rPr>
          <w:rFonts w:ascii="Times New Roman" w:hAnsi="Times New Roman" w:cs="Times New Roman"/>
        </w:rPr>
      </w:pPr>
    </w:p>
    <w:p w14:paraId="1F7517DE" w14:textId="7EFB2787" w:rsidR="00F432E3" w:rsidRPr="00E66B0E" w:rsidRDefault="003562E1" w:rsidP="00F432E3">
      <w:pPr>
        <w:pStyle w:val="Appendix"/>
        <w:rPr>
          <w:rFonts w:eastAsiaTheme="minorEastAsia" w:cs="Times New Roman"/>
        </w:rPr>
      </w:pPr>
      <w:r w:rsidRPr="00E66B0E">
        <w:rPr>
          <w:rFonts w:eastAsiaTheme="minorEastAsia" w:cs="Times New Roman"/>
        </w:rPr>
        <w:t xml:space="preserve">　平均と</w:t>
      </w:r>
      <w:proofErr w:type="spellStart"/>
      <w:r w:rsidRPr="00E66B0E">
        <w:rPr>
          <w:rFonts w:eastAsiaTheme="minorEastAsia" w:cs="Times New Roman"/>
        </w:rPr>
        <w:t>VaR</w:t>
      </w:r>
      <w:proofErr w:type="spellEnd"/>
      <w:r w:rsidRPr="00E66B0E">
        <w:rPr>
          <w:rFonts w:eastAsiaTheme="minorEastAsia" w:cs="Times New Roman"/>
        </w:rPr>
        <w:t>の関係</w:t>
      </w:r>
    </w:p>
    <w:p w14:paraId="3D6F2F96" w14:textId="72561F03" w:rsidR="00F432E3" w:rsidRDefault="00E66B0E" w:rsidP="00F432E3">
      <w:pPr>
        <w:rPr>
          <w:rFonts w:ascii="Times New Roman" w:hAnsi="Times New Roman" w:cs="Times New Roman"/>
        </w:rPr>
      </w:pPr>
      <w:proofErr w:type="spellStart"/>
      <w:r w:rsidRPr="00E66B0E">
        <w:rPr>
          <w:rFonts w:ascii="Times New Roman" w:hAnsi="Times New Roman" w:cs="Times New Roman"/>
        </w:rPr>
        <w:t>VaR</w:t>
      </w:r>
      <w:proofErr w:type="spellEnd"/>
      <w:r w:rsidRPr="00E66B0E">
        <w:rPr>
          <w:rFonts w:ascii="Times New Roman" w:hAnsi="Times New Roman" w:cs="Times New Roman"/>
        </w:rPr>
        <w:t>には，数学的に</w:t>
      </w:r>
      <w:r w:rsidRPr="00E66B0E">
        <w:rPr>
          <w:rFonts w:ascii="Times New Roman" w:hAnsi="Times New Roman" w:cs="Times New Roman"/>
        </w:rPr>
        <w:t>2</w:t>
      </w:r>
      <w:r w:rsidRPr="00E66B0E">
        <w:rPr>
          <w:rFonts w:ascii="Times New Roman" w:hAnsi="Times New Roman" w:cs="Times New Roman"/>
        </w:rPr>
        <w:t>つの定義が存在する．</w:t>
      </w:r>
    </w:p>
    <w:p w14:paraId="6CF0B41E" w14:textId="654C185E" w:rsidR="009E2A7F" w:rsidRDefault="009E2A7F" w:rsidP="00F432E3">
      <w:pPr>
        <w:rPr>
          <w:rFonts w:ascii="Times New Roman" w:hAnsi="Times New Roman" w:cs="Times New Roman"/>
        </w:rPr>
      </w:pPr>
      <w:r>
        <w:rPr>
          <w:rFonts w:ascii="Times New Roman" w:hAnsi="Times New Roman" w:cs="Times New Roman" w:hint="eastAsia"/>
        </w:rPr>
        <w:t>例）信頼水準</w:t>
      </w:r>
      <w:r>
        <w:rPr>
          <w:rFonts w:ascii="Times New Roman" w:hAnsi="Times New Roman" w:cs="Times New Roman" w:hint="eastAsia"/>
        </w:rPr>
        <w:t>99%</w:t>
      </w:r>
      <w:r>
        <w:rPr>
          <w:rFonts w:ascii="Times New Roman" w:hAnsi="Times New Roman" w:cs="Times New Roman" w:hint="eastAsia"/>
        </w:rPr>
        <w:t>の</w:t>
      </w:r>
      <w:proofErr w:type="spellStart"/>
      <w:r>
        <w:rPr>
          <w:rFonts w:ascii="Times New Roman" w:hAnsi="Times New Roman" w:cs="Times New Roman" w:hint="eastAsia"/>
        </w:rPr>
        <w:t>VaR</w:t>
      </w:r>
      <w:proofErr w:type="spellEnd"/>
    </w:p>
    <w:tbl>
      <w:tblPr>
        <w:tblStyle w:val="ab"/>
        <w:tblW w:w="0" w:type="auto"/>
        <w:tblInd w:w="1555" w:type="dxa"/>
        <w:tblLook w:val="04A0" w:firstRow="1" w:lastRow="0" w:firstColumn="1" w:lastColumn="0" w:noHBand="0" w:noVBand="1"/>
      </w:tblPr>
      <w:tblGrid>
        <w:gridCol w:w="3313"/>
        <w:gridCol w:w="3774"/>
      </w:tblGrid>
      <w:tr w:rsidR="00091A9C" w:rsidRPr="00E66B0E" w14:paraId="70192125" w14:textId="77777777" w:rsidTr="00071E55">
        <w:tc>
          <w:tcPr>
            <w:tcW w:w="3313" w:type="dxa"/>
            <w:shd w:val="clear" w:color="auto" w:fill="002060"/>
            <w:vAlign w:val="center"/>
          </w:tcPr>
          <w:p w14:paraId="3BA8076F" w14:textId="32A6025A" w:rsidR="00091A9C" w:rsidRPr="00E66B0E" w:rsidRDefault="00091A9C" w:rsidP="00071E55">
            <w:pPr>
              <w:jc w:val="center"/>
              <w:rPr>
                <w:rFonts w:ascii="Times New Roman" w:hAnsi="Times New Roman" w:cs="Times New Roman"/>
                <w:b/>
                <w:bCs/>
              </w:rPr>
            </w:pPr>
            <w:r>
              <w:rPr>
                <w:rFonts w:ascii="Times New Roman" w:hAnsi="Times New Roman" w:cs="Times New Roman" w:hint="eastAsia"/>
                <w:b/>
                <w:bCs/>
              </w:rPr>
              <w:t>定義１</w:t>
            </w:r>
          </w:p>
        </w:tc>
        <w:tc>
          <w:tcPr>
            <w:tcW w:w="3774" w:type="dxa"/>
            <w:shd w:val="clear" w:color="auto" w:fill="002060"/>
            <w:vAlign w:val="center"/>
          </w:tcPr>
          <w:p w14:paraId="3831F88E" w14:textId="0E065CB1" w:rsidR="00091A9C" w:rsidRPr="00E66B0E" w:rsidRDefault="00091A9C" w:rsidP="00071E55">
            <w:pPr>
              <w:jc w:val="center"/>
              <w:rPr>
                <w:rFonts w:ascii="Times New Roman" w:hAnsi="Times New Roman" w:cs="Times New Roman"/>
                <w:b/>
                <w:bCs/>
              </w:rPr>
            </w:pPr>
            <w:r>
              <w:rPr>
                <w:rFonts w:ascii="Times New Roman" w:hAnsi="Times New Roman" w:cs="Times New Roman" w:hint="eastAsia"/>
                <w:b/>
                <w:bCs/>
              </w:rPr>
              <w:t>定義２</w:t>
            </w:r>
          </w:p>
        </w:tc>
      </w:tr>
      <w:tr w:rsidR="00091A9C" w:rsidRPr="00E66B0E" w14:paraId="7FCFC0C5" w14:textId="77777777" w:rsidTr="00071E55">
        <w:tc>
          <w:tcPr>
            <w:tcW w:w="3313" w:type="dxa"/>
          </w:tcPr>
          <w:p w14:paraId="0F19862D" w14:textId="085B1120" w:rsidR="00091A9C" w:rsidRPr="00E66B0E" w:rsidRDefault="009D64E9" w:rsidP="00071E5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の確率で起こるポートフォリオの最低収益率．</w:t>
            </w:r>
          </w:p>
        </w:tc>
        <w:tc>
          <w:tcPr>
            <w:tcW w:w="3774" w:type="dxa"/>
          </w:tcPr>
          <w:p w14:paraId="613D1807" w14:textId="66FCD6F3" w:rsidR="00091A9C" w:rsidRPr="00E66B0E" w:rsidRDefault="009D64E9" w:rsidP="00071E55">
            <w:pPr>
              <w:rPr>
                <w:rFonts w:ascii="Times New Roman" w:hAnsi="Times New Roman" w:cs="Times New Roman"/>
              </w:rPr>
            </w:pPr>
            <w:r>
              <w:rPr>
                <w:rFonts w:ascii="Times New Roman" w:hAnsi="Times New Roman" w:cs="Times New Roman" w:hint="eastAsia"/>
              </w:rPr>
              <w:t>最低収益率と収益率分布の平均との差</w:t>
            </w:r>
            <w:r w:rsidR="00015F47">
              <w:rPr>
                <w:rFonts w:ascii="Times New Roman" w:hAnsi="Times New Roman" w:cs="Times New Roman" w:hint="eastAsia"/>
              </w:rPr>
              <w:t>．</w:t>
            </w:r>
          </w:p>
        </w:tc>
      </w:tr>
    </w:tbl>
    <w:p w14:paraId="719056D3" w14:textId="13EA6ABF" w:rsidR="0044119B" w:rsidRDefault="00015F47" w:rsidP="00F432E3">
      <w:pPr>
        <w:rPr>
          <w:rFonts w:ascii="Times New Roman" w:hAnsi="Times New Roman" w:cs="Times New Roman"/>
        </w:rPr>
      </w:pPr>
      <w:r>
        <w:rPr>
          <w:rFonts w:ascii="Times New Roman" w:hAnsi="Times New Roman" w:cs="Times New Roman" w:hint="eastAsia"/>
        </w:rPr>
        <w:t>金融機関等で</w:t>
      </w:r>
      <w:proofErr w:type="spellStart"/>
      <w:r>
        <w:rPr>
          <w:rFonts w:ascii="Times New Roman" w:hAnsi="Times New Roman" w:cs="Times New Roman" w:hint="eastAsia"/>
        </w:rPr>
        <w:t>VaR</w:t>
      </w:r>
      <w:proofErr w:type="spellEnd"/>
      <w:r>
        <w:rPr>
          <w:rFonts w:ascii="Times New Roman" w:hAnsi="Times New Roman" w:cs="Times New Roman" w:hint="eastAsia"/>
        </w:rPr>
        <w:t>を議論するときは，主に定義</w:t>
      </w:r>
      <w:r>
        <w:rPr>
          <w:rFonts w:ascii="Times New Roman" w:hAnsi="Times New Roman" w:cs="Times New Roman" w:hint="eastAsia"/>
        </w:rPr>
        <w:t>2</w:t>
      </w:r>
      <w:r>
        <w:rPr>
          <w:rFonts w:ascii="Times New Roman" w:hAnsi="Times New Roman" w:cs="Times New Roman" w:hint="eastAsia"/>
        </w:rPr>
        <w:t>である．</w:t>
      </w:r>
    </w:p>
    <w:p w14:paraId="230DE6D9" w14:textId="4BEFF738" w:rsidR="00015F47" w:rsidRDefault="00330BB7" w:rsidP="00330BB7">
      <w:pPr>
        <w:jc w:val="center"/>
        <w:rPr>
          <w:rFonts w:ascii="Times New Roman" w:hAnsi="Times New Roman" w:cs="Times New Roman"/>
        </w:rPr>
      </w:pPr>
      <w:r>
        <w:rPr>
          <w:noProof/>
        </w:rPr>
        <w:lastRenderedPageBreak/>
        <w:drawing>
          <wp:inline distT="0" distB="0" distL="0" distR="0" wp14:anchorId="2399AC9A" wp14:editId="69466079">
            <wp:extent cx="4059302" cy="3136317"/>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068" cy="3149270"/>
                    </a:xfrm>
                    <a:prstGeom prst="rect">
                      <a:avLst/>
                    </a:prstGeom>
                    <a:noFill/>
                    <a:ln>
                      <a:noFill/>
                    </a:ln>
                  </pic:spPr>
                </pic:pic>
              </a:graphicData>
            </a:graphic>
          </wp:inline>
        </w:drawing>
      </w:r>
    </w:p>
    <w:p w14:paraId="4FEC0373" w14:textId="26DB55BB" w:rsidR="00330BB7" w:rsidRDefault="00330BB7" w:rsidP="00330BB7">
      <w:pPr>
        <w:jc w:val="center"/>
        <w:rPr>
          <w:rFonts w:ascii="Times New Roman" w:hAnsi="Times New Roman" w:cs="Times New Roman"/>
        </w:rPr>
      </w:pPr>
      <w:r>
        <w:rPr>
          <w:rFonts w:ascii="Times New Roman" w:hAnsi="Times New Roman" w:cs="Times New Roman" w:hint="eastAsia"/>
        </w:rPr>
        <w:t>図表</w:t>
      </w:r>
      <w:r w:rsidR="009E090D">
        <w:rPr>
          <w:rFonts w:ascii="Times New Roman" w:hAnsi="Times New Roman" w:cs="Times New Roman" w:hint="eastAsia"/>
        </w:rPr>
        <w:t>B</w:t>
      </w:r>
      <w:r w:rsidR="009E090D">
        <w:rPr>
          <w:rFonts w:ascii="Times New Roman" w:hAnsi="Times New Roman" w:cs="Times New Roman" w:hint="eastAsia"/>
        </w:rPr>
        <w:t xml:space="preserve">　</w:t>
      </w:r>
      <w:proofErr w:type="spellStart"/>
      <w:r w:rsidR="009E090D">
        <w:rPr>
          <w:rFonts w:ascii="Times New Roman" w:hAnsi="Times New Roman" w:cs="Times New Roman" w:hint="eastAsia"/>
        </w:rPr>
        <w:t>VaR</w:t>
      </w:r>
      <w:proofErr w:type="spellEnd"/>
      <w:r w:rsidR="009E090D">
        <w:rPr>
          <w:rFonts w:ascii="Times New Roman" w:hAnsi="Times New Roman" w:cs="Times New Roman" w:hint="eastAsia"/>
        </w:rPr>
        <w:t>の定義</w:t>
      </w:r>
      <w:r w:rsidR="009E090D">
        <w:rPr>
          <w:rFonts w:ascii="Times New Roman" w:hAnsi="Times New Roman" w:cs="Times New Roman" w:hint="eastAsia"/>
        </w:rPr>
        <w:t>2</w:t>
      </w:r>
    </w:p>
    <w:p w14:paraId="4774A9FF" w14:textId="61AA64EA" w:rsidR="009E090D" w:rsidRDefault="009E090D" w:rsidP="00330BB7">
      <w:pPr>
        <w:jc w:val="center"/>
        <w:rPr>
          <w:rFonts w:ascii="Times New Roman" w:hAnsi="Times New Roman" w:cs="Times New Roman"/>
        </w:rPr>
      </w:pPr>
    </w:p>
    <w:p w14:paraId="0061DC06" w14:textId="155469E1" w:rsidR="005F6001" w:rsidRPr="003F1EF3" w:rsidRDefault="005F6001" w:rsidP="005F6001"/>
    <w:sectPr w:rsidR="005F6001" w:rsidRPr="003F1EF3" w:rsidSect="005D54A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0942B" w14:textId="77777777" w:rsidR="00BF24B2" w:rsidRDefault="00BF24B2" w:rsidP="00D171E0">
      <w:r>
        <w:separator/>
      </w:r>
    </w:p>
  </w:endnote>
  <w:endnote w:type="continuationSeparator" w:id="0">
    <w:p w14:paraId="4DA82266" w14:textId="77777777" w:rsidR="00BF24B2" w:rsidRDefault="00BF24B2" w:rsidP="00D171E0">
      <w:r>
        <w:continuationSeparator/>
      </w:r>
    </w:p>
  </w:endnote>
  <w:endnote w:type="continuationNotice" w:id="1">
    <w:p w14:paraId="17E3E223" w14:textId="77777777" w:rsidR="00BF24B2" w:rsidRDefault="00BF2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107816"/>
      <w:docPartObj>
        <w:docPartGallery w:val="Page Numbers (Bottom of Page)"/>
        <w:docPartUnique/>
      </w:docPartObj>
    </w:sdtPr>
    <w:sdtEndPr/>
    <w:sdtContent>
      <w:p w14:paraId="31AF36C9" w14:textId="7EDBCC30" w:rsidR="0059711F" w:rsidRDefault="0059711F">
        <w:pPr>
          <w:pStyle w:val="af3"/>
          <w:jc w:val="center"/>
        </w:pPr>
        <w:r>
          <w:fldChar w:fldCharType="begin"/>
        </w:r>
        <w:r>
          <w:instrText>PAGE   \* MERGEFORMAT</w:instrText>
        </w:r>
        <w:r>
          <w:fldChar w:fldCharType="separate"/>
        </w:r>
        <w:r>
          <w:rPr>
            <w:lang w:val="ja-JP"/>
          </w:rPr>
          <w:t>2</w:t>
        </w:r>
        <w:r>
          <w:fldChar w:fldCharType="end"/>
        </w:r>
      </w:p>
    </w:sdtContent>
  </w:sdt>
  <w:p w14:paraId="03069BF6" w14:textId="77777777" w:rsidR="0059711F" w:rsidRDefault="0059711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8B0AF" w14:textId="77777777" w:rsidR="00BF24B2" w:rsidRDefault="00BF24B2" w:rsidP="00D171E0">
      <w:r>
        <w:separator/>
      </w:r>
    </w:p>
  </w:footnote>
  <w:footnote w:type="continuationSeparator" w:id="0">
    <w:p w14:paraId="16180865" w14:textId="77777777" w:rsidR="00BF24B2" w:rsidRDefault="00BF24B2" w:rsidP="00D171E0">
      <w:r>
        <w:continuationSeparator/>
      </w:r>
    </w:p>
  </w:footnote>
  <w:footnote w:type="continuationNotice" w:id="1">
    <w:p w14:paraId="25444316" w14:textId="77777777" w:rsidR="00BF24B2" w:rsidRDefault="00BF24B2"/>
  </w:footnote>
  <w:footnote w:id="2">
    <w:p w14:paraId="42B5A79A" w14:textId="77777777" w:rsidR="0059240A" w:rsidRPr="00D171E0" w:rsidRDefault="0059240A" w:rsidP="00D171E0">
      <w:pPr>
        <w:pStyle w:val="ad"/>
        <w:rPr>
          <w:sz w:val="18"/>
          <w:szCs w:val="18"/>
        </w:rPr>
      </w:pPr>
      <w:r>
        <w:rPr>
          <w:rStyle w:val="af"/>
        </w:rPr>
        <w:footnoteRef/>
      </w:r>
      <w:r>
        <w:t xml:space="preserve"> </w:t>
      </w:r>
      <w:r>
        <w:rPr>
          <w:rFonts w:hint="eastAsia"/>
          <w:sz w:val="18"/>
          <w:szCs w:val="18"/>
        </w:rPr>
        <w:t>ヒストリカル・ボラティリティは，不変標準偏差を用いる．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2450EAB"/>
    <w:multiLevelType w:val="multilevel"/>
    <w:tmpl w:val="8AB00BBE"/>
    <w:numStyleLink w:val="AppendixA"/>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D85E49A8"/>
    <w:numStyleLink w:val="a"/>
  </w:abstractNum>
  <w:abstractNum w:abstractNumId="5" w15:restartNumberingAfterBreak="0">
    <w:nsid w:val="1B9315D8"/>
    <w:multiLevelType w:val="multilevel"/>
    <w:tmpl w:val="8AB00BBE"/>
    <w:numStyleLink w:val="AppendixA"/>
  </w:abstractNum>
  <w:abstractNum w:abstractNumId="6" w15:restartNumberingAfterBreak="0">
    <w:nsid w:val="208016EF"/>
    <w:multiLevelType w:val="hybridMultilevel"/>
    <w:tmpl w:val="AC9207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8271810"/>
    <w:multiLevelType w:val="multilevel"/>
    <w:tmpl w:val="8AB00BBE"/>
    <w:numStyleLink w:val="AppendixA"/>
  </w:abstractNum>
  <w:abstractNum w:abstractNumId="8" w15:restartNumberingAfterBreak="0">
    <w:nsid w:val="29282C13"/>
    <w:multiLevelType w:val="hybridMultilevel"/>
    <w:tmpl w:val="45D0995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3163E0A"/>
    <w:multiLevelType w:val="hybridMultilevel"/>
    <w:tmpl w:val="2B5CF4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5086258"/>
    <w:multiLevelType w:val="multilevel"/>
    <w:tmpl w:val="8AB00BBE"/>
    <w:styleLink w:val="AppendixA"/>
    <w:lvl w:ilvl="0">
      <w:start w:val="1"/>
      <w:numFmt w:val="upperLetter"/>
      <w:pStyle w:val="Appendix"/>
      <w:suff w:val="space"/>
      <w:lvlText w:val="Appendix %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59777BB6"/>
    <w:multiLevelType w:val="hybridMultilevel"/>
    <w:tmpl w:val="6EC29F48"/>
    <w:lvl w:ilvl="0" w:tplc="13F64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E897DEF"/>
    <w:multiLevelType w:val="multilevel"/>
    <w:tmpl w:val="8AB00BBE"/>
    <w:numStyleLink w:val="AppendixA"/>
  </w:abstractNum>
  <w:abstractNum w:abstractNumId="13"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9EA621C"/>
    <w:multiLevelType w:val="hybridMultilevel"/>
    <w:tmpl w:val="39CEF5E4"/>
    <w:lvl w:ilvl="0" w:tplc="B92097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C9F20BA"/>
    <w:multiLevelType w:val="hybridMultilevel"/>
    <w:tmpl w:val="571AF60C"/>
    <w:lvl w:ilvl="0" w:tplc="E49CDB9A">
      <w:start w:val="1"/>
      <w:numFmt w:val="upp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2"/>
  </w:num>
  <w:num w:numId="3">
    <w:abstractNumId w:val="0"/>
  </w:num>
  <w:num w:numId="4">
    <w:abstractNumId w:val="13"/>
  </w:num>
  <w:num w:numId="5">
    <w:abstractNumId w:val="3"/>
  </w:num>
  <w:num w:numId="6">
    <w:abstractNumId w:val="4"/>
  </w:num>
  <w:num w:numId="7">
    <w:abstractNumId w:val="9"/>
  </w:num>
  <w:num w:numId="8">
    <w:abstractNumId w:val="11"/>
  </w:num>
  <w:num w:numId="9">
    <w:abstractNumId w:val="6"/>
  </w:num>
  <w:num w:numId="10">
    <w:abstractNumId w:val="14"/>
  </w:num>
  <w:num w:numId="11">
    <w:abstractNumId w:val="7"/>
  </w:num>
  <w:num w:numId="12">
    <w:abstractNumId w:val="15"/>
  </w:num>
  <w:num w:numId="13">
    <w:abstractNumId w:val="1"/>
  </w:num>
  <w:num w:numId="14">
    <w:abstractNumId w:val="12"/>
  </w:num>
  <w:num w:numId="15">
    <w:abstractNumId w:val="5"/>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4D92"/>
    <w:rsid w:val="00015F47"/>
    <w:rsid w:val="00016BF7"/>
    <w:rsid w:val="00022CAF"/>
    <w:rsid w:val="00024777"/>
    <w:rsid w:val="00027397"/>
    <w:rsid w:val="0005040D"/>
    <w:rsid w:val="00052966"/>
    <w:rsid w:val="00062EC7"/>
    <w:rsid w:val="000667FE"/>
    <w:rsid w:val="000717B2"/>
    <w:rsid w:val="00077C83"/>
    <w:rsid w:val="00091A9C"/>
    <w:rsid w:val="000A5EF3"/>
    <w:rsid w:val="000C0FD8"/>
    <w:rsid w:val="000C6592"/>
    <w:rsid w:val="000D2C7F"/>
    <w:rsid w:val="000E4EFC"/>
    <w:rsid w:val="000E6598"/>
    <w:rsid w:val="000E775C"/>
    <w:rsid w:val="000F14DB"/>
    <w:rsid w:val="000F33F2"/>
    <w:rsid w:val="001014AD"/>
    <w:rsid w:val="00123298"/>
    <w:rsid w:val="001250E8"/>
    <w:rsid w:val="00135ADB"/>
    <w:rsid w:val="00140778"/>
    <w:rsid w:val="00140A62"/>
    <w:rsid w:val="001449D1"/>
    <w:rsid w:val="00144FEE"/>
    <w:rsid w:val="00147C2A"/>
    <w:rsid w:val="0016426E"/>
    <w:rsid w:val="00174245"/>
    <w:rsid w:val="00177316"/>
    <w:rsid w:val="001838C4"/>
    <w:rsid w:val="001922D0"/>
    <w:rsid w:val="0019724B"/>
    <w:rsid w:val="001B2B89"/>
    <w:rsid w:val="001C0D94"/>
    <w:rsid w:val="001C2EA4"/>
    <w:rsid w:val="001D6714"/>
    <w:rsid w:val="001E0D30"/>
    <w:rsid w:val="001E4D6F"/>
    <w:rsid w:val="00202248"/>
    <w:rsid w:val="00202B56"/>
    <w:rsid w:val="00206BA9"/>
    <w:rsid w:val="00213DF9"/>
    <w:rsid w:val="00215A04"/>
    <w:rsid w:val="00271187"/>
    <w:rsid w:val="00280A54"/>
    <w:rsid w:val="00281652"/>
    <w:rsid w:val="00286B38"/>
    <w:rsid w:val="00296A64"/>
    <w:rsid w:val="002A7B05"/>
    <w:rsid w:val="002B15D5"/>
    <w:rsid w:val="002B1FD5"/>
    <w:rsid w:val="002B51A8"/>
    <w:rsid w:val="002C1FA4"/>
    <w:rsid w:val="002C1FB9"/>
    <w:rsid w:val="002E22E4"/>
    <w:rsid w:val="002E55FE"/>
    <w:rsid w:val="00301961"/>
    <w:rsid w:val="00304DC8"/>
    <w:rsid w:val="00307CCA"/>
    <w:rsid w:val="003226E2"/>
    <w:rsid w:val="0032670D"/>
    <w:rsid w:val="00330BB7"/>
    <w:rsid w:val="00343619"/>
    <w:rsid w:val="00345368"/>
    <w:rsid w:val="00350DC9"/>
    <w:rsid w:val="00351E05"/>
    <w:rsid w:val="003543E9"/>
    <w:rsid w:val="003562E1"/>
    <w:rsid w:val="00367C9D"/>
    <w:rsid w:val="00385E11"/>
    <w:rsid w:val="00387776"/>
    <w:rsid w:val="003A2FAC"/>
    <w:rsid w:val="003A369D"/>
    <w:rsid w:val="003A7C16"/>
    <w:rsid w:val="003B706B"/>
    <w:rsid w:val="003B73F2"/>
    <w:rsid w:val="003B7F1D"/>
    <w:rsid w:val="003D0009"/>
    <w:rsid w:val="003D0846"/>
    <w:rsid w:val="003E1D14"/>
    <w:rsid w:val="003F1EF3"/>
    <w:rsid w:val="003F4C2E"/>
    <w:rsid w:val="004253BC"/>
    <w:rsid w:val="00430F94"/>
    <w:rsid w:val="00435B36"/>
    <w:rsid w:val="0044119B"/>
    <w:rsid w:val="004424C3"/>
    <w:rsid w:val="00445B4D"/>
    <w:rsid w:val="004543EA"/>
    <w:rsid w:val="004707B4"/>
    <w:rsid w:val="00474041"/>
    <w:rsid w:val="00477554"/>
    <w:rsid w:val="00477699"/>
    <w:rsid w:val="0048323B"/>
    <w:rsid w:val="00494EC7"/>
    <w:rsid w:val="004D6AF6"/>
    <w:rsid w:val="004D7C5A"/>
    <w:rsid w:val="004F18A6"/>
    <w:rsid w:val="004F3529"/>
    <w:rsid w:val="004F70F7"/>
    <w:rsid w:val="00513509"/>
    <w:rsid w:val="005227E7"/>
    <w:rsid w:val="00532CF2"/>
    <w:rsid w:val="00533F26"/>
    <w:rsid w:val="00555915"/>
    <w:rsid w:val="00570038"/>
    <w:rsid w:val="0059240A"/>
    <w:rsid w:val="0059711F"/>
    <w:rsid w:val="005A2867"/>
    <w:rsid w:val="005A59A0"/>
    <w:rsid w:val="005C1467"/>
    <w:rsid w:val="005D0969"/>
    <w:rsid w:val="005D54A9"/>
    <w:rsid w:val="005E3A40"/>
    <w:rsid w:val="005F2E5C"/>
    <w:rsid w:val="005F6001"/>
    <w:rsid w:val="005F7FF5"/>
    <w:rsid w:val="00601CDA"/>
    <w:rsid w:val="00603167"/>
    <w:rsid w:val="00606568"/>
    <w:rsid w:val="00626B5F"/>
    <w:rsid w:val="00637AD7"/>
    <w:rsid w:val="00651E81"/>
    <w:rsid w:val="00653E3F"/>
    <w:rsid w:val="00654A37"/>
    <w:rsid w:val="00670D2A"/>
    <w:rsid w:val="00675E28"/>
    <w:rsid w:val="00691CDD"/>
    <w:rsid w:val="006A180F"/>
    <w:rsid w:val="006C7B9B"/>
    <w:rsid w:val="006E15D1"/>
    <w:rsid w:val="006E19E8"/>
    <w:rsid w:val="006E432E"/>
    <w:rsid w:val="006F25C7"/>
    <w:rsid w:val="0070488E"/>
    <w:rsid w:val="0071535D"/>
    <w:rsid w:val="007249CC"/>
    <w:rsid w:val="007349A9"/>
    <w:rsid w:val="00743DB0"/>
    <w:rsid w:val="00757579"/>
    <w:rsid w:val="00765FA7"/>
    <w:rsid w:val="0076715F"/>
    <w:rsid w:val="007723FB"/>
    <w:rsid w:val="00795011"/>
    <w:rsid w:val="007A35B2"/>
    <w:rsid w:val="007A5BA3"/>
    <w:rsid w:val="007A5FCD"/>
    <w:rsid w:val="007B4E43"/>
    <w:rsid w:val="007B7B7B"/>
    <w:rsid w:val="007C5BE0"/>
    <w:rsid w:val="007F71A4"/>
    <w:rsid w:val="00800533"/>
    <w:rsid w:val="00803C83"/>
    <w:rsid w:val="00804172"/>
    <w:rsid w:val="008061A7"/>
    <w:rsid w:val="00807031"/>
    <w:rsid w:val="0081321E"/>
    <w:rsid w:val="008162CD"/>
    <w:rsid w:val="008250D6"/>
    <w:rsid w:val="00851669"/>
    <w:rsid w:val="008664B5"/>
    <w:rsid w:val="0086719C"/>
    <w:rsid w:val="00867DE5"/>
    <w:rsid w:val="008A2FB3"/>
    <w:rsid w:val="008B317B"/>
    <w:rsid w:val="008B37CD"/>
    <w:rsid w:val="008B4AF3"/>
    <w:rsid w:val="008B5EF1"/>
    <w:rsid w:val="008E5856"/>
    <w:rsid w:val="008F7155"/>
    <w:rsid w:val="0090359A"/>
    <w:rsid w:val="00904AD9"/>
    <w:rsid w:val="009320AD"/>
    <w:rsid w:val="00935CD6"/>
    <w:rsid w:val="009505EF"/>
    <w:rsid w:val="0096138C"/>
    <w:rsid w:val="00967AA1"/>
    <w:rsid w:val="0098698C"/>
    <w:rsid w:val="009873FF"/>
    <w:rsid w:val="009938D6"/>
    <w:rsid w:val="009B19F9"/>
    <w:rsid w:val="009B65ED"/>
    <w:rsid w:val="009C20B3"/>
    <w:rsid w:val="009D64E9"/>
    <w:rsid w:val="009E090D"/>
    <w:rsid w:val="009E2A7F"/>
    <w:rsid w:val="009F39DB"/>
    <w:rsid w:val="009F707A"/>
    <w:rsid w:val="00A04A99"/>
    <w:rsid w:val="00A10F0E"/>
    <w:rsid w:val="00A13500"/>
    <w:rsid w:val="00A241A7"/>
    <w:rsid w:val="00A24504"/>
    <w:rsid w:val="00A26B86"/>
    <w:rsid w:val="00A42950"/>
    <w:rsid w:val="00A5389E"/>
    <w:rsid w:val="00A77D52"/>
    <w:rsid w:val="00A847A4"/>
    <w:rsid w:val="00A961CC"/>
    <w:rsid w:val="00AB645B"/>
    <w:rsid w:val="00AC1979"/>
    <w:rsid w:val="00AC438D"/>
    <w:rsid w:val="00AD1E75"/>
    <w:rsid w:val="00AD27B4"/>
    <w:rsid w:val="00AD33F0"/>
    <w:rsid w:val="00AD4ADF"/>
    <w:rsid w:val="00AD63D1"/>
    <w:rsid w:val="00AD76CF"/>
    <w:rsid w:val="00AE0426"/>
    <w:rsid w:val="00AE0EAC"/>
    <w:rsid w:val="00AF1842"/>
    <w:rsid w:val="00B03C1D"/>
    <w:rsid w:val="00B05DF0"/>
    <w:rsid w:val="00B105DB"/>
    <w:rsid w:val="00B11E34"/>
    <w:rsid w:val="00B13E29"/>
    <w:rsid w:val="00B23E77"/>
    <w:rsid w:val="00B3488D"/>
    <w:rsid w:val="00B36EE5"/>
    <w:rsid w:val="00B411C0"/>
    <w:rsid w:val="00B42572"/>
    <w:rsid w:val="00B429A7"/>
    <w:rsid w:val="00B45153"/>
    <w:rsid w:val="00B5059C"/>
    <w:rsid w:val="00B54E6E"/>
    <w:rsid w:val="00B858C3"/>
    <w:rsid w:val="00B87C01"/>
    <w:rsid w:val="00BA5B10"/>
    <w:rsid w:val="00BC0760"/>
    <w:rsid w:val="00BC235C"/>
    <w:rsid w:val="00BD2654"/>
    <w:rsid w:val="00BD6600"/>
    <w:rsid w:val="00BF24B2"/>
    <w:rsid w:val="00C1403E"/>
    <w:rsid w:val="00C3317E"/>
    <w:rsid w:val="00C42569"/>
    <w:rsid w:val="00C47CAC"/>
    <w:rsid w:val="00C5060F"/>
    <w:rsid w:val="00C52EF7"/>
    <w:rsid w:val="00C54D7D"/>
    <w:rsid w:val="00C7407C"/>
    <w:rsid w:val="00C746EB"/>
    <w:rsid w:val="00C74741"/>
    <w:rsid w:val="00C7735F"/>
    <w:rsid w:val="00C82125"/>
    <w:rsid w:val="00C87D8D"/>
    <w:rsid w:val="00C97A0F"/>
    <w:rsid w:val="00CA39B1"/>
    <w:rsid w:val="00CA44AB"/>
    <w:rsid w:val="00CA53D0"/>
    <w:rsid w:val="00CA7A4C"/>
    <w:rsid w:val="00CB12C5"/>
    <w:rsid w:val="00CB3517"/>
    <w:rsid w:val="00CB7123"/>
    <w:rsid w:val="00CB74B8"/>
    <w:rsid w:val="00CB7896"/>
    <w:rsid w:val="00CB7D62"/>
    <w:rsid w:val="00CD04D9"/>
    <w:rsid w:val="00CF1424"/>
    <w:rsid w:val="00CF2A22"/>
    <w:rsid w:val="00CF3B98"/>
    <w:rsid w:val="00D01B1F"/>
    <w:rsid w:val="00D171E0"/>
    <w:rsid w:val="00D40E97"/>
    <w:rsid w:val="00D5658E"/>
    <w:rsid w:val="00D72507"/>
    <w:rsid w:val="00D77F9D"/>
    <w:rsid w:val="00D80535"/>
    <w:rsid w:val="00D85A77"/>
    <w:rsid w:val="00D944C5"/>
    <w:rsid w:val="00D951FC"/>
    <w:rsid w:val="00DA4722"/>
    <w:rsid w:val="00DB707F"/>
    <w:rsid w:val="00DC0B45"/>
    <w:rsid w:val="00DC206B"/>
    <w:rsid w:val="00DC4A36"/>
    <w:rsid w:val="00DE5FE7"/>
    <w:rsid w:val="00DF008F"/>
    <w:rsid w:val="00DF3A94"/>
    <w:rsid w:val="00DF593B"/>
    <w:rsid w:val="00DF764C"/>
    <w:rsid w:val="00E03B64"/>
    <w:rsid w:val="00E1138D"/>
    <w:rsid w:val="00E326A4"/>
    <w:rsid w:val="00E43160"/>
    <w:rsid w:val="00E66B0E"/>
    <w:rsid w:val="00E70DCF"/>
    <w:rsid w:val="00E85582"/>
    <w:rsid w:val="00E90815"/>
    <w:rsid w:val="00E9618E"/>
    <w:rsid w:val="00EA068A"/>
    <w:rsid w:val="00EB29E6"/>
    <w:rsid w:val="00EB5DDF"/>
    <w:rsid w:val="00EC2C25"/>
    <w:rsid w:val="00EC2C44"/>
    <w:rsid w:val="00EC6E84"/>
    <w:rsid w:val="00ED1458"/>
    <w:rsid w:val="00EE2B14"/>
    <w:rsid w:val="00EE71A9"/>
    <w:rsid w:val="00EF7EDE"/>
    <w:rsid w:val="00F07B57"/>
    <w:rsid w:val="00F10644"/>
    <w:rsid w:val="00F16AF8"/>
    <w:rsid w:val="00F21951"/>
    <w:rsid w:val="00F23052"/>
    <w:rsid w:val="00F33A68"/>
    <w:rsid w:val="00F432E3"/>
    <w:rsid w:val="00F43D1F"/>
    <w:rsid w:val="00F52AC7"/>
    <w:rsid w:val="00F872B3"/>
    <w:rsid w:val="00FB1828"/>
    <w:rsid w:val="00FB3972"/>
    <w:rsid w:val="00FC06B7"/>
    <w:rsid w:val="00FC3A37"/>
    <w:rsid w:val="00FD0959"/>
    <w:rsid w:val="00FE0F99"/>
    <w:rsid w:val="00FE5371"/>
    <w:rsid w:val="00FE615E"/>
    <w:rsid w:val="00FF5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91A9C"/>
    <w:pPr>
      <w:widowControl w:val="0"/>
      <w:jc w:val="both"/>
    </w:pPr>
  </w:style>
  <w:style w:type="paragraph" w:styleId="1">
    <w:name w:val="heading 1"/>
    <w:basedOn w:val="a1"/>
    <w:next w:val="a1"/>
    <w:link w:val="10"/>
    <w:autoRedefine/>
    <w:uiPriority w:val="9"/>
    <w:qFormat/>
    <w:rsid w:val="006A180F"/>
    <w:pPr>
      <w:keepNext/>
      <w:numPr>
        <w:numId w:val="6"/>
      </w:numPr>
      <w:outlineLvl w:val="0"/>
    </w:pPr>
    <w:rPr>
      <w:rFonts w:ascii="Times New Roman" w:eastAsia="ＭＳ 明朝" w:hAnsi="Times New Roman" w:cstheme="majorBidi"/>
      <w:b/>
      <w:sz w:val="32"/>
      <w:szCs w:val="24"/>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段落1"/>
    <w:basedOn w:val="a5"/>
    <w:next w:val="a5"/>
    <w:link w:val="12"/>
    <w:autoRedefine/>
    <w:rsid w:val="00350DC9"/>
    <w:rPr>
      <w:b/>
      <w:sz w:val="28"/>
    </w:rPr>
  </w:style>
  <w:style w:type="character" w:customStyle="1" w:styleId="12">
    <w:name w:val="段落1 (文字)"/>
    <w:basedOn w:val="a2"/>
    <w:link w:val="11"/>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AppendixA">
    <w:name w:val="AppendixA"/>
    <w:uiPriority w:val="99"/>
    <w:rsid w:val="00F432E3"/>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1"/>
    <w:link w:val="32"/>
    <w:rsid w:val="00350DC9"/>
    <w:pPr>
      <w:numPr>
        <w:numId w:val="5"/>
      </w:numPr>
    </w:pPr>
  </w:style>
  <w:style w:type="paragraph" w:customStyle="1" w:styleId="41">
    <w:name w:val="スタイル4"/>
    <w:basedOn w:val="11"/>
    <w:next w:val="a5"/>
    <w:link w:val="42"/>
    <w:autoRedefine/>
    <w:rsid w:val="00350DC9"/>
    <w:rPr>
      <w:rFonts w:eastAsia="Times New Roman"/>
    </w:rPr>
  </w:style>
  <w:style w:type="character" w:customStyle="1" w:styleId="32">
    <w:name w:val="スタイル3 (文字)"/>
    <w:basedOn w:val="12"/>
    <w:link w:val="31"/>
    <w:rsid w:val="00350DC9"/>
    <w:rPr>
      <w:b/>
      <w:sz w:val="28"/>
    </w:rPr>
  </w:style>
  <w:style w:type="character" w:customStyle="1" w:styleId="21">
    <w:name w:val="見出し 2 (文字)"/>
    <w:basedOn w:val="a2"/>
    <w:link w:val="2"/>
    <w:uiPriority w:val="9"/>
    <w:rsid w:val="009C20B3"/>
    <w:rPr>
      <w:rFonts w:asciiTheme="majorHAnsi" w:eastAsia="ＭＳ 明朝" w:hAnsiTheme="majorHAnsi" w:cstheme="majorBidi"/>
      <w:b/>
      <w:sz w:val="28"/>
    </w:rPr>
  </w:style>
  <w:style w:type="character" w:customStyle="1" w:styleId="42">
    <w:name w:val="スタイル4 (文字)"/>
    <w:basedOn w:val="12"/>
    <w:link w:val="41"/>
    <w:rsid w:val="00350DC9"/>
    <w:rPr>
      <w:rFonts w:eastAsia="Times New Roman"/>
      <w:b/>
      <w:sz w:val="28"/>
    </w:rPr>
  </w:style>
  <w:style w:type="character" w:customStyle="1" w:styleId="10">
    <w:name w:val="見出し 1 (文字)"/>
    <w:basedOn w:val="a2"/>
    <w:link w:val="1"/>
    <w:uiPriority w:val="9"/>
    <w:rsid w:val="006A180F"/>
    <w:rPr>
      <w:rFonts w:ascii="Times New Roman" w:eastAsia="ＭＳ 明朝" w:hAnsi="Times New Roman" w:cstheme="majorBidi"/>
      <w:b/>
      <w:sz w:val="32"/>
      <w:szCs w:val="24"/>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footnote text"/>
    <w:basedOn w:val="a1"/>
    <w:link w:val="ae"/>
    <w:uiPriority w:val="99"/>
    <w:semiHidden/>
    <w:unhideWhenUsed/>
    <w:rsid w:val="00D171E0"/>
    <w:pPr>
      <w:snapToGrid w:val="0"/>
      <w:jc w:val="left"/>
    </w:pPr>
  </w:style>
  <w:style w:type="character" w:customStyle="1" w:styleId="ae">
    <w:name w:val="脚注文字列 (文字)"/>
    <w:basedOn w:val="a2"/>
    <w:link w:val="ad"/>
    <w:uiPriority w:val="99"/>
    <w:semiHidden/>
    <w:rsid w:val="00D171E0"/>
  </w:style>
  <w:style w:type="character" w:styleId="af">
    <w:name w:val="footnote reference"/>
    <w:basedOn w:val="a2"/>
    <w:uiPriority w:val="99"/>
    <w:semiHidden/>
    <w:unhideWhenUsed/>
    <w:rsid w:val="00D171E0"/>
    <w:rPr>
      <w:vertAlign w:val="superscript"/>
    </w:rPr>
  </w:style>
  <w:style w:type="paragraph" w:styleId="af0">
    <w:name w:val="No Spacing"/>
    <w:uiPriority w:val="1"/>
    <w:qFormat/>
    <w:rsid w:val="008B4AF3"/>
    <w:pPr>
      <w:widowControl w:val="0"/>
      <w:jc w:val="both"/>
    </w:pPr>
  </w:style>
  <w:style w:type="paragraph" w:styleId="af1">
    <w:name w:val="header"/>
    <w:basedOn w:val="a1"/>
    <w:link w:val="af2"/>
    <w:uiPriority w:val="99"/>
    <w:unhideWhenUsed/>
    <w:rsid w:val="0059711F"/>
    <w:pPr>
      <w:tabs>
        <w:tab w:val="center" w:pos="4252"/>
        <w:tab w:val="right" w:pos="8504"/>
      </w:tabs>
      <w:snapToGrid w:val="0"/>
    </w:pPr>
  </w:style>
  <w:style w:type="character" w:customStyle="1" w:styleId="af2">
    <w:name w:val="ヘッダー (文字)"/>
    <w:basedOn w:val="a2"/>
    <w:link w:val="af1"/>
    <w:uiPriority w:val="99"/>
    <w:rsid w:val="0059711F"/>
  </w:style>
  <w:style w:type="paragraph" w:styleId="af3">
    <w:name w:val="footer"/>
    <w:basedOn w:val="a1"/>
    <w:link w:val="af4"/>
    <w:uiPriority w:val="99"/>
    <w:unhideWhenUsed/>
    <w:rsid w:val="0059711F"/>
    <w:pPr>
      <w:tabs>
        <w:tab w:val="center" w:pos="4252"/>
        <w:tab w:val="right" w:pos="8504"/>
      </w:tabs>
      <w:snapToGrid w:val="0"/>
    </w:pPr>
  </w:style>
  <w:style w:type="character" w:customStyle="1" w:styleId="af4">
    <w:name w:val="フッター (文字)"/>
    <w:basedOn w:val="a2"/>
    <w:link w:val="af3"/>
    <w:uiPriority w:val="99"/>
    <w:rsid w:val="0059711F"/>
  </w:style>
  <w:style w:type="paragraph" w:customStyle="1" w:styleId="Appendix">
    <w:name w:val="Appendix"/>
    <w:basedOn w:val="1"/>
    <w:next w:val="a1"/>
    <w:link w:val="Appendix0"/>
    <w:autoRedefine/>
    <w:qFormat/>
    <w:rsid w:val="00F432E3"/>
    <w:pPr>
      <w:numPr>
        <w:numId w:val="15"/>
      </w:numPr>
    </w:pPr>
    <w:rPr>
      <w:rFonts w:eastAsia="Times New Roman"/>
    </w:rPr>
  </w:style>
  <w:style w:type="character" w:customStyle="1" w:styleId="Appendix0">
    <w:name w:val="Appendix (文字)"/>
    <w:basedOn w:val="a2"/>
    <w:link w:val="Appendix"/>
    <w:rsid w:val="00F432E3"/>
    <w:rPr>
      <w:rFonts w:ascii="Times New Roman" w:eastAsia="Times New Roman" w:hAnsi="Times New Roman" w:cstheme="majorBidi"/>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3BC50-E217-4F37-AAC0-1A372B1A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755</Words>
  <Characters>4308</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235</cp:revision>
  <dcterms:created xsi:type="dcterms:W3CDTF">2020-12-21T05:06:00Z</dcterms:created>
  <dcterms:modified xsi:type="dcterms:W3CDTF">2021-01-12T07:20:00Z</dcterms:modified>
</cp:coreProperties>
</file>