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96E4" w14:textId="0F097ED6" w:rsidR="00321F51" w:rsidRDefault="00C05CF6" w:rsidP="00321F51">
      <w:pPr>
        <w:jc w:val="right"/>
        <w:rPr>
          <w:rFonts w:ascii="Times New Roman" w:eastAsia="游明朝" w:hAnsi="Times New Roman"/>
        </w:rPr>
      </w:pPr>
      <w:r w:rsidRPr="008F30E6">
        <w:rPr>
          <w:rFonts w:ascii="Times New Roman" w:eastAsia="游明朝" w:hAnsi="Times New Roman" w:hint="eastAsia"/>
        </w:rPr>
        <w:t>更新日：</w:t>
      </w:r>
      <w:r w:rsidR="00DB38EF">
        <w:rPr>
          <w:rFonts w:ascii="Times New Roman" w:eastAsia="游明朝" w:hAnsi="Times New Roman" w:hint="eastAsia"/>
        </w:rPr>
        <w:t>2022</w:t>
      </w:r>
      <w:r w:rsidR="00DB38EF">
        <w:rPr>
          <w:rFonts w:ascii="Times New Roman" w:eastAsia="游明朝" w:hAnsi="Times New Roman" w:hint="eastAsia"/>
        </w:rPr>
        <w:t>年</w:t>
      </w:r>
      <w:r w:rsidR="00B559E2">
        <w:rPr>
          <w:rFonts w:ascii="Times New Roman" w:eastAsia="游明朝" w:hAnsi="Times New Roman"/>
        </w:rPr>
        <w:t>2</w:t>
      </w:r>
      <w:r w:rsidR="00DB38EF">
        <w:rPr>
          <w:rFonts w:ascii="Times New Roman" w:eastAsia="游明朝" w:hAnsi="Times New Roman" w:hint="eastAsia"/>
        </w:rPr>
        <w:t>月</w:t>
      </w:r>
      <w:r w:rsidR="00DB38EF">
        <w:rPr>
          <w:rFonts w:ascii="Times New Roman" w:eastAsia="游明朝" w:hAnsi="Times New Roman" w:hint="eastAsia"/>
        </w:rPr>
        <w:t>9</w:t>
      </w:r>
      <w:r w:rsidR="00DB38EF">
        <w:rPr>
          <w:rFonts w:ascii="Times New Roman" w:eastAsia="游明朝" w:hAnsi="Times New Roman" w:hint="eastAsia"/>
        </w:rPr>
        <w:t>日</w:t>
      </w:r>
    </w:p>
    <w:p w14:paraId="737BC2F4" w14:textId="77777777" w:rsidR="001B00FE" w:rsidRDefault="001B00FE" w:rsidP="00321F51">
      <w:pPr>
        <w:jc w:val="right"/>
        <w:rPr>
          <w:rFonts w:ascii="Times New Roman" w:eastAsia="游明朝" w:hAnsi="Times New Roman"/>
        </w:rPr>
      </w:pPr>
    </w:p>
    <w:p w14:paraId="33BB514C" w14:textId="1BC47B70" w:rsidR="005E7FCB" w:rsidRDefault="00DC43E9" w:rsidP="002C49E9">
      <w:pPr>
        <w:pStyle w:val="4"/>
        <w:rPr>
          <w:sz w:val="32"/>
          <w:szCs w:val="22"/>
        </w:rPr>
      </w:pPr>
      <w:r>
        <w:rPr>
          <w:rFonts w:hint="eastAsia"/>
          <w:sz w:val="32"/>
          <w:szCs w:val="22"/>
        </w:rPr>
        <w:t>4.3</w:t>
      </w:r>
      <w:r>
        <w:rPr>
          <w:sz w:val="32"/>
          <w:szCs w:val="22"/>
        </w:rPr>
        <w:t xml:space="preserve"> </w:t>
      </w:r>
      <w:r>
        <w:rPr>
          <w:rFonts w:hint="eastAsia"/>
          <w:sz w:val="32"/>
          <w:szCs w:val="22"/>
        </w:rPr>
        <w:t>基準財の変換</w:t>
      </w:r>
    </w:p>
    <w:p w14:paraId="2BF5D79F" w14:textId="201EC1AA" w:rsidR="005E2D8B" w:rsidRPr="005E2D8B" w:rsidRDefault="002C49E9" w:rsidP="002C49E9">
      <w:r>
        <w:rPr>
          <w:rFonts w:hint="eastAsia"/>
        </w:rPr>
        <w:t>これまでの議論では，無リスク資産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を</w:t>
      </w:r>
      <w:r w:rsidR="005E2D8B">
        <w:rPr>
          <w:rFonts w:hint="eastAsia"/>
        </w:rPr>
        <w:t>基準財（ニューメレール）として</w:t>
      </w:r>
      <w:r w:rsidR="005F426C">
        <w:rPr>
          <w:rFonts w:hint="eastAsia"/>
        </w:rPr>
        <w:t>いた．このとき，「資産価格の基本定理（P</w:t>
      </w:r>
      <w:r w:rsidR="00410874">
        <w:rPr>
          <w:rFonts w:hint="eastAsia"/>
        </w:rPr>
        <w:t>58</w:t>
      </w:r>
      <w:r w:rsidR="005F426C">
        <w:rPr>
          <w:rFonts w:hint="eastAsia"/>
        </w:rPr>
        <w:t>）」</w:t>
      </w:r>
      <w:r w:rsidR="00410874">
        <w:rPr>
          <w:rFonts w:hint="eastAsia"/>
        </w:rPr>
        <w:t>より</w:t>
      </w:r>
      <w:r w:rsidR="005E2D8B">
        <w:rPr>
          <w:rFonts w:hint="eastAsia"/>
        </w:rPr>
        <w:t>相対価格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=S(t)/B(t)</m:t>
        </m:r>
      </m:oMath>
      <w:r w:rsidR="00831A63">
        <w:rPr>
          <w:rFonts w:hint="eastAsia"/>
        </w:rPr>
        <w:t>がマルチンゲールであることと裁定機会がないことは同値であった．</w:t>
      </w:r>
    </w:p>
    <w:p w14:paraId="0761AEC9" w14:textId="3F23D8B5" w:rsidR="005E2D8B" w:rsidRDefault="005E2D8B" w:rsidP="002C49E9"/>
    <w:tbl>
      <w:tblPr>
        <w:tblStyle w:val="ab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1A63" w14:paraId="188787EB" w14:textId="77777777" w:rsidTr="00831A63">
        <w:tc>
          <w:tcPr>
            <w:tcW w:w="10456" w:type="dxa"/>
          </w:tcPr>
          <w:p w14:paraId="5CF247E7" w14:textId="77777777" w:rsidR="00831A63" w:rsidRDefault="00831A63" w:rsidP="00831A63">
            <w:r>
              <w:rPr>
                <w:rFonts w:hint="eastAsia"/>
              </w:rPr>
              <w:t>【今回の議論】</w:t>
            </w:r>
          </w:p>
          <w:p w14:paraId="041E469C" w14:textId="61CF7EF2" w:rsidR="00831A63" w:rsidRDefault="00831A63" w:rsidP="00831A63">
            <w:r>
              <w:rPr>
                <w:rFonts w:hint="eastAsia"/>
              </w:rPr>
              <w:t>➡</w:t>
            </w:r>
            <w:r>
              <w:t xml:space="preserve"> </w:t>
            </w:r>
            <w:r>
              <w:rPr>
                <w:rFonts w:hint="eastAsia"/>
              </w:rPr>
              <w:t>問題によっては，基準財を変更した方が便利</w:t>
            </w:r>
            <w:r w:rsidR="0012277E">
              <w:rPr>
                <w:rFonts w:hint="eastAsia"/>
              </w:rPr>
              <w:t>（例えば，フォワード価格）</w:t>
            </w:r>
            <w:r>
              <w:rPr>
                <w:rFonts w:hint="eastAsia"/>
              </w:rPr>
              <w:t>であることを示し，その場合の測度変換の公式を導入．</w:t>
            </w:r>
          </w:p>
        </w:tc>
      </w:tr>
    </w:tbl>
    <w:p w14:paraId="494A4087" w14:textId="77777777" w:rsidR="00831A63" w:rsidRDefault="00831A63" w:rsidP="002C49E9"/>
    <w:p w14:paraId="1A891AEB" w14:textId="54B8AF5C" w:rsidR="0012277E" w:rsidRDefault="0012277E" w:rsidP="002C49E9">
      <w:r>
        <w:rPr>
          <w:rFonts w:hint="eastAsia"/>
        </w:rPr>
        <w:t>まず，2つの証券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X(t)</m:t>
        </m:r>
      </m:oMath>
      <w:r w:rsidR="00A2164A">
        <w:rPr>
          <w:rFonts w:hint="eastAsia"/>
        </w:rPr>
        <w:t>の価格過程をそれぞれ以下の確率微分方程式に従うとする．</w:t>
      </w:r>
    </w:p>
    <w:p w14:paraId="55E2C8C1" w14:textId="0E007F56" w:rsidR="00A2164A" w:rsidRPr="00162EB8" w:rsidRDefault="00504ACB" w:rsidP="002C49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A37A4E1" w14:textId="0000440E" w:rsidR="00162EB8" w:rsidRPr="00162EB8" w:rsidRDefault="00504ACB" w:rsidP="002C49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09D29A0" w14:textId="55C2C53C" w:rsidR="00A72CC3" w:rsidRDefault="00A72CC3" w:rsidP="002C49E9">
      <w:r>
        <w:rPr>
          <w:rFonts w:hint="eastAsia"/>
        </w:rPr>
        <w:t>ただし，2つのブラウン運動</w:t>
      </w:r>
      <m:oMath>
        <m:r>
          <w:rPr>
            <w:rFonts w:ascii="Cambria Math" w:hAnsi="Cambria Math"/>
          </w:rPr>
          <m:t>(z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hint="eastAsia"/>
        </w:rPr>
        <w:t>の相関を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とする．</w:t>
      </w:r>
      <w:r w:rsidR="004C6A1E">
        <w:rPr>
          <w:rFonts w:hint="eastAsia"/>
        </w:rPr>
        <w:t>また，</w:t>
      </w:r>
      <m:oMath>
        <m:r>
          <w:rPr>
            <w:rFonts w:ascii="Cambria Math" w:hAnsi="Cambria Math"/>
          </w:rPr>
          <m:t>(z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4C6A1E">
        <w:rPr>
          <w:rFonts w:hint="eastAsia"/>
        </w:rPr>
        <w:t>によって生成される</w:t>
      </w:r>
      <w:r w:rsidR="00B15781">
        <w:rPr>
          <w:rFonts w:hint="eastAsia"/>
        </w:rPr>
        <w:t>フィルトレーション（情報系）を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8284D">
        <w:rPr>
          <w:rFonts w:hint="eastAsia"/>
        </w:rPr>
        <w:t>とする．</w:t>
      </w:r>
    </w:p>
    <w:p w14:paraId="4B42538F" w14:textId="4EB8B571" w:rsidR="0098284D" w:rsidRDefault="0098284D" w:rsidP="002C49E9">
      <m:oMath>
        <m:r>
          <w:rPr>
            <w:rFonts w:ascii="Cambria Math" w:hAnsi="Cambria Math"/>
          </w:rPr>
          <m:t>S(t)</m:t>
        </m:r>
      </m:oMath>
      <w:r>
        <w:rPr>
          <w:rFonts w:hint="eastAsia"/>
        </w:rPr>
        <w:t>の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に関する</w:t>
      </w:r>
      <w:r w:rsidR="00674514">
        <w:rPr>
          <w:rFonts w:hint="eastAsia"/>
        </w:rPr>
        <w:t>相対価格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=S(t)/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 w:rsidR="00CF4BD0">
        <w:rPr>
          <w:rFonts w:hint="eastAsia"/>
        </w:rPr>
        <w:t>を考える．伊藤の商公式より，相対価格の従う</w:t>
      </w:r>
      <w:r w:rsidR="007E3C0D">
        <w:rPr>
          <w:rFonts w:hint="eastAsia"/>
        </w:rPr>
        <w:t>確率</w:t>
      </w:r>
      <w:r w:rsidR="00CF4BD0">
        <w:rPr>
          <w:rFonts w:hint="eastAsia"/>
        </w:rPr>
        <w:t>微分方程式は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015C58" w14:paraId="693F52CE" w14:textId="77777777" w:rsidTr="00015C58">
        <w:tc>
          <w:tcPr>
            <w:tcW w:w="9209" w:type="dxa"/>
          </w:tcPr>
          <w:p w14:paraId="15310C14" w14:textId="77777777" w:rsidR="00015C58" w:rsidRPr="005642E8" w:rsidRDefault="00504ACB" w:rsidP="002C4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E2131B6" w14:textId="77777777" w:rsidR="005642E8" w:rsidRDefault="005642E8" w:rsidP="002C49E9">
            <w:r>
              <w:rPr>
                <w:rFonts w:hint="eastAsia"/>
              </w:rPr>
              <w:t>ただし，</w:t>
            </w:r>
          </w:p>
          <w:p w14:paraId="3F10EFC6" w14:textId="77777777" w:rsidR="005642E8" w:rsidRPr="003B18A4" w:rsidRDefault="00504ACB" w:rsidP="002C49E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  <w:p w14:paraId="5FEDDDFB" w14:textId="77777777" w:rsidR="003B18A4" w:rsidRPr="000C59A3" w:rsidRDefault="00504ACB" w:rsidP="002C49E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 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rad>
              </m:oMath>
            </m:oMathPara>
          </w:p>
          <w:p w14:paraId="3C6EABAB" w14:textId="253A178B" w:rsidR="000C59A3" w:rsidRPr="003B18A4" w:rsidRDefault="00504ACB" w:rsidP="002C49E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dz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dw(t)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7CBC9223" w14:textId="0B3C7C3F" w:rsidR="00015C58" w:rsidRDefault="00015C58" w:rsidP="00015C58">
            <w:r>
              <w:rPr>
                <w:rFonts w:hint="eastAsia"/>
              </w:rPr>
              <w:t>（4</w:t>
            </w:r>
            <w:r>
              <w:t>.31</w:t>
            </w:r>
            <w:r>
              <w:rPr>
                <w:rFonts w:hint="eastAsia"/>
              </w:rPr>
              <w:t>）</w:t>
            </w:r>
          </w:p>
        </w:tc>
      </w:tr>
    </w:tbl>
    <w:p w14:paraId="0802A557" w14:textId="77777777" w:rsidR="00015C58" w:rsidRDefault="00015C58" w:rsidP="002C49E9"/>
    <w:p w14:paraId="27CB58CD" w14:textId="72D595E2" w:rsidR="005A5A7C" w:rsidRDefault="00EA1592" w:rsidP="002C49E9">
      <w:r>
        <w:rPr>
          <w:rFonts w:hint="eastAsia"/>
        </w:rPr>
        <w:t>相対価格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がマルチンゲールになるように測度変換を行う．つまり，ドリフト項が0となるように</w:t>
      </w:r>
      <w:r w:rsidR="00C45872">
        <w:rPr>
          <w:rFonts w:hint="eastAsia"/>
        </w:rPr>
        <w:t>測度変換を行う．</w:t>
      </w:r>
      <w:r w:rsidR="00822971">
        <w:rPr>
          <w:rFonts w:hint="eastAsia"/>
        </w:rPr>
        <w:t>（定理3.2（</w:t>
      </w:r>
      <w:proofErr w:type="spellStart"/>
      <w:r w:rsidR="00822971">
        <w:rPr>
          <w:rFonts w:hint="eastAsia"/>
        </w:rPr>
        <w:t>Girsanov</w:t>
      </w:r>
      <w:proofErr w:type="spellEnd"/>
      <w:r w:rsidR="00822971">
        <w:rPr>
          <w:rFonts w:hint="eastAsia"/>
        </w:rPr>
        <w:t>の定理））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822971" w14:paraId="36B98752" w14:textId="77777777" w:rsidTr="004026AF">
        <w:tc>
          <w:tcPr>
            <w:tcW w:w="9209" w:type="dxa"/>
          </w:tcPr>
          <w:p w14:paraId="140543D6" w14:textId="4DA0E9F3" w:rsidR="00822971" w:rsidRPr="003B18A4" w:rsidRDefault="00504ACB" w:rsidP="004026A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dt+d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-θdt+d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  θ=-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 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=-θdt+d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47" w:type="dxa"/>
            <w:vAlign w:val="center"/>
          </w:tcPr>
          <w:p w14:paraId="29081926" w14:textId="4637581C" w:rsidR="00822971" w:rsidRDefault="00822971" w:rsidP="004026AF">
            <w:r>
              <w:rPr>
                <w:rFonts w:hint="eastAsia"/>
              </w:rPr>
              <w:t>（4</w:t>
            </w:r>
            <w:r>
              <w:t>.3</w:t>
            </w:r>
            <w:r>
              <w:rPr>
                <w:rFonts w:hint="eastAsia"/>
              </w:rPr>
              <w:t>2）</w:t>
            </w:r>
          </w:p>
        </w:tc>
      </w:tr>
    </w:tbl>
    <w:p w14:paraId="458409A6" w14:textId="77777777" w:rsidR="001A7B4D" w:rsidRDefault="001A7B4D" w:rsidP="002C49E9"/>
    <w:p w14:paraId="03015B50" w14:textId="06E3E24F" w:rsidR="001A7B4D" w:rsidRDefault="00504ACB" w:rsidP="002C49E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A7B4D">
        <w:rPr>
          <w:rFonts w:hint="eastAsia"/>
        </w:rPr>
        <w:t>は変換後の確率測度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22971">
        <w:rPr>
          <w:rFonts w:hint="eastAsia"/>
        </w:rPr>
        <w:t>に関して標準ブラウン運動である．</w:t>
      </w:r>
    </w:p>
    <w:p w14:paraId="39A1104B" w14:textId="77777777" w:rsidR="00015C58" w:rsidRPr="00822971" w:rsidRDefault="00015C58" w:rsidP="002C49E9"/>
    <w:p w14:paraId="1E9FA73E" w14:textId="4EE79006" w:rsidR="00015C58" w:rsidRDefault="00EA6293" w:rsidP="002C49E9">
      <w:r>
        <w:rPr>
          <w:rFonts w:hint="eastAsia"/>
        </w:rPr>
        <w:t>【例4.8（エクスチェンジオプション）】</w:t>
      </w:r>
    </w:p>
    <w:p w14:paraId="16A2E5F5" w14:textId="1A321880" w:rsidR="0083072E" w:rsidRDefault="00540D91" w:rsidP="002C49E9">
      <w:pPr>
        <w:rPr>
          <w:iCs/>
        </w:rPr>
      </w:pPr>
      <w:r>
        <w:rPr>
          <w:rFonts w:hint="eastAsia"/>
          <w:iCs/>
        </w:rPr>
        <w:t>2つの証券を交換するヨーロピアンタイプのデリバティブ</w:t>
      </w:r>
      <w:r w:rsidR="00901106">
        <w:rPr>
          <w:rFonts w:hint="eastAsia"/>
          <w:iCs/>
        </w:rPr>
        <w:t>（エクスチェンジオプション）のペイオフは，</w:t>
      </w:r>
    </w:p>
    <w:p w14:paraId="54898C05" w14:textId="4BEA64A1" w:rsidR="00EA6293" w:rsidRDefault="00CD4F25" w:rsidP="002C49E9">
      <w:pPr>
        <w:rPr>
          <w:iCs/>
        </w:rPr>
      </w:pPr>
      <m:oMathPara>
        <m:oMath>
          <m:r>
            <w:rPr>
              <w:rFonts w:ascii="Cambria Math" w:hAnsi="Cambria Math"/>
            </w:rPr>
            <m:t>C(T)=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(T),1}</m:t>
                  </m:r>
                </m:e>
              </m:func>
            </m:e>
          </m:func>
        </m:oMath>
      </m:oMathPara>
    </w:p>
    <w:p w14:paraId="550D755B" w14:textId="265BAB6B" w:rsidR="00EA6293" w:rsidRDefault="00F639FD" w:rsidP="002C49E9">
      <w:pPr>
        <w:rPr>
          <w:iCs/>
        </w:rPr>
      </w:pPr>
      <w:r>
        <w:rPr>
          <w:rFonts w:hint="eastAsia"/>
          <w:iCs/>
        </w:rPr>
        <w:lastRenderedPageBreak/>
        <w:t>リスク中立化法（無リスク資産を基準財にする）</w:t>
      </w:r>
      <w:r w:rsidR="007162DD">
        <w:rPr>
          <w:rFonts w:hint="eastAsia"/>
          <w:iCs/>
        </w:rPr>
        <w:t>によると，</w:t>
      </w:r>
      <w:r w:rsidR="004D2548">
        <w:rPr>
          <w:rFonts w:hint="eastAsia"/>
          <w:iCs/>
        </w:rPr>
        <w:t>時点</w:t>
      </w:r>
      <m:oMath>
        <m:r>
          <w:rPr>
            <w:rFonts w:ascii="Cambria Math" w:hAnsi="Cambria Math" w:hint="eastAsia"/>
          </w:rPr>
          <m:t>T</m:t>
        </m:r>
      </m:oMath>
      <w:r w:rsidR="004D2548">
        <w:rPr>
          <w:rFonts w:hint="eastAsia"/>
          <w:iCs/>
        </w:rPr>
        <w:t>におけるペイオフを</w:t>
      </w:r>
      <m:oMath>
        <m:r>
          <w:rPr>
            <w:rFonts w:ascii="Cambria Math" w:hAnsi="Cambria Math"/>
          </w:rPr>
          <m:t>C(T)</m:t>
        </m:r>
      </m:oMath>
      <w:r w:rsidR="004D2548">
        <w:rPr>
          <w:rFonts w:hint="eastAsia"/>
          <w:iCs/>
        </w:rPr>
        <w:t>とすると，</w:t>
      </w:r>
      <w:r w:rsidR="00307956">
        <w:rPr>
          <w:rFonts w:hint="eastAsia"/>
          <w:iCs/>
        </w:rPr>
        <w:t>エクスチェンジオプションの価格は以下の通り．</w:t>
      </w:r>
    </w:p>
    <w:p w14:paraId="1B093BB8" w14:textId="43A848EA" w:rsidR="00307956" w:rsidRDefault="00504ACB" w:rsidP="002C49E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B(0)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C(T)</m:t>
                  </m:r>
                </m:num>
                <m:den>
                  <m:r>
                    <w:rPr>
                      <w:rFonts w:ascii="Cambria Math" w:hAnsi="Cambria Math"/>
                    </w:rPr>
                    <m:t>B(T)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B(T)</m:t>
                  </m:r>
                </m:den>
              </m:f>
            </m:e>
          </m:d>
        </m:oMath>
      </m:oMathPara>
    </w:p>
    <w:p w14:paraId="666CD81A" w14:textId="77777777" w:rsidR="00EA6293" w:rsidRDefault="00EA6293" w:rsidP="002C49E9">
      <w:pPr>
        <w:rPr>
          <w:iCs/>
        </w:rPr>
      </w:pPr>
    </w:p>
    <w:p w14:paraId="0B6A3B81" w14:textId="6D6031AE" w:rsidR="004916A3" w:rsidRDefault="00504ACB" w:rsidP="002C49E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D43783">
        <w:rPr>
          <w:rFonts w:hint="eastAsia"/>
          <w:iCs/>
        </w:rPr>
        <w:t>を求めるためには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,X(t))</m:t>
        </m:r>
      </m:oMath>
      <w:r w:rsidR="00D43783">
        <w:rPr>
          <w:rFonts w:hint="eastAsia"/>
          <w:iCs/>
        </w:rPr>
        <w:t>の</w:t>
      </w:r>
      <w:r w:rsidR="00D43783" w:rsidRPr="008F7791">
        <w:rPr>
          <w:rFonts w:hint="eastAsia"/>
          <w:b/>
          <w:bCs/>
          <w:iCs/>
          <w:color w:val="FF0000"/>
        </w:rPr>
        <w:t>2次元同時分布を</w:t>
      </w:r>
      <w:r w:rsidR="004858AA" w:rsidRPr="008F7791">
        <w:rPr>
          <w:rFonts w:hint="eastAsia"/>
          <w:b/>
          <w:bCs/>
          <w:iCs/>
          <w:color w:val="FF0000"/>
        </w:rPr>
        <w:t>評価</w:t>
      </w:r>
      <w:r w:rsidR="004858AA">
        <w:rPr>
          <w:rFonts w:hint="eastAsia"/>
          <w:iCs/>
        </w:rPr>
        <w:t>しなければいけない．</w:t>
      </w:r>
    </w:p>
    <w:p w14:paraId="384FDA34" w14:textId="77777777" w:rsidR="008B30D7" w:rsidRDefault="008B30D7" w:rsidP="002C49E9">
      <w:pPr>
        <w:rPr>
          <w:iCs/>
        </w:rPr>
      </w:pPr>
    </w:p>
    <w:p w14:paraId="63189E02" w14:textId="3EA82835" w:rsidR="00B97BD2" w:rsidRDefault="00C12F26" w:rsidP="002C49E9">
      <w:pPr>
        <w:rPr>
          <w:iCs/>
        </w:rPr>
      </w:pPr>
      <w:r>
        <w:rPr>
          <w:rFonts w:hint="eastAsia"/>
          <w:iCs/>
        </w:rPr>
        <w:t>ここで，基準財を</w:t>
      </w:r>
      <m:oMath>
        <m:r>
          <w:rPr>
            <w:rFonts w:ascii="Cambria Math" w:hAnsi="Cambria Math"/>
          </w:rPr>
          <m:t>B(t)</m:t>
        </m:r>
      </m:oMath>
      <w:r>
        <w:rPr>
          <w:rFonts w:hint="eastAsia"/>
          <w:iCs/>
        </w:rPr>
        <w:t>から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 w:rsidR="008B30D7">
        <w:rPr>
          <w:rFonts w:hint="eastAsia"/>
          <w:iCs/>
        </w:rPr>
        <w:t>に</w:t>
      </w:r>
      <w:r w:rsidR="00B97BD2">
        <w:rPr>
          <w:rFonts w:hint="eastAsia"/>
          <w:iCs/>
        </w:rPr>
        <w:t>変更してみよう．つまり，相対価格を</w:t>
      </w:r>
      <w:r w:rsidR="00F41DF6">
        <w:rPr>
          <w:rFonts w:hint="eastAsia"/>
          <w:iCs/>
        </w:rPr>
        <w:t>以下の通りに設定．</w:t>
      </w:r>
    </w:p>
    <w:p w14:paraId="4522E3FF" w14:textId="0381B2EC" w:rsidR="00B97BD2" w:rsidRPr="00B97BD2" w:rsidRDefault="00504ACB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C(T)</m:t>
              </m:r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</m:oMath>
      </m:oMathPara>
    </w:p>
    <w:p w14:paraId="00FA843B" w14:textId="102F92CB" w:rsidR="004916A3" w:rsidRDefault="00F41DF6" w:rsidP="002C49E9">
      <w:pPr>
        <w:rPr>
          <w:iCs/>
        </w:rPr>
      </w:pPr>
      <w:r>
        <w:rPr>
          <w:rFonts w:hint="eastAsia"/>
          <w:iCs/>
        </w:rPr>
        <w:t>このとき，</w:t>
      </w:r>
      <w:r w:rsidR="008A2B30">
        <w:rPr>
          <w:rFonts w:hint="eastAsia"/>
          <w:iCs/>
        </w:rPr>
        <w:t>満期</w:t>
      </w:r>
      <m:oMath>
        <m:r>
          <w:rPr>
            <w:rFonts w:ascii="Cambria Math" w:hAnsi="Cambria Math" w:hint="eastAsia"/>
          </w:rPr>
          <m:t>T</m:t>
        </m:r>
      </m:oMath>
      <w:r w:rsidR="008A2B30">
        <w:rPr>
          <w:rFonts w:hint="eastAsia"/>
          <w:iCs/>
        </w:rPr>
        <w:t>において</w:t>
      </w:r>
    </w:p>
    <w:p w14:paraId="23FE700D" w14:textId="1F1B74EF" w:rsidR="008A2B30" w:rsidRDefault="00504ACB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C(T)</m:t>
              </m:r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1</m:t>
                  </m:r>
                  <m:r>
                    <w:rPr>
                      <w:rFonts w:ascii="Cambria Math" w:hAnsi="Cambria Math"/>
                      <w:highlight w:val="yellow"/>
                    </w:rPr>
                    <m:t>,0</m:t>
                  </m:r>
                </m:e>
              </m:d>
            </m:e>
          </m:func>
        </m:oMath>
      </m:oMathPara>
    </w:p>
    <w:p w14:paraId="570974CF" w14:textId="5734B92F" w:rsidR="004916A3" w:rsidRDefault="00096FC8" w:rsidP="002C49E9">
      <w:pPr>
        <w:rPr>
          <w:iCs/>
        </w:rPr>
      </w:pPr>
      <w:r>
        <w:rPr>
          <w:rFonts w:hint="eastAsia"/>
          <w:iCs/>
        </w:rPr>
        <w:t>であるから，</w:t>
      </w:r>
      <w:r w:rsidRPr="00231ED9">
        <w:rPr>
          <w:rFonts w:hint="eastAsia"/>
          <w:iCs/>
          <w:highlight w:val="yellow"/>
        </w:rPr>
        <w:t>行使価格1のコールオプション</w:t>
      </w:r>
      <w:r w:rsidR="00231ED9" w:rsidRPr="00231ED9">
        <w:rPr>
          <w:rFonts w:hint="eastAsia"/>
          <w:iCs/>
          <w:highlight w:val="yellow"/>
        </w:rPr>
        <w:t>の評価に帰着される</w:t>
      </w:r>
      <w:r w:rsidR="00231ED9">
        <w:rPr>
          <w:rFonts w:hint="eastAsia"/>
          <w:iCs/>
        </w:rPr>
        <w:t>．</w:t>
      </w:r>
    </w:p>
    <w:p w14:paraId="53ED3CEA" w14:textId="3C7EE99E" w:rsidR="00EB6A33" w:rsidRDefault="00EB6A33" w:rsidP="002C49E9">
      <w:pPr>
        <w:rPr>
          <w:iCs/>
        </w:rPr>
      </w:pPr>
    </w:p>
    <w:p w14:paraId="78F0DEA3" w14:textId="21D8EB5F" w:rsidR="00407411" w:rsidRDefault="00407411" w:rsidP="002C49E9">
      <w:pPr>
        <w:rPr>
          <w:iCs/>
        </w:rPr>
      </w:pPr>
      <w:r>
        <w:rPr>
          <w:rFonts w:hint="eastAsia"/>
          <w:iCs/>
        </w:rPr>
        <w:t>【ポートフォリオの複製】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7818" w14:paraId="20917109" w14:textId="77777777" w:rsidTr="00077818">
        <w:tc>
          <w:tcPr>
            <w:tcW w:w="5228" w:type="dxa"/>
            <w:shd w:val="clear" w:color="auto" w:fill="002060"/>
          </w:tcPr>
          <w:p w14:paraId="062B7547" w14:textId="2AD599B6" w:rsidR="00077818" w:rsidRPr="00077818" w:rsidRDefault="00077818" w:rsidP="00077818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リスク中立化法</w:t>
            </w:r>
          </w:p>
        </w:tc>
        <w:tc>
          <w:tcPr>
            <w:tcW w:w="5228" w:type="dxa"/>
            <w:shd w:val="clear" w:color="auto" w:fill="002060"/>
          </w:tcPr>
          <w:p w14:paraId="4C3ECED4" w14:textId="6E634063" w:rsidR="00077818" w:rsidRPr="00077818" w:rsidRDefault="00077818" w:rsidP="00077818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今回（基準財の変更）</w:t>
            </w:r>
          </w:p>
        </w:tc>
      </w:tr>
      <w:tr w:rsidR="00077818" w14:paraId="089CA18A" w14:textId="77777777" w:rsidTr="00077818">
        <w:tc>
          <w:tcPr>
            <w:tcW w:w="5228" w:type="dxa"/>
          </w:tcPr>
          <w:p w14:paraId="06AA2DD4" w14:textId="7F9CC8D0" w:rsidR="00077818" w:rsidRDefault="00077818" w:rsidP="00077818">
            <w:pPr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,B(T))</m:t>
              </m:r>
            </m:oMath>
            <w:r>
              <w:rPr>
                <w:rFonts w:hint="eastAsia"/>
                <w:iCs/>
              </w:rPr>
              <w:t>でポートフォリオを複製</w:t>
            </w:r>
          </w:p>
        </w:tc>
        <w:tc>
          <w:tcPr>
            <w:tcW w:w="5228" w:type="dxa"/>
          </w:tcPr>
          <w:p w14:paraId="49ACE366" w14:textId="07872715" w:rsidR="00077818" w:rsidRDefault="00077818" w:rsidP="00077818">
            <w:pPr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(T)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  <w:iCs/>
              </w:rPr>
              <w:t>でポートフォリオを複製</w:t>
            </w:r>
          </w:p>
        </w:tc>
      </w:tr>
    </w:tbl>
    <w:p w14:paraId="69E3D1D8" w14:textId="77777777" w:rsidR="00EB6A33" w:rsidRDefault="00EB6A33" w:rsidP="002C49E9">
      <w:pPr>
        <w:rPr>
          <w:iCs/>
        </w:rPr>
      </w:pPr>
    </w:p>
    <w:p w14:paraId="72DBFBE4" w14:textId="77777777" w:rsidR="004F72A3" w:rsidRDefault="004F72A3" w:rsidP="004F72A3">
      <w:pPr>
        <w:rPr>
          <w:iCs/>
        </w:rPr>
      </w:pPr>
      <m:oMath>
        <m:r>
          <w:rPr>
            <w:rFonts w:ascii="Cambria Math" w:hAnsi="Cambria Math"/>
          </w:rPr>
          <m:t>C(t)</m:t>
        </m:r>
      </m:oMath>
      <w:r>
        <w:rPr>
          <w:rFonts w:hint="eastAsia"/>
          <w:iCs/>
        </w:rPr>
        <w:t>を複製ポートフォリオ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b,θ)</m:t>
        </m:r>
      </m:oMath>
      <w:r>
        <w:rPr>
          <w:rFonts w:hint="eastAsia"/>
          <w:iCs/>
        </w:rPr>
        <w:t>の時点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における価格とする．</w:t>
      </w:r>
    </w:p>
    <w:p w14:paraId="63D78BC5" w14:textId="33C7DF32" w:rsidR="00111D08" w:rsidRPr="006A4C9D" w:rsidRDefault="00043CC8" w:rsidP="006A4C9D">
      <w:pPr>
        <w:jc w:val="center"/>
        <w:rPr>
          <w:iCs/>
        </w:rPr>
      </w:pP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+θ(T)S(T)</m:t>
        </m:r>
      </m:oMath>
      <w:r w:rsidR="006A4C9D">
        <w:rPr>
          <w:rFonts w:hint="eastAsia"/>
          <w:iCs/>
        </w:rPr>
        <w:t xml:space="preserve">  </w:t>
      </w:r>
      <w:r w:rsidR="006A4C9D">
        <w:rPr>
          <w:iCs/>
        </w:rPr>
        <w:t>(</w:t>
      </w:r>
      <w:r w:rsidR="006A4C9D" w:rsidRPr="00111D08">
        <w:rPr>
          <w:rFonts w:hint="eastAsia"/>
          <w:b/>
          <w:bCs/>
          <w:iCs/>
        </w:rPr>
        <w:t>↓</w:t>
      </w:r>
      <w:r w:rsidR="006A4C9D">
        <w:rPr>
          <w:rFonts w:hint="eastAsia"/>
          <w:b/>
          <w:bCs/>
          <w:iCs/>
        </w:rPr>
        <w:t xml:space="preserve"> 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 w:rsidR="006A4C9D">
        <w:rPr>
          <w:rFonts w:hint="eastAsia"/>
          <w:iCs/>
        </w:rPr>
        <w:t>を基準財とすると…)</w:t>
      </w:r>
    </w:p>
    <w:p w14:paraId="2CFA4725" w14:textId="22650D9B" w:rsidR="00A10B72" w:rsidRDefault="00504ACB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X(T)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をマルチンゲールとする測度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で期待値を取ると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０</m:t>
              </m:r>
            </m:lim>
          </m:limLow>
        </m:oMath>
      </m:oMathPara>
    </w:p>
    <w:p w14:paraId="01A10D73" w14:textId="77777777" w:rsidR="00407411" w:rsidRDefault="00407411" w:rsidP="002C49E9">
      <w:pPr>
        <w:rPr>
          <w:iCs/>
        </w:rPr>
      </w:pPr>
    </w:p>
    <w:p w14:paraId="44E77508" w14:textId="51A9B222" w:rsidR="00407411" w:rsidRDefault="0044505B" w:rsidP="002C49E9">
      <w:pPr>
        <w:rPr>
          <w:iCs/>
        </w:rPr>
      </w:pPr>
      <w:r>
        <w:rPr>
          <w:rFonts w:hint="eastAsia"/>
          <w:iCs/>
        </w:rPr>
        <w:t>したがって，</w:t>
      </w:r>
      <m:oMath>
        <m:r>
          <w:rPr>
            <w:rFonts w:ascii="Cambria Math" w:hAnsi="Cambria Math"/>
          </w:rPr>
          <m:t>θ(t)</m:t>
        </m:r>
      </m:oMath>
      <w:r w:rsidR="009172F2">
        <w:rPr>
          <w:rFonts w:hint="eastAsia"/>
          <w:iCs/>
        </w:rPr>
        <w:t>を時点に依存しない定数とすると</w:t>
      </w:r>
    </w:p>
    <w:p w14:paraId="683D1BCD" w14:textId="3D898A0E" w:rsidR="00771497" w:rsidRDefault="00504ACB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,  ∵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eastAsia="ＭＳ 明朝" w:hAnsi="Cambria Math" w:cs="ＭＳ 明朝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のもとでマルチンゲール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2D7874A" w14:textId="59C03929" w:rsidR="00280672" w:rsidRDefault="00280672" w:rsidP="002C49E9">
      <w:pPr>
        <w:rPr>
          <w:iCs/>
        </w:rPr>
      </w:pPr>
      <w:r>
        <w:rPr>
          <w:rFonts w:hint="eastAsia"/>
          <w:iCs/>
        </w:rPr>
        <w:t>故に，</w:t>
      </w:r>
    </w:p>
    <w:p w14:paraId="35709F8A" w14:textId="32E1DCF7" w:rsidR="002E5C4B" w:rsidRDefault="00504ACB" w:rsidP="002C49E9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-1, 0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14:paraId="2CFA9B77" w14:textId="3F873EE7" w:rsidR="002E5C4B" w:rsidRDefault="00504ACB" w:rsidP="002C49E9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4B6C2A">
        <w:rPr>
          <w:rFonts w:hint="eastAsia"/>
          <w:iCs/>
        </w:rPr>
        <w:t>は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p>
      </m:oMath>
      <w:r w:rsidR="006F65FC">
        <w:rPr>
          <w:rFonts w:hint="eastAsia"/>
          <w:iCs/>
        </w:rPr>
        <w:t>の下で，(</w:t>
      </w:r>
      <w:r w:rsidR="006F65FC">
        <w:rPr>
          <w:iCs/>
        </w:rPr>
        <w:t>4.32)</w:t>
      </w:r>
      <w:r w:rsidR="006F65FC">
        <w:rPr>
          <w:rFonts w:hint="eastAsia"/>
          <w:iCs/>
        </w:rPr>
        <w:t>式に従うので，</w:t>
      </w:r>
    </w:p>
    <w:p w14:paraId="01A07D51" w14:textId="72801F88" w:rsidR="006F65FC" w:rsidRPr="00437567" w:rsidRDefault="00504ACB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7608B621" w14:textId="452E672D" w:rsidR="00437567" w:rsidRDefault="00EE67F5" w:rsidP="002C49E9">
      <w:pPr>
        <w:rPr>
          <w:iCs/>
        </w:rPr>
      </w:pPr>
      <w:r>
        <w:rPr>
          <w:rFonts w:hint="eastAsia"/>
          <w:iCs/>
        </w:rPr>
        <w:lastRenderedPageBreak/>
        <w:t>（Check）伊藤の公式（1</w:t>
      </w:r>
      <w:r>
        <w:rPr>
          <w:iCs/>
        </w:rPr>
        <w:t>.ver</w:t>
      </w:r>
      <w:r>
        <w:rPr>
          <w:rFonts w:hint="eastAsia"/>
          <w:iCs/>
        </w:rPr>
        <w:t>）より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A13F9">
        <w:rPr>
          <w:rFonts w:hint="eastAsia"/>
          <w:iCs/>
        </w:rPr>
        <w:t>とおくと，</w:t>
      </w:r>
    </w:p>
    <w:p w14:paraId="29FFCC0A" w14:textId="730F0E0C" w:rsidR="004C3BE3" w:rsidRPr="005614B8" w:rsidRDefault="001B54F6" w:rsidP="002C49E9">
      <w:pPr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14:paraId="35B9887A" w14:textId="4B8C6CAD" w:rsidR="005614B8" w:rsidRDefault="005614B8" w:rsidP="002C49E9">
      <w:pPr>
        <w:rPr>
          <w:iCs/>
        </w:rPr>
      </w:pPr>
      <w:r>
        <w:rPr>
          <w:rFonts w:hint="eastAsia"/>
          <w:iCs/>
        </w:rPr>
        <w:t>したがって，</w:t>
      </w:r>
    </w:p>
    <w:p w14:paraId="533FF926" w14:textId="0F022842" w:rsidR="00F206AA" w:rsidRPr="00554792" w:rsidRDefault="006E7145" w:rsidP="002C49E9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nary>
                </m:e>
              </m:nary>
            </m:e>
          </m:func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nary>
                    </m:e>
                  </m:nary>
                </m:e>
              </m:d>
            </m:e>
          </m:func>
          <m:r>
            <w:rPr>
              <w:iCs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(0)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487A5824" w14:textId="77777777" w:rsidR="00554792" w:rsidRDefault="00554792" w:rsidP="002C49E9">
      <w:pPr>
        <w:rPr>
          <w:iCs/>
        </w:rPr>
      </w:pPr>
    </w:p>
    <w:p w14:paraId="07CF7546" w14:textId="685B8F26" w:rsidR="00554792" w:rsidRDefault="00427842" w:rsidP="002C49E9">
      <w:pPr>
        <w:rPr>
          <w:iCs/>
        </w:rPr>
      </w:pPr>
      <w:r>
        <w:rPr>
          <w:rFonts w:hint="eastAsia"/>
          <w:iCs/>
        </w:rPr>
        <w:t>例2.2</w:t>
      </w:r>
      <w:r w:rsidR="007827BE">
        <w:rPr>
          <w:rFonts w:hint="eastAsia"/>
          <w:iCs/>
        </w:rPr>
        <w:t>を振り返ると</w:t>
      </w:r>
    </w:p>
    <w:p w14:paraId="09E269BC" w14:textId="4B146A83" w:rsidR="007827BE" w:rsidRDefault="007827BE" w:rsidP="002C49E9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T+σ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</m:oMath>
      </m:oMathPara>
    </w:p>
    <w:p w14:paraId="6667F158" w14:textId="49FECC8C" w:rsidR="003059AF" w:rsidRDefault="008821C8" w:rsidP="002C49E9">
      <w:pPr>
        <w:rPr>
          <w:iCs/>
        </w:rPr>
      </w:pPr>
      <w:r>
        <w:rPr>
          <w:rFonts w:hint="eastAsia"/>
          <w:iCs/>
        </w:rPr>
        <w:t>であるならば，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A9774F" w14:paraId="349DE38F" w14:textId="77777777" w:rsidTr="00236C9B">
        <w:tc>
          <w:tcPr>
            <w:tcW w:w="9209" w:type="dxa"/>
          </w:tcPr>
          <w:p w14:paraId="3A400A1C" w14:textId="796EDDC1" w:rsidR="00A9774F" w:rsidRDefault="00A9774F" w:rsidP="00236C9B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-K,0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d+σ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-rt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iCs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BS(S,K,T,r,σ)</m:t>
                </m:r>
              </m:oMath>
            </m:oMathPara>
          </w:p>
          <w:p w14:paraId="5F7551C2" w14:textId="40E9340D" w:rsidR="006856D2" w:rsidRPr="00A9774F" w:rsidRDefault="00F04C94" w:rsidP="00236C9B">
            <w:pPr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47" w:type="dxa"/>
            <w:vAlign w:val="center"/>
          </w:tcPr>
          <w:p w14:paraId="32CE6FA5" w14:textId="7C2B27C8" w:rsidR="00A9774F" w:rsidRDefault="00A9774F" w:rsidP="00236C9B">
            <w:r>
              <w:rPr>
                <w:rFonts w:hint="eastAsia"/>
              </w:rPr>
              <w:t>（</w:t>
            </w:r>
            <w:r w:rsidR="002A40D5">
              <w:t>2.17</w:t>
            </w:r>
            <w:r>
              <w:rPr>
                <w:rFonts w:hint="eastAsia"/>
              </w:rPr>
              <w:t>）</w:t>
            </w:r>
          </w:p>
        </w:tc>
      </w:tr>
    </w:tbl>
    <w:p w14:paraId="65715640" w14:textId="315B7145" w:rsidR="001A24E6" w:rsidRDefault="002A40D5" w:rsidP="002C49E9">
      <w:pPr>
        <w:rPr>
          <w:iCs/>
        </w:rPr>
      </w:pPr>
      <w:r>
        <w:rPr>
          <w:rFonts w:hint="eastAsia"/>
          <w:iCs/>
        </w:rPr>
        <w:t>であったので，これと比較すると，</w:t>
      </w:r>
    </w:p>
    <w:p w14:paraId="750BE96D" w14:textId="50E4002C" w:rsidR="002A40D5" w:rsidRPr="00A95EA8" w:rsidRDefault="00384121" w:rsidP="002C49E9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-1, 0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=BS(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,1,</m:t>
          </m:r>
          <m:r>
            <w:rPr>
              <w:rFonts w:ascii="Cambria Math" w:hAnsi="Cambria Math"/>
            </w:rPr>
            <m:t>T,0,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3147AB9" w14:textId="77777777" w:rsidR="00054E47" w:rsidRDefault="00054E47" w:rsidP="002C49E9">
      <w:pPr>
        <w:rPr>
          <w:iCs/>
        </w:rPr>
      </w:pPr>
    </w:p>
    <w:p w14:paraId="7A1B26A9" w14:textId="42986A0F" w:rsidR="00F72183" w:rsidRDefault="00C216DC" w:rsidP="002C49E9">
      <w:pPr>
        <w:rPr>
          <w:rFonts w:hint="eastAsia"/>
          <w:iCs/>
        </w:rPr>
      </w:pPr>
      <w:r>
        <w:rPr>
          <w:rFonts w:hint="eastAsia"/>
          <w:iCs/>
        </w:rPr>
        <w:t>であり，エクスチェンジオプション</w:t>
      </w:r>
      <w:r w:rsidR="00054E47">
        <w:rPr>
          <w:rFonts w:hint="eastAsia"/>
          <w:iCs/>
        </w:rPr>
        <w:t>の価格</w:t>
      </w:r>
      <m:oMath>
        <m:r>
          <w:rPr>
            <w:rFonts w:ascii="Cambria Math" w:hAnsi="Cambria Math"/>
          </w:rPr>
          <m:t>C(0)</m:t>
        </m:r>
      </m:oMath>
      <w:r w:rsidR="00054E47">
        <w:rPr>
          <w:rFonts w:hint="eastAsia"/>
          <w:iCs/>
        </w:rPr>
        <w:t>は以下で与えられる．</w:t>
      </w:r>
    </w:p>
    <w:p w14:paraId="062ECEC5" w14:textId="4E1BB9A9" w:rsidR="00C216DC" w:rsidRDefault="00BC37F5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i/>
              <w:iCs/>
            </w:rPr>
            <w:br/>
          </m:r>
        </m:oMath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+S(0)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X(0)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iCs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lim>
          </m:limLow>
        </m:oMath>
      </m:oMathPara>
    </w:p>
    <w:p w14:paraId="5D0065C5" w14:textId="77E8D225" w:rsidR="0068156F" w:rsidRDefault="008C7928" w:rsidP="002C49E9">
      <w:pPr>
        <w:rPr>
          <w:iCs/>
        </w:rPr>
      </w:pPr>
      <w:r>
        <w:rPr>
          <w:rFonts w:hint="eastAsia"/>
          <w:iCs/>
        </w:rPr>
        <w:t>ただし，</w:t>
      </w:r>
    </w:p>
    <w:p w14:paraId="67D99295" w14:textId="40494ED4" w:rsidR="008C7928" w:rsidRDefault="008C7928" w:rsidP="002C49E9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X(0)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den>
          </m:f>
        </m:oMath>
      </m:oMathPara>
    </w:p>
    <w:p w14:paraId="7329E185" w14:textId="77777777" w:rsidR="0068156F" w:rsidRDefault="0068156F" w:rsidP="002C49E9">
      <w:pPr>
        <w:rPr>
          <w:iCs/>
        </w:rPr>
      </w:pPr>
    </w:p>
    <w:p w14:paraId="28EE447D" w14:textId="2B09F408" w:rsidR="00D64442" w:rsidRDefault="00D64442" w:rsidP="002C49E9">
      <w:pPr>
        <w:rPr>
          <w:iCs/>
        </w:rPr>
      </w:pPr>
      <w:r>
        <w:rPr>
          <w:rFonts w:hint="eastAsia"/>
          <w:iCs/>
        </w:rPr>
        <w:t>【例4.9（確率金利モデル）】</w:t>
      </w:r>
    </w:p>
    <w:p w14:paraId="7F26BA97" w14:textId="67229406" w:rsidR="00D64442" w:rsidRDefault="00C85F46" w:rsidP="002C49E9">
      <w:pPr>
        <w:rPr>
          <w:iCs/>
        </w:rPr>
      </w:pPr>
      <w:r>
        <w:rPr>
          <w:rFonts w:hint="eastAsia"/>
          <w:iCs/>
        </w:rPr>
        <w:t>割引国債価格</w:t>
      </w:r>
      <m:oMath>
        <m:r>
          <w:rPr>
            <w:rFonts w:ascii="Cambria Math" w:hAnsi="Cambria Math"/>
          </w:rPr>
          <m:t>v(t,T)</m:t>
        </m:r>
      </m:oMath>
      <w:r>
        <w:rPr>
          <w:rFonts w:hint="eastAsia"/>
          <w:iCs/>
        </w:rPr>
        <w:t>を基準財とする証券の相対価格を</w:t>
      </w:r>
    </w:p>
    <w:p w14:paraId="6A54DEB0" w14:textId="47340915" w:rsidR="00C85F46" w:rsidRDefault="00C85F46" w:rsidP="002C49E9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S(t)</m:t>
              </m:r>
            </m:num>
            <m:den>
              <m:r>
                <w:rPr>
                  <w:rFonts w:ascii="Cambria Math" w:hAnsi="Cambria Math"/>
                </w:rPr>
                <m:t>v(t,T)</m:t>
              </m:r>
            </m:den>
          </m:f>
        </m:oMath>
      </m:oMathPara>
    </w:p>
    <w:p w14:paraId="3EA365CE" w14:textId="1725F511" w:rsidR="00624AF9" w:rsidRDefault="00456387" w:rsidP="002C49E9">
      <w:pPr>
        <w:rPr>
          <w:iCs/>
        </w:rPr>
      </w:pPr>
      <w:r>
        <w:rPr>
          <w:rFonts w:hint="eastAsia"/>
          <w:iCs/>
        </w:rPr>
        <w:lastRenderedPageBreak/>
        <w:t>とすると，これは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B5A7E">
        <w:rPr>
          <w:rFonts w:hint="eastAsia"/>
          <w:iCs/>
        </w:rPr>
        <w:t>の満期</w:t>
      </w:r>
      <m:oMath>
        <m:r>
          <w:rPr>
            <w:rFonts w:ascii="Cambria Math" w:hAnsi="Cambria Math"/>
          </w:rPr>
          <m:t>T</m:t>
        </m:r>
      </m:oMath>
      <w:r w:rsidR="009F510D">
        <w:rPr>
          <w:rFonts w:hint="eastAsia"/>
          <w:iCs/>
        </w:rPr>
        <w:t>の</w:t>
      </w:r>
      <w:r>
        <w:rPr>
          <w:rFonts w:hint="eastAsia"/>
          <w:iCs/>
        </w:rPr>
        <w:t>フォワード価格</w:t>
      </w:r>
      <w:r w:rsidR="008B5A7E">
        <w:rPr>
          <w:rFonts w:hint="eastAsia"/>
          <w:iCs/>
        </w:rPr>
        <w:t>である．</w:t>
      </w:r>
    </w:p>
    <w:p w14:paraId="21D7E7A9" w14:textId="3874A998" w:rsidR="00624AF9" w:rsidRDefault="0096220B" w:rsidP="002C49E9">
      <w:pPr>
        <w:rPr>
          <w:iCs/>
        </w:rPr>
      </w:pPr>
      <w:r>
        <w:rPr>
          <w:rFonts w:hint="eastAsia"/>
          <w:iCs/>
        </w:rPr>
        <w:t>先ほどの議論と同様に，</w:t>
      </w:r>
      <w:r w:rsidR="003E02C3">
        <w:rPr>
          <w:rFonts w:hint="eastAsia"/>
          <w:iCs/>
        </w:rPr>
        <w:t>ある確率測度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E02C3">
        <w:rPr>
          <w:rFonts w:hint="eastAsia"/>
          <w:iCs/>
        </w:rPr>
        <w:t>に関して標準ブラウン運動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(t)</m:t>
        </m:r>
      </m:oMath>
      <w:r w:rsidR="0046472E">
        <w:rPr>
          <w:rFonts w:hint="eastAsia"/>
          <w:iCs/>
        </w:rPr>
        <w:t>が存在し，フォワード価格が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6472E" w14:paraId="7BA0CB5C" w14:textId="77777777" w:rsidTr="00236C9B">
        <w:tc>
          <w:tcPr>
            <w:tcW w:w="9209" w:type="dxa"/>
          </w:tcPr>
          <w:p w14:paraId="2B812FE1" w14:textId="5094548E" w:rsidR="0046472E" w:rsidRPr="00A9774F" w:rsidRDefault="00F23652" w:rsidP="00236C9B">
            <w:pPr>
              <w:rPr>
                <w:rFonts w:hint="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161696B8" w14:textId="624FB298" w:rsidR="0046472E" w:rsidRDefault="0046472E" w:rsidP="00236C9B">
            <w:r>
              <w:rPr>
                <w:rFonts w:hint="eastAsia"/>
              </w:rPr>
              <w:t>（</w:t>
            </w:r>
            <w:r w:rsidR="00F23652">
              <w:t>4.33</w:t>
            </w:r>
            <w:r>
              <w:rPr>
                <w:rFonts w:hint="eastAsia"/>
              </w:rPr>
              <w:t>）</w:t>
            </w:r>
          </w:p>
        </w:tc>
      </w:tr>
    </w:tbl>
    <w:p w14:paraId="691AFA47" w14:textId="32386F30" w:rsidR="00D64442" w:rsidRDefault="001017FC" w:rsidP="002C49E9">
      <w:pPr>
        <w:rPr>
          <w:iCs/>
        </w:rPr>
      </w:pPr>
      <w:r>
        <w:rPr>
          <w:rFonts w:hint="eastAsia"/>
        </w:rPr>
        <w:t>と書けたとする．(</w:t>
      </w:r>
      <w:r>
        <w:t>4.33)</w:t>
      </w:r>
      <w:r>
        <w:rPr>
          <w:rFonts w:hint="eastAsia"/>
        </w:rPr>
        <w:t>より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C519B">
        <w:rPr>
          <w:rFonts w:hint="eastAsia"/>
          <w:iCs/>
        </w:rPr>
        <w:t>はフォワード価格をマルチンゲールとする確率測度であるため，「フォワード測度」</w:t>
      </w:r>
      <w:r w:rsidR="00AB7804">
        <w:rPr>
          <w:rFonts w:hint="eastAsia"/>
          <w:iCs/>
        </w:rPr>
        <w:t>と呼ばれる．</w:t>
      </w:r>
    </w:p>
    <w:p w14:paraId="51A019DB" w14:textId="77777777" w:rsidR="00AB7804" w:rsidRDefault="00AB7804" w:rsidP="002C49E9">
      <w:pPr>
        <w:rPr>
          <w:i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444A" w:rsidRPr="00077818" w14:paraId="79B9419C" w14:textId="77777777" w:rsidTr="00236C9B">
        <w:tc>
          <w:tcPr>
            <w:tcW w:w="5228" w:type="dxa"/>
            <w:shd w:val="clear" w:color="auto" w:fill="002060"/>
          </w:tcPr>
          <w:p w14:paraId="7140C8CF" w14:textId="29271207" w:rsidR="0094444A" w:rsidRPr="00077818" w:rsidRDefault="0094444A" w:rsidP="0094444A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リスク中立化法</w:t>
            </w:r>
          </w:p>
        </w:tc>
        <w:tc>
          <w:tcPr>
            <w:tcW w:w="5228" w:type="dxa"/>
            <w:shd w:val="clear" w:color="auto" w:fill="002060"/>
          </w:tcPr>
          <w:p w14:paraId="5D64A921" w14:textId="1351E7A6" w:rsidR="0094444A" w:rsidRPr="00077818" w:rsidRDefault="0094444A" w:rsidP="0094444A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フォワード中立化法</w:t>
            </w:r>
          </w:p>
        </w:tc>
      </w:tr>
      <w:tr w:rsidR="0094444A" w14:paraId="7678BCE6" w14:textId="77777777" w:rsidTr="00236C9B">
        <w:tc>
          <w:tcPr>
            <w:tcW w:w="5228" w:type="dxa"/>
          </w:tcPr>
          <w:p w14:paraId="5316E9B8" w14:textId="0AC6CA70" w:rsidR="0094444A" w:rsidRDefault="0094444A" w:rsidP="0094444A">
            <w:pPr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,B(T))</m:t>
              </m:r>
            </m:oMath>
            <w:r>
              <w:rPr>
                <w:rFonts w:hint="eastAsia"/>
                <w:iCs/>
              </w:rPr>
              <w:t>でポートフォリオを複製</w:t>
            </w:r>
          </w:p>
        </w:tc>
        <w:tc>
          <w:tcPr>
            <w:tcW w:w="5228" w:type="dxa"/>
          </w:tcPr>
          <w:p w14:paraId="31110EFD" w14:textId="475BC0EB" w:rsidR="0094444A" w:rsidRDefault="0094444A" w:rsidP="0094444A">
            <w:pPr>
              <w:jc w:val="center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(S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v(t,T)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  <w:iCs/>
              </w:rPr>
              <w:t>でポートフォリオを複製</w:t>
            </w:r>
          </w:p>
        </w:tc>
      </w:tr>
    </w:tbl>
    <w:p w14:paraId="3393EB56" w14:textId="77777777" w:rsidR="00AB7804" w:rsidRDefault="00AB7804" w:rsidP="002C49E9">
      <w:pPr>
        <w:rPr>
          <w:iCs/>
        </w:rPr>
      </w:pPr>
    </w:p>
    <w:p w14:paraId="19E17BB5" w14:textId="1AB550F0" w:rsidR="00B350DD" w:rsidRPr="004F72A3" w:rsidRDefault="00B350DD" w:rsidP="002C49E9">
      <w:pPr>
        <w:rPr>
          <w:rFonts w:hint="eastAsia"/>
          <w:iCs/>
        </w:rPr>
      </w:pPr>
      <w:r>
        <w:rPr>
          <w:rFonts w:hint="eastAsia"/>
          <w:iCs/>
        </w:rPr>
        <w:t>先ほどと同様に，</w:t>
      </w:r>
      <m:oMath>
        <m:r>
          <w:rPr>
            <w:rFonts w:ascii="Cambria Math" w:hAnsi="Cambria Math"/>
          </w:rPr>
          <m:t>C(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 w:rsidR="004F72A3">
        <w:rPr>
          <w:rFonts w:hint="eastAsia"/>
          <w:iCs/>
        </w:rPr>
        <w:t>を複製ポートフォリオ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b,θ)</m:t>
        </m:r>
      </m:oMath>
      <w:r w:rsidR="004F72A3">
        <w:rPr>
          <w:rFonts w:hint="eastAsia"/>
          <w:iCs/>
        </w:rPr>
        <w:t>の時点</w:t>
      </w:r>
      <m:oMath>
        <m:r>
          <w:rPr>
            <w:rFonts w:ascii="Cambria Math" w:hAnsi="Cambria Math"/>
          </w:rPr>
          <m:t>T</m:t>
        </m:r>
      </m:oMath>
      <w:r w:rsidR="004F72A3">
        <w:rPr>
          <w:rFonts w:hint="eastAsia"/>
          <w:iCs/>
        </w:rPr>
        <w:t>における価格とする．</w:t>
      </w:r>
    </w:p>
    <w:p w14:paraId="725B9039" w14:textId="491D73CD" w:rsidR="00B350DD" w:rsidRPr="00377B61" w:rsidRDefault="00E443AE" w:rsidP="002C49E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14:paraId="70D771D1" w14:textId="4A713E8C" w:rsidR="0000769B" w:rsidRDefault="0000769B" w:rsidP="002C49E9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S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v(t,T)</m:t>
            </m:r>
          </m:den>
        </m:f>
      </m:oMath>
      <w:r>
        <w:rPr>
          <w:rFonts w:hint="eastAsia"/>
          <w:iCs/>
        </w:rPr>
        <w:t>をマルチンゲールとする確率測度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31B9">
        <w:rPr>
          <w:rFonts w:hint="eastAsia"/>
          <w:iCs/>
        </w:rPr>
        <w:t>に対して期待値を取ると，</w:t>
      </w:r>
    </w:p>
    <w:p w14:paraId="4DA19F4A" w14:textId="6CCC3EFA" w:rsidR="003431B9" w:rsidRPr="003431B9" w:rsidRDefault="00C94790" w:rsidP="00C9479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14:paraId="77E1B048" w14:textId="43106415" w:rsidR="003431B9" w:rsidRDefault="00C94790" w:rsidP="002C49E9">
      <w:pPr>
        <w:rPr>
          <w:iCs/>
        </w:rPr>
      </w:pPr>
      <w:r>
        <w:rPr>
          <w:rFonts w:hint="eastAsia"/>
          <w:iCs/>
        </w:rPr>
        <w:t>したがって，</w:t>
      </w:r>
    </w:p>
    <w:p w14:paraId="2F74DD81" w14:textId="21C9AD0C" w:rsidR="00C94790" w:rsidRPr="00452C63" w:rsidRDefault="00C94790" w:rsidP="002C49E9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v(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,T)</m:t>
                  </m:r>
                </m:den>
              </m:f>
            </m:e>
          </m:d>
          <m:r>
            <w:rPr>
              <w:rFonts w:ascii="Cambria Math" w:hAnsi="Cambria Math" w:hint="eastAsia"/>
            </w:rPr>
            <m:t>＝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v(0,T)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∵v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B00CF73" w14:textId="77777777" w:rsidR="00452C63" w:rsidRDefault="00452C63" w:rsidP="002C49E9">
      <w:pPr>
        <w:rPr>
          <w:iCs/>
        </w:rPr>
      </w:pPr>
    </w:p>
    <w:p w14:paraId="7773285C" w14:textId="053E28EA" w:rsidR="00DB180E" w:rsidRDefault="00DB180E" w:rsidP="002C49E9">
      <w:pPr>
        <w:rPr>
          <w:iCs/>
        </w:rPr>
      </w:pPr>
      <w:r>
        <w:rPr>
          <w:rFonts w:hint="eastAsia"/>
          <w:iCs/>
        </w:rPr>
        <w:t>このように，フォワード価格をマルチンゲールとする</w:t>
      </w:r>
      <w:r w:rsidR="00067CD0">
        <w:rPr>
          <w:rFonts w:hint="eastAsia"/>
          <w:iCs/>
        </w:rPr>
        <w:t>確率測度を利用して価格付けを行う方法を「</w:t>
      </w:r>
      <w:r w:rsidR="00067CD0" w:rsidRPr="00A91C73">
        <w:rPr>
          <w:rFonts w:hint="eastAsia"/>
          <w:b/>
          <w:bCs/>
          <w:iCs/>
          <w:color w:val="FF0000"/>
        </w:rPr>
        <w:t>フォワード中立化法</w:t>
      </w:r>
      <w:r w:rsidR="00067CD0">
        <w:rPr>
          <w:rFonts w:hint="eastAsia"/>
          <w:iCs/>
        </w:rPr>
        <w:t>」という．</w:t>
      </w:r>
    </w:p>
    <w:p w14:paraId="572FAE57" w14:textId="77777777" w:rsidR="00A91C73" w:rsidRDefault="00A91C73" w:rsidP="002C49E9">
      <w:pPr>
        <w:rPr>
          <w:rFonts w:hint="eastAsia"/>
          <w:iCs/>
        </w:rPr>
      </w:pPr>
    </w:p>
    <w:p w14:paraId="4CEB94CC" w14:textId="761D1398" w:rsidR="00A91C73" w:rsidRDefault="00A91C73" w:rsidP="002C49E9">
      <w:pPr>
        <w:rPr>
          <w:iCs/>
        </w:rPr>
      </w:pPr>
      <w:r>
        <w:rPr>
          <w:rFonts w:hint="eastAsia"/>
          <w:iCs/>
        </w:rPr>
        <w:t>【フォワード中立化法のメリット】</w:t>
      </w:r>
    </w:p>
    <w:p w14:paraId="46F1EC98" w14:textId="31364A11" w:rsidR="005F59D9" w:rsidRDefault="000B2B66" w:rsidP="002C49E9">
      <w:pPr>
        <w:rPr>
          <w:iCs/>
        </w:rPr>
      </w:pPr>
      <w:r>
        <w:rPr>
          <w:rFonts w:hint="eastAsia"/>
          <w:iCs/>
        </w:rPr>
        <w:t>金利が</w:t>
      </w:r>
      <w:r w:rsidR="005F59D9">
        <w:rPr>
          <w:rFonts w:hint="eastAsia"/>
          <w:iCs/>
        </w:rPr>
        <w:t>確率的に変動する場合に有効的である．リスク中立化法とフォワード中立化法を比較</w:t>
      </w:r>
      <w:r w:rsidR="0094444A">
        <w:rPr>
          <w:rFonts w:hint="eastAsia"/>
          <w:iCs/>
        </w:rPr>
        <w:t>してみる．</w:t>
      </w:r>
    </w:p>
    <w:p w14:paraId="3D9A9505" w14:textId="77777777" w:rsidR="0094444A" w:rsidRDefault="0094444A" w:rsidP="002C49E9">
      <w:pPr>
        <w:rPr>
          <w:rFonts w:hint="eastAsia"/>
          <w:i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444A" w:rsidRPr="00077818" w14:paraId="6A77C343" w14:textId="77777777" w:rsidTr="00236C9B">
        <w:tc>
          <w:tcPr>
            <w:tcW w:w="5228" w:type="dxa"/>
            <w:shd w:val="clear" w:color="auto" w:fill="002060"/>
          </w:tcPr>
          <w:p w14:paraId="789D2015" w14:textId="77777777" w:rsidR="0094444A" w:rsidRPr="00077818" w:rsidRDefault="0094444A" w:rsidP="00236C9B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リスク中立化法</w:t>
            </w:r>
          </w:p>
        </w:tc>
        <w:tc>
          <w:tcPr>
            <w:tcW w:w="5228" w:type="dxa"/>
            <w:shd w:val="clear" w:color="auto" w:fill="002060"/>
          </w:tcPr>
          <w:p w14:paraId="3EE4CC20" w14:textId="77777777" w:rsidR="0094444A" w:rsidRPr="00077818" w:rsidRDefault="0094444A" w:rsidP="00236C9B">
            <w:pPr>
              <w:jc w:val="center"/>
              <w:rPr>
                <w:iCs/>
                <w:color w:val="FFFFFF" w:themeColor="background1"/>
              </w:rPr>
            </w:pPr>
            <w:r>
              <w:rPr>
                <w:rFonts w:hint="eastAsia"/>
                <w:iCs/>
                <w:color w:val="FFFFFF" w:themeColor="background1"/>
              </w:rPr>
              <w:t>フォワード中立化法</w:t>
            </w:r>
          </w:p>
        </w:tc>
      </w:tr>
      <w:tr w:rsidR="0094444A" w14:paraId="51E57FCA" w14:textId="77777777" w:rsidTr="00E701D7">
        <w:tc>
          <w:tcPr>
            <w:tcW w:w="5228" w:type="dxa"/>
          </w:tcPr>
          <w:p w14:paraId="59D5D2C3" w14:textId="77777777" w:rsidR="0094444A" w:rsidRPr="00132770" w:rsidRDefault="00E701D7" w:rsidP="00236C9B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14:paraId="0F8AC0CD" w14:textId="05DCC3E2" w:rsidR="00132770" w:rsidRPr="000D43CB" w:rsidRDefault="00132770" w:rsidP="000D43CB">
            <w:pPr>
              <w:jc w:val="left"/>
              <w:rPr>
                <w:rFonts w:hint="eastAsia"/>
                <w:iCs/>
              </w:rPr>
            </w:pPr>
            <m:oMath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,B(T)</m:t>
              </m:r>
            </m:oMath>
            <w:r w:rsidRPr="000D43CB">
              <w:rPr>
                <w:rFonts w:hint="eastAsia"/>
                <w:iCs/>
              </w:rPr>
              <w:t>の同時分布が必要!</w:t>
            </w:r>
            <w:r w:rsidRPr="000D43CB">
              <w:rPr>
                <w:iCs/>
              </w:rPr>
              <w:t>!!</w:t>
            </w:r>
          </w:p>
        </w:tc>
        <w:tc>
          <w:tcPr>
            <w:tcW w:w="5228" w:type="dxa"/>
            <w:vAlign w:val="center"/>
          </w:tcPr>
          <w:p w14:paraId="769DD5EB" w14:textId="77777777" w:rsidR="0094444A" w:rsidRPr="00132770" w:rsidRDefault="00E701D7" w:rsidP="00E701D7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v(0,T)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59133BAF" w14:textId="3F2D6487" w:rsidR="00132770" w:rsidRPr="000D43CB" w:rsidRDefault="00132770" w:rsidP="000D43CB">
            <w:pPr>
              <w:jc w:val="left"/>
              <w:rPr>
                <w:rFonts w:hint="eastAsia"/>
                <w:iCs/>
              </w:rPr>
            </w:pPr>
            <m:oMath>
              <m:r>
                <w:rPr>
                  <w:rFonts w:ascii="Cambria Math" w:hAnsi="Cambria Math"/>
                  <w:highlight w:val="yellow"/>
                </w:rPr>
                <m:t>v(0,T)</m:t>
              </m:r>
            </m:oMath>
            <w:r w:rsidRPr="000D43CB">
              <w:rPr>
                <w:rFonts w:hint="eastAsia"/>
                <w:iCs/>
                <w:highlight w:val="yellow"/>
              </w:rPr>
              <w:t>は確定的であるため，</w:t>
            </w:r>
            <m:oMath>
              <m:r>
                <w:rPr>
                  <w:rFonts w:ascii="Cambria Math" w:hAnsi="Cambria Math" w:hint="eastAsia"/>
                  <w:highlight w:val="yellow"/>
                </w:rPr>
                <m:t>C</m:t>
              </m:r>
              <m:r>
                <w:rPr>
                  <w:rFonts w:ascii="Cambria Math" w:hAnsi="Cambria Math"/>
                  <w:highlight w:val="yellow"/>
                </w:rPr>
                <m:t>(T)</m:t>
              </m:r>
            </m:oMath>
            <w:r w:rsidRPr="000D43CB">
              <w:rPr>
                <w:rFonts w:hint="eastAsia"/>
                <w:iCs/>
                <w:highlight w:val="yellow"/>
              </w:rPr>
              <w:t>の分布さえ分かればいい!</w:t>
            </w:r>
            <w:r w:rsidRPr="000D43CB">
              <w:rPr>
                <w:iCs/>
                <w:highlight w:val="yellow"/>
              </w:rPr>
              <w:t>!!</w:t>
            </w:r>
          </w:p>
        </w:tc>
      </w:tr>
    </w:tbl>
    <w:p w14:paraId="241A7503" w14:textId="77777777" w:rsidR="0094444A" w:rsidRDefault="0094444A" w:rsidP="002C49E9">
      <w:pPr>
        <w:rPr>
          <w:iCs/>
        </w:rPr>
      </w:pPr>
    </w:p>
    <w:p w14:paraId="4D8F8758" w14:textId="7B3C5D81" w:rsidR="00E701D7" w:rsidRDefault="00F72DFF" w:rsidP="002C49E9">
      <w:pPr>
        <w:rPr>
          <w:iCs/>
        </w:rPr>
      </w:pPr>
      <w:r>
        <w:rPr>
          <w:rFonts w:hint="eastAsia"/>
          <w:iCs/>
        </w:rPr>
        <w:t>≪注意点≫</w:t>
      </w:r>
    </w:p>
    <w:p w14:paraId="78F8BE3B" w14:textId="226DA1B5" w:rsidR="00F72DFF" w:rsidRDefault="00505EB9" w:rsidP="00681276">
      <w:pPr>
        <w:pStyle w:val="a7"/>
        <w:numPr>
          <w:ilvl w:val="0"/>
          <w:numId w:val="20"/>
        </w:numPr>
        <w:ind w:leftChars="0"/>
        <w:rPr>
          <w:iCs/>
        </w:rPr>
      </w:pPr>
      <w:r>
        <w:rPr>
          <w:rFonts w:hint="eastAsia"/>
          <w:iCs/>
        </w:rPr>
        <w:t>リスク中立測度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  <w:iCs/>
        </w:rPr>
        <w:t>からフォワード中立測度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4765D">
        <w:rPr>
          <w:rFonts w:hint="eastAsia"/>
          <w:iCs/>
        </w:rPr>
        <w:t>への測度変換は，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B4765D" w14:paraId="50EF2C7D" w14:textId="77777777" w:rsidTr="00236C9B">
        <w:tc>
          <w:tcPr>
            <w:tcW w:w="9209" w:type="dxa"/>
          </w:tcPr>
          <w:p w14:paraId="65F24AED" w14:textId="6DADA133" w:rsidR="00B4765D" w:rsidRPr="00A9774F" w:rsidRDefault="001509EA" w:rsidP="00236C9B">
            <w:pPr>
              <w:rPr>
                <w:rFonts w:hint="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iCs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v(t,T)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v(</m:t>
                    </m:r>
                    <m:r>
                      <w:rPr>
                        <w:rFonts w:ascii="Cambria Math" w:hAnsi="Cambria Math"/>
                      </w:rPr>
                      <m:t>0,T)B(t)</m:t>
                    </m:r>
                  </m:den>
                </m:f>
              </m:oMath>
            </m:oMathPara>
          </w:p>
        </w:tc>
        <w:tc>
          <w:tcPr>
            <w:tcW w:w="1247" w:type="dxa"/>
            <w:vAlign w:val="center"/>
          </w:tcPr>
          <w:p w14:paraId="1B3164A7" w14:textId="6CE9236C" w:rsidR="00B4765D" w:rsidRDefault="00B4765D" w:rsidP="00236C9B">
            <w:r>
              <w:rPr>
                <w:rFonts w:hint="eastAsia"/>
              </w:rPr>
              <w:t>（</w:t>
            </w:r>
            <w:r>
              <w:t>4.3</w:t>
            </w:r>
            <w:r w:rsidR="00D602EB"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793FD40F" w14:textId="2B181862" w:rsidR="00B4765D" w:rsidRPr="00B4765D" w:rsidRDefault="00FC4167" w:rsidP="00B4765D">
      <w:pPr>
        <w:rPr>
          <w:rFonts w:hint="eastAsia"/>
          <w:iCs/>
        </w:rPr>
      </w:pPr>
      <w:r>
        <w:rPr>
          <w:rFonts w:hint="eastAsia"/>
          <w:iCs/>
        </w:rPr>
        <w:t>をラドン・ニコディム密度過程とする測度変換に対応．つまり，</w:t>
      </w:r>
      <w:r w:rsidR="00601A4F">
        <w:rPr>
          <w:rFonts w:hint="eastAsia"/>
          <w:iCs/>
        </w:rPr>
        <w:t>フォワード中立化法(</w:t>
      </w:r>
      <w:r w:rsidR="00601A4F">
        <w:rPr>
          <w:iCs/>
        </w:rPr>
        <w:t>4.3</w:t>
      </w:r>
      <w:r w:rsidR="00601A4F">
        <w:rPr>
          <w:rFonts w:hint="eastAsia"/>
          <w:iCs/>
        </w:rPr>
        <w:t>4</w:t>
      </w:r>
      <w:r w:rsidR="00601A4F">
        <w:rPr>
          <w:iCs/>
        </w:rPr>
        <w:t>)</w:t>
      </w:r>
      <w:r w:rsidR="00601A4F">
        <w:rPr>
          <w:rFonts w:hint="eastAsia"/>
          <w:iCs/>
        </w:rPr>
        <w:t>では，見かけ上で</w:t>
      </w:r>
      <w:r w:rsidR="0023318B">
        <w:rPr>
          <w:rFonts w:hint="eastAsia"/>
          <w:iCs/>
        </w:rPr>
        <w:t>金利の影響が消えているだけで，実際には</w:t>
      </w:r>
      <w:r w:rsidR="0023318B" w:rsidRPr="00B04F1F">
        <w:rPr>
          <w:rFonts w:hint="eastAsia"/>
          <w:iCs/>
          <w:u w:val="single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σ</m:t>
            </m:r>
          </m:e>
          <m:sub>
            <m:r>
              <w:rPr>
                <w:rFonts w:ascii="Cambria Math" w:hAnsi="Cambria Math"/>
                <w:u w:val="single"/>
              </w:rPr>
              <m:t>T</m:t>
            </m:r>
          </m:sub>
        </m:sSub>
        <m:r>
          <w:rPr>
            <w:rFonts w:ascii="Cambria Math" w:hAnsi="Cambria Math"/>
            <w:u w:val="single"/>
          </w:rPr>
          <m:t>(t)</m:t>
        </m:r>
      </m:oMath>
      <w:r w:rsidR="0023318B" w:rsidRPr="00B04F1F">
        <w:rPr>
          <w:rFonts w:hint="eastAsia"/>
          <w:iCs/>
          <w:u w:val="single"/>
        </w:rPr>
        <w:t>に</w:t>
      </w:r>
      <w:r w:rsidR="00C17B9A" w:rsidRPr="00B04F1F">
        <w:rPr>
          <w:rFonts w:hint="eastAsia"/>
          <w:iCs/>
          <w:u w:val="single"/>
        </w:rPr>
        <w:t>金利の影響が反映されている</w:t>
      </w:r>
      <w:r w:rsidR="00C17B9A">
        <w:rPr>
          <w:rFonts w:hint="eastAsia"/>
          <w:iCs/>
        </w:rPr>
        <w:t>．</w:t>
      </w:r>
    </w:p>
    <w:p w14:paraId="0E5E4CE6" w14:textId="77777777" w:rsidR="00F72DFF" w:rsidRDefault="00F72DFF" w:rsidP="002C49E9">
      <w:pPr>
        <w:rPr>
          <w:rFonts w:hint="eastAsia"/>
          <w:iCs/>
        </w:rPr>
      </w:pPr>
    </w:p>
    <w:p w14:paraId="648CEF4D" w14:textId="2A866A35" w:rsidR="00B04F1F" w:rsidRDefault="00B04F1F">
      <w:pPr>
        <w:widowControl/>
        <w:jc w:val="left"/>
        <w:rPr>
          <w:iCs/>
        </w:rPr>
      </w:pPr>
      <w:r>
        <w:rPr>
          <w:iCs/>
        </w:rPr>
        <w:br w:type="page"/>
      </w:r>
    </w:p>
    <w:p w14:paraId="01A52DDA" w14:textId="786A188B" w:rsidR="00E701D7" w:rsidRDefault="00B04F1F" w:rsidP="002C49E9">
      <w:pPr>
        <w:rPr>
          <w:iCs/>
        </w:rPr>
      </w:pPr>
      <w:r>
        <w:rPr>
          <w:rFonts w:hint="eastAsia"/>
          <w:iCs/>
        </w:rPr>
        <w:t>【演習問題</w:t>
      </w:r>
      <w:r w:rsidR="0012557C">
        <w:rPr>
          <w:rFonts w:hint="eastAsia"/>
          <w:iCs/>
        </w:rPr>
        <w:t>4.6</w:t>
      </w:r>
      <w:r>
        <w:rPr>
          <w:rFonts w:hint="eastAsia"/>
          <w:iCs/>
        </w:rPr>
        <w:t>】</w:t>
      </w:r>
    </w:p>
    <w:p w14:paraId="4102F6D0" w14:textId="574490A0" w:rsidR="0012557C" w:rsidRDefault="0012557C" w:rsidP="002C49E9">
      <w:pPr>
        <w:rPr>
          <w:iCs/>
        </w:rPr>
      </w:pPr>
      <w:r>
        <w:rPr>
          <w:rFonts w:hint="eastAsia"/>
          <w:iCs/>
        </w:rPr>
        <w:t>観測確率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に関するリスク資産の価格過程を</w:t>
      </w:r>
    </w:p>
    <w:p w14:paraId="02CA23BE" w14:textId="53D497B1" w:rsidR="0012557C" w:rsidRPr="005A2142" w:rsidRDefault="00050202" w:rsidP="002C49E9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S(t)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5425B35F" w14:textId="78C951F9" w:rsidR="005A2142" w:rsidRDefault="005A2142" w:rsidP="002C49E9">
      <w:pPr>
        <w:rPr>
          <w:iCs/>
        </w:rPr>
      </w:pPr>
      <w:r>
        <w:rPr>
          <w:rFonts w:hint="eastAsia"/>
          <w:iCs/>
        </w:rPr>
        <w:t>満期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の割引国債のフォワードレート過程を</w:t>
      </w:r>
    </w:p>
    <w:p w14:paraId="57F1A7BF" w14:textId="6C883B96" w:rsidR="005A2142" w:rsidRPr="005A2142" w:rsidRDefault="005A2142" w:rsidP="002C49E9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67A27B4D" w14:textId="39AEA62D" w:rsidR="009C5C4E" w:rsidRDefault="005A2142" w:rsidP="002C49E9">
      <w:pPr>
        <w:rPr>
          <w:iCs/>
        </w:rPr>
      </w:pPr>
      <w:r>
        <w:rPr>
          <w:rFonts w:hint="eastAsia"/>
        </w:rPr>
        <w:t>とする．ただし，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C5C4E">
        <w:rPr>
          <w:rFonts w:hint="eastAsia"/>
          <w:iCs/>
        </w:rPr>
        <w:t>は定数，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9C5C4E">
        <w:rPr>
          <w:rFonts w:hint="eastAsia"/>
          <w:iCs/>
        </w:rPr>
        <w:t>は確定関数，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9C5C4E">
        <w:rPr>
          <w:rFonts w:hint="eastAsia"/>
          <w:iCs/>
        </w:rPr>
        <w:t>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9C5C4E">
        <w:rPr>
          <w:rFonts w:hint="eastAsia"/>
          <w:iCs/>
        </w:rPr>
        <w:t>は互いに独立な標準ブラウン運動とする．</w:t>
      </w:r>
      <w:r w:rsidR="00B26D3C">
        <w:rPr>
          <w:rFonts w:hint="eastAsia"/>
          <w:iCs/>
        </w:rPr>
        <w:t>以下の問いに答えよ．</w:t>
      </w:r>
    </w:p>
    <w:p w14:paraId="6FDDA0AF" w14:textId="7BECE521" w:rsidR="00B26D3C" w:rsidRDefault="00B26D3C" w:rsidP="00B26D3C">
      <w:pPr>
        <w:pStyle w:val="a7"/>
        <w:numPr>
          <w:ilvl w:val="0"/>
          <w:numId w:val="21"/>
        </w:numPr>
        <w:ind w:leftChars="0"/>
        <w:rPr>
          <w:iCs/>
        </w:rPr>
      </w:pPr>
      <m:oMath>
        <m:r>
          <w:rPr>
            <w:rFonts w:ascii="Cambria Math" w:hAnsi="Cambria Math"/>
          </w:rPr>
          <m:t>P</m:t>
        </m:r>
      </m:oMath>
      <w:r>
        <w:rPr>
          <w:rFonts w:hint="eastAsia"/>
          <w:iCs/>
        </w:rPr>
        <w:t>のもとで，</w:t>
      </w:r>
      <m:oMath>
        <m:r>
          <w:rPr>
            <w:rFonts w:ascii="Cambria Math" w:hAnsi="Cambria Math"/>
          </w:rPr>
          <m:t>B(t)</m:t>
        </m:r>
      </m:oMath>
      <w:r>
        <w:rPr>
          <w:rFonts w:hint="eastAsia"/>
          <w:iCs/>
        </w:rPr>
        <w:t>のフォワード価格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=B(t)/v(t,T)</m:t>
        </m:r>
      </m:oMath>
      <w:r w:rsidR="004C2CA5">
        <w:rPr>
          <w:rFonts w:hint="eastAsia"/>
          <w:iCs/>
        </w:rPr>
        <w:t>および</w:t>
      </w:r>
      <m:oMath>
        <m:r>
          <w:rPr>
            <w:rFonts w:ascii="Cambria Math" w:hAnsi="Cambria Math"/>
          </w:rPr>
          <m:t>S(t)</m:t>
        </m:r>
      </m:oMath>
      <w:r w:rsidR="004C2CA5">
        <w:rPr>
          <w:rFonts w:hint="eastAsia"/>
          <w:iCs/>
        </w:rPr>
        <w:t>のフォワード価格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(t)=S(t)/v(t,T)</m:t>
        </m:r>
      </m:oMath>
      <w:r w:rsidR="004810E3">
        <w:rPr>
          <w:rFonts w:hint="eastAsia"/>
          <w:iCs/>
        </w:rPr>
        <w:t>が従う確率微分方程式を求めよ．</w:t>
      </w:r>
    </w:p>
    <w:p w14:paraId="04DAC636" w14:textId="12D865DB" w:rsidR="004810E3" w:rsidRDefault="004810E3" w:rsidP="00B26D3C">
      <w:pPr>
        <w:pStyle w:val="a7"/>
        <w:numPr>
          <w:ilvl w:val="0"/>
          <w:numId w:val="21"/>
        </w:numPr>
        <w:ind w:leftChars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iCs/>
        </w:rPr>
        <w:t>および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  <w:iCs/>
        </w:rPr>
        <w:t>がマルチンゲールとなるように測度変換を行え．</w:t>
      </w:r>
    </w:p>
    <w:p w14:paraId="556C2726" w14:textId="6E1AD036" w:rsidR="00C9161F" w:rsidRDefault="002A0AF1" w:rsidP="00C9161F">
      <w:pPr>
        <w:pStyle w:val="a7"/>
        <w:numPr>
          <w:ilvl w:val="0"/>
          <w:numId w:val="21"/>
        </w:numPr>
        <w:ind w:leftChars="0"/>
        <w:rPr>
          <w:iCs/>
        </w:rPr>
      </w:pP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(t)</m:t>
        </m:r>
      </m:oMath>
      <w:r>
        <w:rPr>
          <w:rFonts w:hint="eastAsia"/>
          <w:iCs/>
        </w:rPr>
        <w:t>の上に書かれた満期</w:t>
      </w:r>
      <m:oMath>
        <m:r>
          <w:rPr>
            <w:rFonts w:ascii="Cambria Math" w:hAnsi="Cambria Math"/>
          </w:rPr>
          <m:t>T</m:t>
        </m:r>
      </m:oMath>
      <w:r w:rsidR="00C9161F">
        <w:rPr>
          <w:rFonts w:hint="eastAsia"/>
          <w:iCs/>
        </w:rPr>
        <w:t>，行使価格</w:t>
      </w:r>
      <m:oMath>
        <m:r>
          <w:rPr>
            <w:rFonts w:ascii="Cambria Math" w:hAnsi="Cambria Math"/>
          </w:rPr>
          <m:t>K</m:t>
        </m:r>
      </m:oMath>
      <w:r w:rsidR="00C9161F">
        <w:rPr>
          <w:rFonts w:hint="eastAsia"/>
          <w:iCs/>
        </w:rPr>
        <w:t>のヨーロピアンコールオプションの価格を求めよ．</w:t>
      </w:r>
    </w:p>
    <w:p w14:paraId="015E7ABB" w14:textId="77777777" w:rsidR="00C9161F" w:rsidRDefault="00C9161F" w:rsidP="00C9161F"/>
    <w:p w14:paraId="084E2A16" w14:textId="1972F7AD" w:rsidR="00C9161F" w:rsidRDefault="00C9161F" w:rsidP="00C9161F">
      <w:r>
        <w:rPr>
          <w:rFonts w:hint="eastAsia"/>
        </w:rPr>
        <w:t>(</w:t>
      </w:r>
      <w:r>
        <w:t>Proof)</w:t>
      </w:r>
    </w:p>
    <w:p w14:paraId="58DC4CAF" w14:textId="4C21F97F" w:rsidR="00C9161F" w:rsidRDefault="00DB6973" w:rsidP="00DC3012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≪手順≫</w:t>
      </w:r>
    </w:p>
    <w:p w14:paraId="5263F55D" w14:textId="764BD168" w:rsidR="00DB6973" w:rsidRDefault="00DB6973" w:rsidP="00DB6973">
      <w:pPr>
        <w:pStyle w:val="a7"/>
        <w:numPr>
          <w:ilvl w:val="1"/>
          <w:numId w:val="22"/>
        </w:numPr>
        <w:ind w:leftChars="0"/>
      </w:pPr>
      <w:r>
        <w:rPr>
          <w:rFonts w:hint="eastAsia"/>
        </w:rPr>
        <w:t>フォワードレート過程より割引債の価格</w:t>
      </w:r>
      <w:r w:rsidR="00537E50">
        <w:rPr>
          <w:rFonts w:hint="eastAsia"/>
        </w:rPr>
        <w:t>過程</w:t>
      </w:r>
      <m:oMath>
        <m:r>
          <w:rPr>
            <w:rFonts w:ascii="Cambria Math" w:hAnsi="Cambria Math"/>
          </w:rPr>
          <m:t>v(t,T)</m:t>
        </m:r>
      </m:oMath>
      <w:r>
        <w:rPr>
          <w:rFonts w:hint="eastAsia"/>
        </w:rPr>
        <w:t>を導出．</w:t>
      </w:r>
    </w:p>
    <w:p w14:paraId="669793F9" w14:textId="36E9267B" w:rsidR="00DB6973" w:rsidRDefault="00537E50" w:rsidP="00DB6973">
      <w:pPr>
        <w:pStyle w:val="a7"/>
        <w:numPr>
          <w:ilvl w:val="1"/>
          <w:numId w:val="22"/>
        </w:numPr>
        <w:ind w:leftChars="0"/>
      </w:pPr>
      <w:r>
        <w:rPr>
          <w:rFonts w:hint="eastAsia"/>
        </w:rPr>
        <w:t>求めた価格過程</w:t>
      </w:r>
      <m:oMath>
        <m:r>
          <w:rPr>
            <w:rFonts w:ascii="Cambria Math" w:hAnsi="Cambria Math"/>
          </w:rPr>
          <m:t>v(t,T)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B(t)</m:t>
        </m:r>
      </m:oMath>
      <w:r w:rsidR="00CD1101">
        <w:rPr>
          <w:rFonts w:hint="eastAsia"/>
        </w:rPr>
        <w:t>または</w:t>
      </w:r>
      <m:oMath>
        <m:r>
          <w:rPr>
            <w:rFonts w:ascii="Cambria Math" w:hAnsi="Cambria Math"/>
          </w:rPr>
          <m:t>S(t)</m:t>
        </m:r>
      </m:oMath>
      <w:r w:rsidR="00CD1101">
        <w:rPr>
          <w:rFonts w:hint="eastAsia"/>
        </w:rPr>
        <w:t>の価格過程</w:t>
      </w:r>
      <w:r w:rsidR="00994CBE">
        <w:rPr>
          <w:rFonts w:hint="eastAsia"/>
        </w:rPr>
        <w:t>より，伊藤の商公式を用いることでフォワード価格を導出する．</w:t>
      </w:r>
    </w:p>
    <w:p w14:paraId="2F1A8915" w14:textId="4C092713" w:rsidR="00994CBE" w:rsidRDefault="00994CBE" w:rsidP="00994CBE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≪手順≫</w:t>
      </w:r>
    </w:p>
    <w:p w14:paraId="54D8B5F3" w14:textId="7CA7100A" w:rsidR="00994CBE" w:rsidRDefault="00994CBE" w:rsidP="00994CBE">
      <w:pPr>
        <w:pStyle w:val="a7"/>
        <w:numPr>
          <w:ilvl w:val="1"/>
          <w:numId w:val="22"/>
        </w:numPr>
        <w:ind w:leftChars="0"/>
      </w:pPr>
      <w:r>
        <w:rPr>
          <w:rFonts w:hint="eastAsia"/>
        </w:rPr>
        <w:t>ドリフト項が０となるように</w:t>
      </w:r>
      <w:r w:rsidR="0021550D">
        <w:rPr>
          <w:rFonts w:hint="eastAsia"/>
        </w:rPr>
        <w:t>測度変換を行えばよい．</w:t>
      </w:r>
    </w:p>
    <w:p w14:paraId="3BD95B67" w14:textId="3B32CB27" w:rsidR="0021550D" w:rsidRDefault="0021550D" w:rsidP="0021550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≪手順≫</w:t>
      </w:r>
    </w:p>
    <w:p w14:paraId="28D02492" w14:textId="63A35EEF" w:rsidR="0021550D" w:rsidRDefault="003B200B" w:rsidP="0021550D">
      <w:pPr>
        <w:pStyle w:val="a7"/>
        <w:numPr>
          <w:ilvl w:val="1"/>
          <w:numId w:val="22"/>
        </w:numPr>
        <w:ind w:leftChars="0"/>
      </w:pPr>
      <w:r>
        <w:rPr>
          <w:rFonts w:hint="eastAsia"/>
        </w:rPr>
        <w:t>求めた新たな確率測度上では，フォワード価格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はマルチンゲールであることを利用して，</w:t>
      </w:r>
      <w:r w:rsidR="0048571A">
        <w:rPr>
          <w:rFonts w:hint="eastAsia"/>
        </w:rPr>
        <w:t>オプション価格を導出する．</w:t>
      </w:r>
    </w:p>
    <w:p w14:paraId="3269B103" w14:textId="77777777" w:rsidR="0048571A" w:rsidRDefault="0048571A" w:rsidP="0048571A">
      <w:pPr>
        <w:pBdr>
          <w:bottom w:val="single" w:sz="6" w:space="1" w:color="auto"/>
        </w:pBdr>
      </w:pPr>
    </w:p>
    <w:p w14:paraId="44CA8CAE" w14:textId="2E666F7F" w:rsidR="001D292F" w:rsidRDefault="00E2462F" w:rsidP="0048571A">
      <w:pPr>
        <w:rPr>
          <w:rFonts w:hint="eastAsia"/>
        </w:rPr>
      </w:pPr>
      <w:r>
        <w:rPr>
          <w:rFonts w:hint="eastAsia"/>
        </w:rPr>
        <w:t>【実際に解いていく】</w:t>
      </w:r>
    </w:p>
    <w:p w14:paraId="47259A0D" w14:textId="0C3FD19D" w:rsidR="00955F1D" w:rsidRDefault="00AD771E" w:rsidP="00E2462F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フォワ―ドレート過程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t,T</m:t>
        </m:r>
        <m:r>
          <w:rPr>
            <w:rFonts w:ascii="Cambria Math" w:hAnsi="Cambria Math"/>
          </w:rPr>
          <m:t>)</m:t>
        </m:r>
      </m:oMath>
      <w:r w:rsidR="008B0DED">
        <w:rPr>
          <w:rFonts w:hint="eastAsia"/>
        </w:rPr>
        <w:t>より，</w:t>
      </w:r>
    </w:p>
    <w:p w14:paraId="01732818" w14:textId="785E3441" w:rsidR="008B0DED" w:rsidRDefault="000347EB" w:rsidP="008B0DED">
      <w:pPr>
        <w:rPr>
          <w:rFonts w:hint="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df(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655EE2B5" w14:textId="27B94415" w:rsidR="00C9161F" w:rsidRPr="004669BA" w:rsidRDefault="005D49F8" w:rsidP="00C9161F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t,u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DF7D1DA" w14:textId="21C89D08" w:rsidR="00C9161F" w:rsidRDefault="0087150F" w:rsidP="00C9161F">
      <w:pPr>
        <w:rPr>
          <w:iCs/>
        </w:rPr>
      </w:pPr>
      <w:r>
        <w:rPr>
          <w:rFonts w:hint="eastAsia"/>
          <w:iCs/>
        </w:rPr>
        <w:t>ここで，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t,T</m:t>
                </m:r>
              </m:e>
            </m:d>
          </m:e>
        </m:func>
        <m:r>
          <w:rPr>
            <w:rFonts w:ascii="Cambria Math" w:hAnsi="Cambria Math"/>
          </w:rPr>
          <m:t>=-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f(t,u)du</m:t>
            </m:r>
          </m:e>
        </m:nary>
      </m:oMath>
      <w:r w:rsidR="009B60E5">
        <w:rPr>
          <w:rFonts w:hint="eastAsia"/>
          <w:iCs/>
        </w:rPr>
        <w:t>だったので，代入すると</w:t>
      </w:r>
    </w:p>
    <w:p w14:paraId="473F172D" w14:textId="3758E032" w:rsidR="009B60E5" w:rsidRPr="00C90F22" w:rsidRDefault="000461F2" w:rsidP="00C9161F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v(t,T)</m:t>
              </m:r>
            </m:e>
          </m:func>
          <m:r>
            <w:rPr>
              <w:rFonts w:ascii="Cambria Math" w:hAnsi="Cambria Math"/>
            </w:rPr>
            <m:t>=-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0,u</m:t>
                  </m:r>
                </m:e>
              </m:d>
            </m:e>
          </m:nary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nary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742D6C6" w14:textId="6F1EC188" w:rsidR="00C90F22" w:rsidRDefault="00B65773" w:rsidP="00C9161F">
      <w:pPr>
        <w:rPr>
          <w:iCs/>
        </w:rPr>
      </w:pPr>
      <w:r>
        <w:rPr>
          <w:rFonts w:hint="eastAsia"/>
          <w:iCs/>
        </w:rPr>
        <w:t>上式を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に関して微分をすると，</w:t>
      </w:r>
    </w:p>
    <w:p w14:paraId="5A789902" w14:textId="025C9F3B" w:rsidR="00B65773" w:rsidRPr="00F8737C" w:rsidRDefault="00B65773" w:rsidP="00C9161F">
      <w:pPr>
        <w:rPr>
          <w:iCs/>
        </w:rPr>
      </w:pPr>
      <m:oMathPara>
        <m:oMath>
          <m:r>
            <w:rPr>
              <w:rFonts w:ascii="Cambria Math" w:hAnsi="Cambria Math"/>
              <w:highlight w:val="yellow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ln</m:t>
              </m:r>
            </m:fName>
            <m:e>
              <m:r>
                <w:rPr>
                  <w:rFonts w:ascii="Cambria Math" w:hAnsi="Cambria Math"/>
                  <w:highlight w:val="yellow"/>
                </w:rPr>
                <m:t>v(t,T)</m:t>
              </m:r>
            </m:e>
          </m:func>
          <m:r>
            <w:rPr>
              <w:rFonts w:ascii="Cambria Math" w:hAnsi="Cambria Math"/>
              <w:highlight w:val="yellow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0,t</m:t>
              </m:r>
            </m:e>
          </m:d>
          <m:r>
            <w:rPr>
              <w:rFonts w:ascii="Cambria Math" w:hAnsi="Cambria Math"/>
              <w:highlight w:val="yellow"/>
            </w:rPr>
            <m:t>dt</m:t>
          </m:r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,u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du</m:t>
              </m:r>
            </m:e>
          </m:d>
          <m:r>
            <w:rPr>
              <w:rFonts w:ascii="Cambria Math" w:hAnsi="Cambria Math"/>
              <w:highlight w:val="yellow"/>
            </w:rPr>
            <m:t>dt+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highlight w:val="yellow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highlight w:val="yellow"/>
            </w:rPr>
            <m:t>dt-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,u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/>
              <w:highlight w:val="yellow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(s)</m:t>
                  </m:r>
                </m:e>
              </m:nary>
            </m:e>
          </m:d>
          <m:r>
            <w:rPr>
              <w:rFonts w:ascii="Cambria Math" w:hAnsi="Cambria Math"/>
              <w:highlight w:val="yellow"/>
            </w:rPr>
            <m:t>d</m:t>
          </m:r>
          <m:r>
            <w:rPr>
              <w:rFonts w:ascii="Cambria Math" w:hAnsi="Cambria Math"/>
              <w:highlight w:val="yellow"/>
            </w:rPr>
            <m:t>t</m:t>
          </m:r>
        </m:oMath>
      </m:oMathPara>
    </w:p>
    <w:p w14:paraId="21FD822E" w14:textId="77777777" w:rsidR="00F8737C" w:rsidRPr="00F8737C" w:rsidRDefault="00F8737C" w:rsidP="00C9161F">
      <w:pPr>
        <w:rPr>
          <w:rFonts w:hint="eastAsia"/>
          <w:i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F8737C" w:rsidRPr="00F8737C" w14:paraId="1C664E20" w14:textId="77777777" w:rsidTr="00F8737C"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E459F6" w14:textId="7E8AAAD2" w:rsidR="00F8737C" w:rsidRDefault="00F8737C" w:rsidP="00F8737C">
            <w:pPr>
              <w:rPr>
                <w:iCs/>
              </w:rPr>
            </w:pPr>
            <w:r>
              <w:rPr>
                <w:rFonts w:hint="eastAsia"/>
                <w:iCs/>
              </w:rPr>
              <w:t>≪補足≫微分に関する公式</w:t>
            </w:r>
          </w:p>
          <w:p w14:paraId="2B5BF607" w14:textId="77777777" w:rsidR="00F8737C" w:rsidRPr="00F16C7E" w:rsidRDefault="00F8737C" w:rsidP="00F8737C">
            <w:pPr>
              <w:rPr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t,s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g(t,s)ds</m:t>
                    </m:r>
                  </m:e>
                </m:nary>
              </m:oMath>
            </m:oMathPara>
          </w:p>
          <w:p w14:paraId="287E9D53" w14:textId="01FA4536" w:rsidR="00F8737C" w:rsidRPr="00F8737C" w:rsidRDefault="00F8737C" w:rsidP="00F8737C">
            <w:pPr>
              <w:rPr>
                <w:rFonts w:hint="eastAsia"/>
                <w:iCs/>
                <w:sz w:val="20"/>
                <w:szCs w:val="22"/>
              </w:rPr>
            </w:pPr>
            <w:r>
              <w:rPr>
                <w:rFonts w:hint="eastAsia"/>
                <w:iCs/>
              </w:rPr>
              <w:t>を用いている．</w:t>
            </w:r>
          </w:p>
        </w:tc>
      </w:tr>
    </w:tbl>
    <w:p w14:paraId="0B126608" w14:textId="03E4F8A8" w:rsidR="00524D34" w:rsidRDefault="00524D34" w:rsidP="00C9161F">
      <w:pPr>
        <w:rPr>
          <w:iCs/>
        </w:rPr>
      </w:pPr>
      <w:r>
        <w:rPr>
          <w:rFonts w:hint="eastAsia"/>
          <w:iCs/>
        </w:rPr>
        <w:t>一方で，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fName>
          <m:e>
            <m:r>
              <w:rPr>
                <w:rFonts w:ascii="Cambria Math" w:hAnsi="Cambria Math"/>
              </w:rPr>
              <m:t>B(t)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r(t)dt</m:t>
        </m:r>
      </m:oMath>
      <w:r w:rsidR="00F42696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=f(t,t)</m:t>
        </m:r>
      </m:oMath>
      <w:r w:rsidR="00F42696">
        <w:rPr>
          <w:rFonts w:hint="eastAsia"/>
          <w:iCs/>
        </w:rPr>
        <w:t>であったことを利用して，</w:t>
      </w:r>
    </w:p>
    <w:p w14:paraId="05384E3F" w14:textId="33C9BFC5" w:rsidR="00F42696" w:rsidRPr="00174D5B" w:rsidRDefault="00174D5B" w:rsidP="00C9161F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t,u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s,u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nary>
        </m:oMath>
      </m:oMathPara>
    </w:p>
    <w:p w14:paraId="009F6C01" w14:textId="3EB068D0" w:rsidR="00174D5B" w:rsidRPr="00990213" w:rsidRDefault="00174D5B" w:rsidP="00C9161F">
      <w:pPr>
        <w:rPr>
          <w:iCs/>
        </w:rPr>
      </w:pPr>
      <m:oMathPara>
        <m:oMath>
          <m:r>
            <w:rPr>
              <w:rFonts w:ascii="Cambria Math" w:hAnsi="Cambria Math"/>
            </w:rPr>
            <m:t>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s,u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s,u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nary>
        </m:oMath>
      </m:oMathPara>
    </w:p>
    <w:p w14:paraId="0DD48B9C" w14:textId="39004C65" w:rsidR="00990213" w:rsidRPr="000F389A" w:rsidRDefault="00990213" w:rsidP="00C9161F">
      <w:pPr>
        <w:rPr>
          <w:iCs/>
        </w:rPr>
      </w:pPr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B(t)</m:t>
              </m:r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s,u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s,u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nary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6A924FF5" w14:textId="3D5500A9" w:rsidR="000F389A" w:rsidRDefault="000F389A" w:rsidP="00C9161F">
      <w:pPr>
        <w:rPr>
          <w:iCs/>
        </w:rPr>
      </w:pPr>
      <w:r>
        <w:rPr>
          <w:rFonts w:hint="eastAsia"/>
          <w:iCs/>
        </w:rPr>
        <w:t>以上より，</w:t>
      </w:r>
    </w:p>
    <w:p w14:paraId="3C93430A" w14:textId="0E37858F" w:rsidR="003059E8" w:rsidRPr="00BF0203" w:rsidRDefault="00EB6305" w:rsidP="00C9161F">
      <w:pPr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B(t)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v(t,T)</m:t>
              </m:r>
            </m:e>
          </m:func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s,u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s,u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(s)</m:t>
                  </m:r>
                </m:e>
              </m:nary>
            </m:e>
          </m:d>
          <m:r>
            <w:rPr>
              <w:rFonts w:ascii="Cambria Math" w:hAnsi="Cambria Math"/>
            </w:rPr>
            <m:t>dt</m:t>
          </m:r>
          <m:r>
            <w:rPr>
              <w:iCs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highlight w:val="yellow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0,t</m:t>
              </m:r>
            </m:e>
          </m:d>
          <m:r>
            <w:rPr>
              <w:rFonts w:ascii="Cambria Math" w:hAnsi="Cambria Math"/>
              <w:highlight w:val="yellow"/>
            </w:rPr>
            <m:t>dt</m:t>
          </m:r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du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highlight w:val="green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green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highlight w:val="green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s,t</m:t>
                      </m:r>
                    </m:e>
                  </m:d>
                  <m:r>
                    <w:rPr>
                      <w:rFonts w:ascii="Cambria Math" w:hAnsi="Cambria Math"/>
                      <w:highlight w:val="green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/>
              <w:highlight w:val="green"/>
            </w:rPr>
            <m:t>dt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(s)</m:t>
                  </m:r>
                </m:e>
              </m:nary>
            </m:e>
          </m:d>
          <m:r>
            <w:rPr>
              <w:rFonts w:ascii="Cambria Math" w:hAnsi="Cambria Math"/>
              <w:highlight w:val="cyan"/>
            </w:rPr>
            <m:t>dt</m:t>
          </m:r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du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dt+V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8523974" w14:textId="77777777" w:rsidR="00BF0203" w:rsidRDefault="00BF0203" w:rsidP="00C9161F">
      <w:pPr>
        <w:rPr>
          <w:rFonts w:hint="eastAsia"/>
          <w:iCs/>
        </w:rPr>
      </w:pPr>
    </w:p>
    <w:p w14:paraId="7095AD5E" w14:textId="6C33ED61" w:rsidR="00015BDD" w:rsidRDefault="00015BDD" w:rsidP="00C9161F">
      <w:pPr>
        <w:rPr>
          <w:iCs/>
        </w:rPr>
      </w:pPr>
      <w:r>
        <w:rPr>
          <w:rFonts w:hint="eastAsia"/>
          <w:iCs/>
        </w:rPr>
        <w:t>ここでは，簡単のため</w:t>
      </w:r>
      <w:r w:rsidR="00BF0203">
        <w:rPr>
          <w:rFonts w:hint="eastAsia"/>
          <w:iCs/>
        </w:rPr>
        <w:t>以下の通りに置き換えた．</w:t>
      </w:r>
    </w:p>
    <w:p w14:paraId="7D20124B" w14:textId="0819C497" w:rsidR="00015BDD" w:rsidRPr="005C56E2" w:rsidRDefault="00015BDD" w:rsidP="00C9161F">
      <w:pPr>
        <w:rPr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</m:e>
          </m:nary>
          <m:r>
            <w:rPr>
              <w:rFonts w:ascii="Cambria Math" w:hAnsi="Cambria Math"/>
            </w:rPr>
            <m:t>du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58DE9E57" w14:textId="77777777" w:rsidR="005C56E2" w:rsidRDefault="005C56E2" w:rsidP="00C9161F">
      <w:pPr>
        <w:rPr>
          <w:iCs/>
        </w:rPr>
      </w:pPr>
    </w:p>
    <w:p w14:paraId="088FDE40" w14:textId="4C2B9A2D" w:rsidR="00207974" w:rsidRDefault="00F72D16" w:rsidP="00C9161F">
      <w:pPr>
        <w:rPr>
          <w:rFonts w:hint="eastAsia"/>
          <w:iCs/>
        </w:rPr>
      </w:pPr>
      <w:r>
        <w:rPr>
          <w:rFonts w:hint="eastAsia"/>
          <w:iCs/>
        </w:rPr>
        <w:t>したがって，</w:t>
      </w:r>
      <w:r w:rsidR="00296EBF">
        <w:rPr>
          <w:rFonts w:hint="eastAsia"/>
          <w:iCs/>
        </w:rPr>
        <w:t>以下の同値条件を用いることで</w:t>
      </w:r>
      <w:r w:rsidR="008774E2">
        <w:rPr>
          <w:rFonts w:hint="eastAsia"/>
          <w:iCs/>
        </w:rPr>
        <w:t>無リスク資産</w:t>
      </w:r>
      <m:oMath>
        <m:r>
          <w:rPr>
            <w:rFonts w:ascii="Cambria Math" w:hAnsi="Cambria Math"/>
          </w:rPr>
          <m:t>B(t)</m:t>
        </m:r>
      </m:oMath>
      <w:r w:rsidR="008774E2">
        <w:rPr>
          <w:rFonts w:hint="eastAsia"/>
          <w:iCs/>
        </w:rPr>
        <w:t>の相対価格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 w:rsidR="00207974">
        <w:rPr>
          <w:rFonts w:hint="eastAsia"/>
          <w:iCs/>
        </w:rPr>
        <w:t>が従う確率微分方程式を導き出せる．</w:t>
      </w:r>
    </w:p>
    <w:p w14:paraId="05F97127" w14:textId="0DAA4840" w:rsidR="00565234" w:rsidRPr="00565234" w:rsidRDefault="00565234" w:rsidP="00C9161F">
      <w:pPr>
        <w:rPr>
          <w:rFonts w:hint="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A0CE0A3" w14:textId="77777777" w:rsidR="00565234" w:rsidRDefault="00565234" w:rsidP="00C9161F">
      <w:pPr>
        <w:rPr>
          <w:rFonts w:hint="eastAsia"/>
          <w:i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207974" w:rsidRPr="00F8737C" w14:paraId="73AFB6E1" w14:textId="77777777" w:rsidTr="00236C9B">
        <w:tc>
          <w:tcPr>
            <w:tcW w:w="104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98EC58" w14:textId="4BE00AE5" w:rsidR="00207974" w:rsidRPr="00207974" w:rsidRDefault="00207974" w:rsidP="00236C9B">
            <w:pPr>
              <w:rPr>
                <w:iCs/>
              </w:rPr>
            </w:pPr>
            <w:r>
              <w:rPr>
                <w:rFonts w:hint="eastAsia"/>
                <w:iCs/>
              </w:rPr>
              <w:t>≪確率微分方程式に関する同値条件</w:t>
            </w:r>
            <w:r w:rsidR="00607A00">
              <w:rPr>
                <w:rStyle w:val="af5"/>
                <w:iCs/>
              </w:rPr>
              <w:footnoteReference w:id="2"/>
            </w:r>
            <w:r>
              <w:rPr>
                <w:rFonts w:hint="eastAsia"/>
                <w:iCs/>
              </w:rPr>
              <w:t>≫</w:t>
            </w:r>
          </w:p>
          <w:p w14:paraId="3233AB33" w14:textId="77777777" w:rsidR="00207974" w:rsidRPr="00806CB5" w:rsidRDefault="00806CB5" w:rsidP="00236C9B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</m:e>
                </m:func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28C1934" w14:textId="1BF4DBDD" w:rsidR="00806CB5" w:rsidRPr="00806CB5" w:rsidRDefault="00806CB5" w:rsidP="00236C9B">
            <w:pPr>
              <w:rPr>
                <w:rFonts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dY(t)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Y(t)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dt+</m:t>
                </m:r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dz(t)</m:t>
                </m:r>
              </m:oMath>
            </m:oMathPara>
          </w:p>
        </w:tc>
      </w:tr>
    </w:tbl>
    <w:p w14:paraId="75C701B1" w14:textId="77777777" w:rsidR="00207974" w:rsidRPr="00207974" w:rsidRDefault="00207974" w:rsidP="00C9161F">
      <w:pPr>
        <w:rPr>
          <w:rFonts w:hint="eastAsia"/>
          <w:b/>
          <w:bCs/>
          <w:iCs/>
        </w:rPr>
      </w:pPr>
    </w:p>
    <w:p w14:paraId="34DA6235" w14:textId="3F377F34" w:rsidR="00F72D16" w:rsidRDefault="009038E2" w:rsidP="00C9161F">
      <w:pPr>
        <w:rPr>
          <w:iCs/>
        </w:rPr>
      </w:pPr>
      <w:r>
        <w:rPr>
          <w:rFonts w:hint="eastAsia"/>
          <w:iCs/>
        </w:rPr>
        <w:t>同様に</w:t>
      </w:r>
      <w:r w:rsidR="00651622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S(t)</m:t>
            </m:r>
          </m:e>
        </m:func>
      </m:oMath>
      <w:r w:rsidR="00651622">
        <w:rPr>
          <w:rFonts w:hint="eastAsia"/>
          <w:iCs/>
        </w:rPr>
        <w:t>がしたがう確率微分方程式を伊藤の公式</w:t>
      </w:r>
      <w:r w:rsidR="00F449AE">
        <w:rPr>
          <w:rFonts w:hint="eastAsia"/>
          <w:iCs/>
        </w:rPr>
        <w:t>(</w:t>
      </w:r>
      <w:r w:rsidR="00F449AE">
        <w:rPr>
          <w:iCs/>
        </w:rPr>
        <w:t>1.Ver)</w:t>
      </w:r>
      <w:r w:rsidR="00651622">
        <w:rPr>
          <w:rFonts w:hint="eastAsia"/>
          <w:iCs/>
        </w:rPr>
        <w:t>より求めると，</w:t>
      </w:r>
    </w:p>
    <w:p w14:paraId="5FFCAF98" w14:textId="4E2A8B12" w:rsidR="00F449AE" w:rsidRPr="00BB4433" w:rsidRDefault="007962F3" w:rsidP="00BB4433">
      <w:pPr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9CCB822" w14:textId="5A5E3048" w:rsidR="00BB4433" w:rsidRDefault="00BB4433" w:rsidP="00C9161F">
      <w:pPr>
        <w:rPr>
          <w:iCs/>
        </w:rPr>
      </w:pPr>
      <w:r>
        <w:rPr>
          <w:rFonts w:hint="eastAsia"/>
          <w:iCs/>
        </w:rPr>
        <w:t>したがって，</w:t>
      </w:r>
    </w:p>
    <w:p w14:paraId="2B30A3D9" w14:textId="0960F324" w:rsidR="00BB5EB5" w:rsidRPr="00DE13F3" w:rsidRDefault="00D468AF" w:rsidP="00C9161F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V(t,T)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0F87350" w14:textId="0A7A6DE9" w:rsidR="002A5BAB" w:rsidRDefault="002A5BAB">
      <w:pPr>
        <w:widowControl/>
        <w:jc w:val="left"/>
        <w:rPr>
          <w:iCs/>
        </w:rPr>
      </w:pPr>
      <w:r>
        <w:rPr>
          <w:iCs/>
        </w:rPr>
        <w:br w:type="page"/>
      </w:r>
    </w:p>
    <w:p w14:paraId="15D7297C" w14:textId="29F66F54" w:rsidR="00DE13F3" w:rsidRDefault="00A73EE0" w:rsidP="002A5BAB">
      <w:pPr>
        <w:pStyle w:val="a7"/>
        <w:numPr>
          <w:ilvl w:val="0"/>
          <w:numId w:val="24"/>
        </w:numPr>
        <w:ind w:leftChars="0"/>
        <w:rPr>
          <w:iCs/>
        </w:rPr>
      </w:pPr>
      <w:r>
        <w:rPr>
          <w:rFonts w:hint="eastAsia"/>
          <w:iCs/>
        </w:rPr>
        <w:t>1より</w:t>
      </w:r>
      <w:r w:rsidR="00AB160E">
        <w:rPr>
          <w:rFonts w:hint="eastAsia"/>
          <w:iCs/>
        </w:rPr>
        <w:t>無リスク資産</w:t>
      </w:r>
      <m:oMath>
        <m:r>
          <w:rPr>
            <w:rFonts w:ascii="Cambria Math" w:hAnsi="Cambria Math"/>
          </w:rPr>
          <m:t>B(t)</m:t>
        </m:r>
      </m:oMath>
      <w:r w:rsidR="00E61FDD">
        <w:rPr>
          <w:rFonts w:hint="eastAsia"/>
          <w:iCs/>
        </w:rPr>
        <w:t>とリスク性資産</w:t>
      </w:r>
      <m:oMath>
        <m:r>
          <w:rPr>
            <w:rFonts w:ascii="Cambria Math" w:hAnsi="Cambria Math"/>
          </w:rPr>
          <m:t>S(t)</m:t>
        </m:r>
      </m:oMath>
      <w:r w:rsidR="00E61FDD">
        <w:rPr>
          <w:rFonts w:hint="eastAsia"/>
          <w:iCs/>
        </w:rPr>
        <w:t>の</w:t>
      </w:r>
      <w:r w:rsidR="008314C6">
        <w:rPr>
          <w:rFonts w:hint="eastAsia"/>
          <w:iCs/>
        </w:rPr>
        <w:t>相対価格に関するS</w:t>
      </w:r>
      <w:r w:rsidR="00E61FDD">
        <w:rPr>
          <w:rFonts w:hint="eastAsia"/>
          <w:iCs/>
        </w:rPr>
        <w:t>DE</w:t>
      </w:r>
      <w:r>
        <w:rPr>
          <w:rFonts w:hint="eastAsia"/>
          <w:iCs/>
        </w:rPr>
        <w:t>が得られた</w:t>
      </w:r>
      <w:r w:rsidR="00E61FDD">
        <w:rPr>
          <w:rFonts w:hint="eastAsia"/>
          <w:iCs/>
        </w:rPr>
        <w:t>ので，</w:t>
      </w:r>
      <w:r w:rsidR="00AB6A38">
        <w:rPr>
          <w:rFonts w:hint="eastAsia"/>
          <w:iCs/>
        </w:rPr>
        <w:t>下式を変形することで</w:t>
      </w:r>
      <w:r w:rsidR="009777DF">
        <w:rPr>
          <w:rFonts w:hint="eastAsia"/>
          <w:iCs/>
        </w:rPr>
        <w:t>，</w:t>
      </w:r>
      <w:r w:rsidR="008314C6">
        <w:rPr>
          <w:rFonts w:hint="eastAsia"/>
          <w:iCs/>
        </w:rPr>
        <w:t>ともにマルチンゲールにする</w:t>
      </w:r>
      <w:r w:rsidR="009777DF">
        <w:rPr>
          <w:rFonts w:hint="eastAsia"/>
          <w:iCs/>
        </w:rPr>
        <w:t>確率測度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777DF">
        <w:rPr>
          <w:rFonts w:hint="eastAsia"/>
          <w:iCs/>
        </w:rPr>
        <w:t>の下でのブラウン運動が得られる．</w:t>
      </w:r>
    </w:p>
    <w:p w14:paraId="359A467F" w14:textId="3F2CAC53" w:rsidR="009777DF" w:rsidRPr="00E97BAC" w:rsidRDefault="009777DF" w:rsidP="00E97BAC">
      <w:pPr>
        <w:rPr>
          <w:rFonts w:hint="eastAsia"/>
          <w:iCs/>
        </w:rPr>
      </w:pPr>
      <w:r w:rsidRPr="00E97BAC">
        <w:rPr>
          <w:rFonts w:hint="eastAsia"/>
          <w:iCs/>
        </w:rPr>
        <w:t>【無リスク資産】</w:t>
      </w:r>
    </w:p>
    <w:p w14:paraId="68E79F97" w14:textId="4FD14489" w:rsidR="009777DF" w:rsidRPr="00E97BAC" w:rsidRDefault="00A73EE0" w:rsidP="00A73EE0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V(t,T)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dt+d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(t)</m:t>
          </m:r>
        </m:oMath>
      </m:oMathPara>
    </w:p>
    <w:p w14:paraId="53078F24" w14:textId="39DEA34B" w:rsidR="00E97BAC" w:rsidRDefault="00E97BAC" w:rsidP="00A73EE0">
      <w:pPr>
        <w:rPr>
          <w:rFonts w:hint="eastAsia"/>
          <w:iCs/>
        </w:rPr>
      </w:pPr>
      <w:r>
        <w:rPr>
          <w:rFonts w:hint="eastAsia"/>
          <w:iCs/>
        </w:rPr>
        <w:t>【</w:t>
      </w:r>
      <w:r w:rsidR="00A11DF8">
        <w:rPr>
          <w:rFonts w:hint="eastAsia"/>
          <w:iCs/>
        </w:rPr>
        <w:t>リスク性資産</w:t>
      </w:r>
      <w:r>
        <w:rPr>
          <w:rFonts w:hint="eastAsia"/>
          <w:iCs/>
        </w:rPr>
        <w:t>】</w:t>
      </w:r>
    </w:p>
    <w:p w14:paraId="4903CABD" w14:textId="2A1B6AAC" w:rsidR="002E0532" w:rsidRPr="002E0532" w:rsidRDefault="00A73EE0" w:rsidP="00BA345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cyan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dt+</m:t>
          </m:r>
          <m:r>
            <w:rPr>
              <w:rFonts w:ascii="Cambria Math" w:hAnsi="Cambria Math"/>
              <w:highlight w:val="yellow"/>
            </w:rPr>
            <m:t>V(t,T)d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σ</m:t>
              </m:r>
            </m:e>
            <m:sub>
              <m:r>
                <w:rPr>
                  <w:rFonts w:ascii="Cambria Math" w:hAnsi="Cambria Math"/>
                  <w:highlight w:val="cyan"/>
                </w:rPr>
                <m:t>2</m:t>
              </m:r>
            </m:sub>
          </m:sSub>
          <m:r>
            <w:rPr>
              <w:rFonts w:ascii="Cambria Math" w:hAnsi="Cambria Math"/>
              <w:highlight w:val="cyan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hAnsi="Cambria Math"/>
                  <w:highlight w:val="cy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t</m:t>
              </m:r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V(t,T)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dt+d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highlight w:val="cyan"/>
                </w:rPr>
                <m:t>dt+</m:t>
              </m:r>
              <m:r>
                <w:rPr>
                  <w:rFonts w:ascii="Cambria Math" w:hAnsi="Cambria Math"/>
                  <w:highlight w:val="cya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(t)</m:t>
              </m:r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16E1818" w14:textId="77777777" w:rsidR="002E0532" w:rsidRDefault="002E0532" w:rsidP="00BA3457">
      <w:pPr>
        <w:rPr>
          <w:iCs/>
        </w:rPr>
      </w:pPr>
    </w:p>
    <w:p w14:paraId="3AB5C0BC" w14:textId="4B6F3FEC" w:rsidR="002E0532" w:rsidRDefault="00D9433C" w:rsidP="002E0532">
      <w:pPr>
        <w:pStyle w:val="a7"/>
        <w:numPr>
          <w:ilvl w:val="0"/>
          <w:numId w:val="24"/>
        </w:numPr>
        <w:ind w:leftChars="0"/>
        <w:rPr>
          <w:iCs/>
        </w:rPr>
      </w:pPr>
      <w:r>
        <w:rPr>
          <w:rFonts w:hint="eastAsia"/>
          <w:iCs/>
        </w:rPr>
        <w:t>フォワード測度を用い</w:t>
      </w:r>
      <w:r w:rsidR="004D1E63">
        <w:rPr>
          <w:rFonts w:hint="eastAsia"/>
          <w:iCs/>
        </w:rPr>
        <w:t>ると，コールオプションの価格は以下で評価できる．</w:t>
      </w:r>
    </w:p>
    <w:p w14:paraId="0019B1AD" w14:textId="235EBC4B" w:rsidR="004D1E63" w:rsidRPr="002E0532" w:rsidRDefault="009D6449" w:rsidP="004D1E63">
      <w:pPr>
        <w:pStyle w:val="a7"/>
        <w:ind w:leftChars="0" w:left="420"/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v(0,T)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C(T)</m:t>
                  </m:r>
                </m:num>
                <m:den>
                  <m:r>
                    <w:rPr>
                      <w:rFonts w:ascii="Cambria Math" w:hAnsi="Cambria Math"/>
                    </w:rPr>
                    <m:t>v(T,T)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-K</m:t>
                      </m:r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</m:e>
          </m:d>
        </m:oMath>
      </m:oMathPara>
    </w:p>
    <w:p w14:paraId="13ECE572" w14:textId="4D9C16EF" w:rsidR="002E0532" w:rsidRDefault="00CA373D" w:rsidP="00BA3457">
      <w:pPr>
        <w:rPr>
          <w:iCs/>
        </w:rPr>
      </w:pPr>
      <w:r>
        <w:rPr>
          <w:rFonts w:hint="eastAsia"/>
          <w:iCs/>
        </w:rPr>
        <w:t>一方で，2よりフォワード測度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  <w:iCs/>
        </w:rPr>
        <w:t>上で</w:t>
      </w:r>
      <w:r w:rsidR="005D2C4A">
        <w:rPr>
          <w:rFonts w:hint="eastAsia"/>
          <w:iCs/>
        </w:rPr>
        <w:t>，リスク性資産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 w:rsidR="005D2C4A">
        <w:rPr>
          <w:rFonts w:hint="eastAsia"/>
          <w:iCs/>
        </w:rPr>
        <w:t>のSDEは</w:t>
      </w:r>
    </w:p>
    <w:p w14:paraId="4E36CCC3" w14:textId="7A820060" w:rsidR="005D2C4A" w:rsidRPr="005D2C4A" w:rsidRDefault="005D2C4A" w:rsidP="00BA3457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FA13E2F" w14:textId="1E57A378" w:rsidR="005D2C4A" w:rsidRDefault="00BA0C5C" w:rsidP="00BA3457">
      <w:pPr>
        <w:rPr>
          <w:iCs/>
        </w:rPr>
      </w:pPr>
      <w:r>
        <w:rPr>
          <w:rFonts w:hint="eastAsia"/>
          <w:iCs/>
        </w:rPr>
        <w:t>伊藤の公式(</w:t>
      </w:r>
      <w:r>
        <w:rPr>
          <w:iCs/>
        </w:rPr>
        <w:t>1.Ver)</w:t>
      </w:r>
      <w:r w:rsidR="00384664">
        <w:rPr>
          <w:rFonts w:hint="eastAsia"/>
          <w:iCs/>
        </w:rPr>
        <w:t>より，</w:t>
      </w:r>
    </w:p>
    <w:p w14:paraId="320B46A1" w14:textId="332B71D8" w:rsidR="00DA7518" w:rsidRDefault="00F1776C" w:rsidP="00BA3457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d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247F0723" w14:textId="25EE589B" w:rsidR="00480CC2" w:rsidRDefault="00480CC2" w:rsidP="00BA3457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</m:func>
        </m:oMath>
      </m:oMathPara>
    </w:p>
    <w:p w14:paraId="6F28221A" w14:textId="77777777" w:rsidR="00AA0371" w:rsidRDefault="00AA0371" w:rsidP="00BA3457">
      <w:pPr>
        <w:rPr>
          <w:iCs/>
        </w:rPr>
      </w:pPr>
    </w:p>
    <w:p w14:paraId="401D8CAA" w14:textId="74BA594D" w:rsidR="007D75B0" w:rsidRDefault="00E0469F" w:rsidP="00BA3457">
      <w:pPr>
        <w:rPr>
          <w:iCs/>
        </w:rPr>
      </w:pPr>
      <w:r>
        <w:rPr>
          <w:rFonts w:hint="eastAsia"/>
          <w:iCs/>
        </w:rPr>
        <w:t>ここで，</w:t>
      </w:r>
      <m:oMath>
        <m:r>
          <w:rPr>
            <w:rFonts w:ascii="Cambria Math" w:hAnsi="Cambria Math"/>
          </w:rPr>
          <m:t>V(t,T)</m:t>
        </m:r>
      </m:oMath>
      <w:r w:rsidR="007D75B0">
        <w:rPr>
          <w:rFonts w:hint="eastAsia"/>
          <w:iCs/>
        </w:rPr>
        <w:t>は確定的な関数（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t,T</m:t>
            </m:r>
          </m:e>
        </m:d>
      </m:oMath>
      <w:r w:rsidR="007D75B0">
        <w:rPr>
          <w:rFonts w:hint="eastAsia"/>
          <w:iCs/>
        </w:rPr>
        <w:t>は確定的な関数なので）</w:t>
      </w:r>
      <w:r w:rsidR="00F61DB8">
        <w:rPr>
          <w:rFonts w:hint="eastAsia"/>
          <w:iCs/>
        </w:rPr>
        <w:t>であるから，</w:t>
      </w:r>
      <w:r w:rsidR="009D57AF">
        <w:rPr>
          <w:rFonts w:hint="eastAsia"/>
          <w:iCs/>
        </w:rPr>
        <w:t>満期時点における</w:t>
      </w:r>
      <w:r w:rsidR="00E82712">
        <w:rPr>
          <w:rFonts w:hint="eastAsia"/>
          <w:iCs/>
        </w:rPr>
        <w:t>相対価格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 w:rsidR="003A02A8">
        <w:rPr>
          <w:rFonts w:hint="eastAsia"/>
          <w:iCs/>
        </w:rPr>
        <w:t>は対数正規分布に従う．</w:t>
      </w:r>
    </w:p>
    <w:p w14:paraId="3970083B" w14:textId="4B4CA388" w:rsidR="003A02A8" w:rsidRPr="00184285" w:rsidRDefault="003A02A8" w:rsidP="00BA3457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平均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にかかわる箇所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d>
                    </m:e>
                  </m:nary>
                </m:e>
              </m:groupChr>
            </m:e>
            <m:lim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分散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にかかわる箇所</m:t>
              </m:r>
            </m:lim>
          </m:limLow>
        </m:oMath>
      </m:oMathPara>
    </w:p>
    <w:p w14:paraId="0CCCF838" w14:textId="3CE3EE81" w:rsidR="00AE5B2F" w:rsidRPr="000A3665" w:rsidRDefault="00184285" w:rsidP="00BA3457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iCs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Var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func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Var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nary>
            </m:e>
          </m:d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Var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Var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(t)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 w:hint="eastAsia"/>
            </w:rPr>
            <m:t>と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 w:hint="eastAsia"/>
            </w:rPr>
            <m:t>は独立な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.M.</m:t>
          </m:r>
          <m:r>
            <w:rPr>
              <w:iCs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∵</m:t>
          </m:r>
          <m:r>
            <m:rPr>
              <m:sty m:val="p"/>
            </m:rPr>
            <w:rPr>
              <w:rFonts w:ascii="Cambria Math" w:hAnsi="Cambria Math" w:hint="eastAsia"/>
            </w:rPr>
            <m:t>伊藤の等長性</m:t>
          </m:r>
        </m:oMath>
      </m:oMathPara>
    </w:p>
    <w:p w14:paraId="618C12A0" w14:textId="77777777" w:rsidR="002225EB" w:rsidRDefault="002225EB" w:rsidP="00BA3457">
      <w:pPr>
        <w:rPr>
          <w:iCs/>
        </w:rPr>
      </w:pPr>
    </w:p>
    <w:p w14:paraId="5F170828" w14:textId="1B1D4A82" w:rsidR="002225EB" w:rsidRDefault="002225EB" w:rsidP="00BA3457">
      <w:pPr>
        <w:rPr>
          <w:iCs/>
        </w:rPr>
      </w:pPr>
      <w:r>
        <w:rPr>
          <w:rFonts w:hint="eastAsia"/>
          <w:iCs/>
        </w:rPr>
        <w:t>上記より，</w:t>
      </w:r>
    </w:p>
    <w:p w14:paraId="5F053BC4" w14:textId="2EA6CD0C" w:rsidR="002225EB" w:rsidRPr="00F67445" w:rsidRDefault="002225EB" w:rsidP="00BA3457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w:rPr>
                  <w:rFonts w:ascii="Cambria Math" w:hAnsi="Cambria Math"/>
                </w:rPr>
                <m:t>∼N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</m:func>
        </m:oMath>
      </m:oMathPara>
    </w:p>
    <w:p w14:paraId="7124EFBF" w14:textId="514F9C1A" w:rsidR="00F67445" w:rsidRDefault="003458D9" w:rsidP="00BA3457">
      <w:pPr>
        <w:rPr>
          <w:iCs/>
        </w:rPr>
      </w:pPr>
      <w:r>
        <w:rPr>
          <w:rFonts w:hint="eastAsia"/>
          <w:iCs/>
        </w:rPr>
        <w:t>であり，</w:t>
      </w:r>
      <w:r w:rsidR="00557E38">
        <w:rPr>
          <w:rFonts w:hint="eastAsia"/>
          <w:iCs/>
        </w:rPr>
        <w:t>ヨーロピアンコールオプション価格は以下の通りとなる．</w:t>
      </w:r>
    </w:p>
    <w:p w14:paraId="6E5CDF61" w14:textId="134003DC" w:rsidR="00557E38" w:rsidRPr="00DF2CE0" w:rsidRDefault="00557E38" w:rsidP="00BA3457">
      <w:pPr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S(0)/Kv(0,T)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-Kv(0,T)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S(0)/Kv(0,T)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num>
                <m:den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den>
              </m:f>
            </m:e>
          </m:d>
        </m:oMath>
      </m:oMathPara>
    </w:p>
    <w:p w14:paraId="7FB789BF" w14:textId="77777777" w:rsidR="00DF2CE0" w:rsidRDefault="00DF2CE0" w:rsidP="00BA3457">
      <w:pPr>
        <w:rPr>
          <w:iCs/>
        </w:rPr>
      </w:pPr>
    </w:p>
    <w:p w14:paraId="2577C277" w14:textId="0E3BFAAD" w:rsidR="00DF2CE0" w:rsidRDefault="00F75220" w:rsidP="00F75220">
      <w:pPr>
        <w:pStyle w:val="10"/>
      </w:pPr>
      <w:r>
        <w:rPr>
          <w:rFonts w:hint="eastAsia"/>
        </w:rPr>
        <w:t>Appendix</w:t>
      </w:r>
    </w:p>
    <w:tbl>
      <w:tblPr>
        <w:tblStyle w:val="ab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E3C0D" w14:paraId="4D60C344" w14:textId="77777777" w:rsidTr="007E3C0D">
        <w:tc>
          <w:tcPr>
            <w:tcW w:w="10456" w:type="dxa"/>
          </w:tcPr>
          <w:p w14:paraId="7DC66FB6" w14:textId="77777777" w:rsidR="007E3C0D" w:rsidRDefault="007E3C0D" w:rsidP="00F75220">
            <w:r>
              <w:rPr>
                <w:rFonts w:hint="eastAsia"/>
              </w:rPr>
              <w:t>【補論】</w:t>
            </w:r>
          </w:p>
          <w:p w14:paraId="7EBED910" w14:textId="77777777" w:rsidR="007E3C0D" w:rsidRDefault="009D62BB" w:rsidP="00F75220">
            <w:pPr>
              <w:rPr>
                <w:iCs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nary>
                        </m:e>
                      </m:nary>
                    </m:e>
                  </m:d>
                </m:e>
              </m:func>
            </m:oMath>
            <w:r w:rsidR="00150D7E">
              <w:rPr>
                <w:rFonts w:hint="eastAsia"/>
                <w:iCs/>
              </w:rPr>
              <w:t>は平均1のマルチンゲール（指数マルチンゲール）である．</w:t>
            </w:r>
          </w:p>
          <w:p w14:paraId="61887554" w14:textId="77777777" w:rsidR="00A82291" w:rsidRDefault="00A82291" w:rsidP="00F75220">
            <w:r>
              <w:t>(Proof)</w:t>
            </w:r>
          </w:p>
          <w:p w14:paraId="5AB5ED00" w14:textId="5F4F4C07" w:rsidR="00A82291" w:rsidRDefault="00A82291" w:rsidP="00F7522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nary>
                        </m:e>
                      </m:nary>
                    </m:e>
                  </m:d>
                </m:e>
              </m:func>
            </m:oMath>
            <w:r w:rsidRPr="00A82291">
              <w:rPr>
                <w:rFonts w:hint="eastAsia"/>
              </w:rPr>
              <w:t>とおくと，</w:t>
            </w:r>
          </w:p>
          <w:p w14:paraId="1BAA60F9" w14:textId="35CAEB56" w:rsidR="00BA3183" w:rsidRPr="00676EC3" w:rsidRDefault="00A82291" w:rsidP="00F75220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iCs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d>
                <m:r>
                  <w:rPr>
                    <w:iCs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dw(t)</m:t>
                </m:r>
              </m:oMath>
            </m:oMathPara>
          </w:p>
          <w:p w14:paraId="6ACCE212" w14:textId="77777777" w:rsidR="00676EC3" w:rsidRDefault="00676EC3" w:rsidP="00F75220">
            <w:pPr>
              <w:rPr>
                <w:iCs/>
              </w:rPr>
            </w:pPr>
            <w:r>
              <w:rPr>
                <w:rFonts w:hint="eastAsia"/>
                <w:iCs/>
              </w:rPr>
              <w:t>したがって，</w:t>
            </w:r>
          </w:p>
          <w:p w14:paraId="6E0E728E" w14:textId="77777777" w:rsidR="00676EC3" w:rsidRPr="00705BD0" w:rsidRDefault="0044158E" w:rsidP="00F7522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dw(t)</m:t>
                    </m:r>
                  </m:e>
                </m:nary>
              </m:oMath>
            </m:oMathPara>
          </w:p>
          <w:p w14:paraId="50224292" w14:textId="62369F9D" w:rsidR="00705BD0" w:rsidRPr="00FB5978" w:rsidRDefault="00705BD0" w:rsidP="00F75220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つまり，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  <w:iCs/>
              </w:rPr>
              <w:t>は確率積分で表されるので，</w:t>
            </w:r>
            <w:r w:rsidR="00110F47">
              <w:rPr>
                <w:rFonts w:hint="eastAsia"/>
                <w:iCs/>
              </w:rPr>
              <w:t>マルチンゲールである．</w:t>
            </w:r>
          </w:p>
        </w:tc>
      </w:tr>
    </w:tbl>
    <w:p w14:paraId="2D121CC4" w14:textId="77777777" w:rsidR="00F75220" w:rsidRPr="00F75220" w:rsidRDefault="00F75220" w:rsidP="00F75220">
      <w:pPr>
        <w:rPr>
          <w:rFonts w:hint="eastAsia"/>
        </w:rPr>
      </w:pPr>
    </w:p>
    <w:sectPr w:rsidR="00F75220" w:rsidRPr="00F75220" w:rsidSect="000C7601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0E77" w14:textId="77777777" w:rsidR="009C3C97" w:rsidRDefault="009C3C97" w:rsidP="00D91D94">
      <w:r>
        <w:separator/>
      </w:r>
    </w:p>
  </w:endnote>
  <w:endnote w:type="continuationSeparator" w:id="0">
    <w:p w14:paraId="63F95146" w14:textId="77777777" w:rsidR="009C3C97" w:rsidRDefault="009C3C97" w:rsidP="00D91D94">
      <w:r>
        <w:continuationSeparator/>
      </w:r>
    </w:p>
  </w:endnote>
  <w:endnote w:type="continuationNotice" w:id="1">
    <w:p w14:paraId="69C128F3" w14:textId="77777777" w:rsidR="009C3C97" w:rsidRDefault="009C3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F300" w14:textId="77777777" w:rsidR="009C3C97" w:rsidRDefault="009C3C97" w:rsidP="00D91D94">
      <w:r>
        <w:separator/>
      </w:r>
    </w:p>
  </w:footnote>
  <w:footnote w:type="continuationSeparator" w:id="0">
    <w:p w14:paraId="3F898371" w14:textId="77777777" w:rsidR="009C3C97" w:rsidRDefault="009C3C97" w:rsidP="00D91D94">
      <w:r>
        <w:continuationSeparator/>
      </w:r>
    </w:p>
  </w:footnote>
  <w:footnote w:type="continuationNotice" w:id="1">
    <w:p w14:paraId="04CA31BD" w14:textId="77777777" w:rsidR="009C3C97" w:rsidRDefault="009C3C97"/>
  </w:footnote>
  <w:footnote w:id="2">
    <w:p w14:paraId="6D0ED98B" w14:textId="3AC496BA" w:rsidR="00607A00" w:rsidRDefault="00607A00">
      <w:pPr>
        <w:pStyle w:val="af3"/>
        <w:rPr>
          <w:rFonts w:hint="eastAsia"/>
        </w:rPr>
      </w:pPr>
      <w:r w:rsidRPr="00607A00">
        <w:rPr>
          <w:rStyle w:val="af5"/>
          <w:sz w:val="18"/>
          <w:szCs w:val="21"/>
        </w:rPr>
        <w:footnoteRef/>
      </w:r>
      <w:r w:rsidRPr="00607A00"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木島（</w:t>
      </w:r>
      <w:r w:rsidR="005846F6">
        <w:rPr>
          <w:rFonts w:hint="eastAsia"/>
          <w:sz w:val="18"/>
          <w:szCs w:val="21"/>
        </w:rPr>
        <w:t>1999</w:t>
      </w:r>
      <w:r>
        <w:rPr>
          <w:rFonts w:hint="eastAsia"/>
          <w:sz w:val="18"/>
          <w:szCs w:val="21"/>
        </w:rPr>
        <w:t>）</w:t>
      </w:r>
      <w:r w:rsidR="005846F6">
        <w:rPr>
          <w:rFonts w:hint="eastAsia"/>
          <w:sz w:val="18"/>
          <w:szCs w:val="21"/>
        </w:rPr>
        <w:t>「期間構造モデルと金利デリバティブ」（P19）を参照いただきたい．</w:t>
      </w:r>
      <w:r w:rsidR="00E36C51">
        <w:rPr>
          <w:rFonts w:hint="eastAsia"/>
          <w:sz w:val="18"/>
          <w:szCs w:val="21"/>
        </w:rPr>
        <w:t>伊藤の公式を用いれば導き出せる．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C32AB8"/>
    <w:multiLevelType w:val="multilevel"/>
    <w:tmpl w:val="82C4FF70"/>
    <w:numStyleLink w:val="a0"/>
  </w:abstractNum>
  <w:abstractNum w:abstractNumId="3" w15:restartNumberingAfterBreak="0">
    <w:nsid w:val="18E2522A"/>
    <w:multiLevelType w:val="multilevel"/>
    <w:tmpl w:val="D85E49A8"/>
    <w:numStyleLink w:val="a"/>
  </w:abstractNum>
  <w:abstractNum w:abstractNumId="4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D24EAC"/>
    <w:multiLevelType w:val="multilevel"/>
    <w:tmpl w:val="9ECEF24C"/>
    <w:styleLink w:val="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6"/>
  </w:num>
  <w:num w:numId="5">
    <w:abstractNumId w:val="2"/>
  </w:num>
  <w:num w:numId="6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4"/>
  </w:num>
  <w:num w:numId="8">
    <w:abstractNumId w:val="15"/>
  </w:num>
  <w:num w:numId="9">
    <w:abstractNumId w:val="21"/>
  </w:num>
  <w:num w:numId="10">
    <w:abstractNumId w:val="13"/>
  </w:num>
  <w:num w:numId="11">
    <w:abstractNumId w:val="23"/>
  </w:num>
  <w:num w:numId="12">
    <w:abstractNumId w:val="11"/>
  </w:num>
  <w:num w:numId="13">
    <w:abstractNumId w:val="17"/>
  </w:num>
  <w:num w:numId="14">
    <w:abstractNumId w:val="6"/>
  </w:num>
  <w:num w:numId="15">
    <w:abstractNumId w:val="7"/>
  </w:num>
  <w:num w:numId="16">
    <w:abstractNumId w:val="20"/>
  </w:num>
  <w:num w:numId="17">
    <w:abstractNumId w:val="8"/>
  </w:num>
  <w:num w:numId="18">
    <w:abstractNumId w:val="10"/>
  </w:num>
  <w:num w:numId="19">
    <w:abstractNumId w:val="12"/>
  </w:num>
  <w:num w:numId="20">
    <w:abstractNumId w:val="19"/>
  </w:num>
  <w:num w:numId="21">
    <w:abstractNumId w:val="4"/>
  </w:num>
  <w:num w:numId="22">
    <w:abstractNumId w:val="18"/>
  </w:num>
  <w:num w:numId="23">
    <w:abstractNumId w:val="22"/>
  </w:num>
  <w:num w:numId="2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8E6"/>
    <w:rsid w:val="0003595A"/>
    <w:rsid w:val="00036DDB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61F2"/>
    <w:rsid w:val="00046F29"/>
    <w:rsid w:val="00047388"/>
    <w:rsid w:val="00050202"/>
    <w:rsid w:val="00051A6B"/>
    <w:rsid w:val="0005218B"/>
    <w:rsid w:val="000521B8"/>
    <w:rsid w:val="00052966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182"/>
    <w:rsid w:val="0008547A"/>
    <w:rsid w:val="00086D3A"/>
    <w:rsid w:val="000870A5"/>
    <w:rsid w:val="0009297D"/>
    <w:rsid w:val="00092ED5"/>
    <w:rsid w:val="0009300B"/>
    <w:rsid w:val="0009594A"/>
    <w:rsid w:val="00095F93"/>
    <w:rsid w:val="00096134"/>
    <w:rsid w:val="00096BA4"/>
    <w:rsid w:val="00096FC8"/>
    <w:rsid w:val="000A0B4E"/>
    <w:rsid w:val="000A0EF3"/>
    <w:rsid w:val="000A13F9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330F"/>
    <w:rsid w:val="000F389A"/>
    <w:rsid w:val="000F3BAB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404"/>
    <w:rsid w:val="001407C5"/>
    <w:rsid w:val="0014169B"/>
    <w:rsid w:val="00142225"/>
    <w:rsid w:val="00142CF2"/>
    <w:rsid w:val="001442C4"/>
    <w:rsid w:val="001457FC"/>
    <w:rsid w:val="00145992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80664"/>
    <w:rsid w:val="00180DB3"/>
    <w:rsid w:val="00180F67"/>
    <w:rsid w:val="00180FE7"/>
    <w:rsid w:val="00181A72"/>
    <w:rsid w:val="00181B24"/>
    <w:rsid w:val="0018236E"/>
    <w:rsid w:val="001838E4"/>
    <w:rsid w:val="00184285"/>
    <w:rsid w:val="001858AE"/>
    <w:rsid w:val="00185BA4"/>
    <w:rsid w:val="00185FE3"/>
    <w:rsid w:val="00186A17"/>
    <w:rsid w:val="00190004"/>
    <w:rsid w:val="001907DA"/>
    <w:rsid w:val="00192ADD"/>
    <w:rsid w:val="00192D7F"/>
    <w:rsid w:val="00192F39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664E"/>
    <w:rsid w:val="001D7645"/>
    <w:rsid w:val="001D7742"/>
    <w:rsid w:val="001D7D85"/>
    <w:rsid w:val="001E0A8B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77B6"/>
    <w:rsid w:val="001F78CB"/>
    <w:rsid w:val="002009CD"/>
    <w:rsid w:val="00201E41"/>
    <w:rsid w:val="00202248"/>
    <w:rsid w:val="00203B6F"/>
    <w:rsid w:val="00204485"/>
    <w:rsid w:val="002058F0"/>
    <w:rsid w:val="002071D3"/>
    <w:rsid w:val="0020734E"/>
    <w:rsid w:val="00207974"/>
    <w:rsid w:val="00211032"/>
    <w:rsid w:val="00212CD0"/>
    <w:rsid w:val="00213436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1FF"/>
    <w:rsid w:val="00234994"/>
    <w:rsid w:val="002349A7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3303"/>
    <w:rsid w:val="00284A01"/>
    <w:rsid w:val="00287633"/>
    <w:rsid w:val="002915D1"/>
    <w:rsid w:val="00291E86"/>
    <w:rsid w:val="002923CC"/>
    <w:rsid w:val="002929A9"/>
    <w:rsid w:val="00292B9A"/>
    <w:rsid w:val="00292D40"/>
    <w:rsid w:val="00292DD5"/>
    <w:rsid w:val="00293DAF"/>
    <w:rsid w:val="00293FE2"/>
    <w:rsid w:val="00294D14"/>
    <w:rsid w:val="00294FCE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3839"/>
    <w:rsid w:val="002C49E9"/>
    <w:rsid w:val="002C4A4A"/>
    <w:rsid w:val="002C562C"/>
    <w:rsid w:val="002C64E0"/>
    <w:rsid w:val="002C7364"/>
    <w:rsid w:val="002C78DD"/>
    <w:rsid w:val="002D034A"/>
    <w:rsid w:val="002D2B18"/>
    <w:rsid w:val="002D450D"/>
    <w:rsid w:val="002D499C"/>
    <w:rsid w:val="002D49C7"/>
    <w:rsid w:val="002D4A73"/>
    <w:rsid w:val="002D5A39"/>
    <w:rsid w:val="002D5C2F"/>
    <w:rsid w:val="002D5CEA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4294"/>
    <w:rsid w:val="00314A04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33BA"/>
    <w:rsid w:val="003C3721"/>
    <w:rsid w:val="003C45B6"/>
    <w:rsid w:val="003C4727"/>
    <w:rsid w:val="003C4797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21D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32A5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5814"/>
    <w:rsid w:val="0046587D"/>
    <w:rsid w:val="00465E22"/>
    <w:rsid w:val="0046614B"/>
    <w:rsid w:val="004669BA"/>
    <w:rsid w:val="00466FA5"/>
    <w:rsid w:val="004676C0"/>
    <w:rsid w:val="00467B51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CFF"/>
    <w:rsid w:val="0048571A"/>
    <w:rsid w:val="004858AA"/>
    <w:rsid w:val="004863D7"/>
    <w:rsid w:val="00486788"/>
    <w:rsid w:val="004916A3"/>
    <w:rsid w:val="00493B87"/>
    <w:rsid w:val="00494E3C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40AC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D66"/>
    <w:rsid w:val="005050B9"/>
    <w:rsid w:val="00505EB9"/>
    <w:rsid w:val="00506074"/>
    <w:rsid w:val="0050625A"/>
    <w:rsid w:val="005072CE"/>
    <w:rsid w:val="00507555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19FD"/>
    <w:rsid w:val="00551A24"/>
    <w:rsid w:val="00552F73"/>
    <w:rsid w:val="00554792"/>
    <w:rsid w:val="00554C3F"/>
    <w:rsid w:val="005550D2"/>
    <w:rsid w:val="005564DA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42B0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C2C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677E"/>
    <w:rsid w:val="00607A00"/>
    <w:rsid w:val="00610D57"/>
    <w:rsid w:val="0061108E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AED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D5C"/>
    <w:rsid w:val="00705BD0"/>
    <w:rsid w:val="0070607E"/>
    <w:rsid w:val="00712D8E"/>
    <w:rsid w:val="007135C5"/>
    <w:rsid w:val="0071413C"/>
    <w:rsid w:val="00714C6E"/>
    <w:rsid w:val="00714E0C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20A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AC6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D1E"/>
    <w:rsid w:val="007E078A"/>
    <w:rsid w:val="007E3C0D"/>
    <w:rsid w:val="007E3ED0"/>
    <w:rsid w:val="007E4AAE"/>
    <w:rsid w:val="007E4B12"/>
    <w:rsid w:val="007E51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FA7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1B97"/>
    <w:rsid w:val="008421E7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150F"/>
    <w:rsid w:val="00871F76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E2F"/>
    <w:rsid w:val="00894711"/>
    <w:rsid w:val="00894FFE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1415"/>
    <w:rsid w:val="008C17B7"/>
    <w:rsid w:val="008C3A3B"/>
    <w:rsid w:val="008C4131"/>
    <w:rsid w:val="008C42AD"/>
    <w:rsid w:val="008C4828"/>
    <w:rsid w:val="008C4A17"/>
    <w:rsid w:val="008C55F6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4211"/>
    <w:rsid w:val="00924BF4"/>
    <w:rsid w:val="00925D84"/>
    <w:rsid w:val="0092684B"/>
    <w:rsid w:val="00926C9E"/>
    <w:rsid w:val="00927C20"/>
    <w:rsid w:val="00927DDB"/>
    <w:rsid w:val="009316F8"/>
    <w:rsid w:val="00931F84"/>
    <w:rsid w:val="00933502"/>
    <w:rsid w:val="00934077"/>
    <w:rsid w:val="0093498E"/>
    <w:rsid w:val="00934CCA"/>
    <w:rsid w:val="00935CD6"/>
    <w:rsid w:val="009374DE"/>
    <w:rsid w:val="00937B56"/>
    <w:rsid w:val="00940077"/>
    <w:rsid w:val="009400CC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505EF"/>
    <w:rsid w:val="009527D6"/>
    <w:rsid w:val="00952967"/>
    <w:rsid w:val="00952D21"/>
    <w:rsid w:val="00953237"/>
    <w:rsid w:val="00954466"/>
    <w:rsid w:val="0095589E"/>
    <w:rsid w:val="00955E25"/>
    <w:rsid w:val="00955F1D"/>
    <w:rsid w:val="00956FA2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AC7"/>
    <w:rsid w:val="00975BF4"/>
    <w:rsid w:val="00975C24"/>
    <w:rsid w:val="009777DF"/>
    <w:rsid w:val="00977FA0"/>
    <w:rsid w:val="00980AD8"/>
    <w:rsid w:val="0098166A"/>
    <w:rsid w:val="009816EA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3DF1"/>
    <w:rsid w:val="009F458D"/>
    <w:rsid w:val="009F510D"/>
    <w:rsid w:val="009F5706"/>
    <w:rsid w:val="009F595A"/>
    <w:rsid w:val="009F6013"/>
    <w:rsid w:val="009F6375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6328"/>
    <w:rsid w:val="00A16894"/>
    <w:rsid w:val="00A16E2D"/>
    <w:rsid w:val="00A17AB1"/>
    <w:rsid w:val="00A20638"/>
    <w:rsid w:val="00A2164A"/>
    <w:rsid w:val="00A22B2D"/>
    <w:rsid w:val="00A232BC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7E30"/>
    <w:rsid w:val="00AB0629"/>
    <w:rsid w:val="00AB160E"/>
    <w:rsid w:val="00AB19C7"/>
    <w:rsid w:val="00AB258F"/>
    <w:rsid w:val="00AB383C"/>
    <w:rsid w:val="00AB3C6D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61D0"/>
    <w:rsid w:val="00B26469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1562"/>
    <w:rsid w:val="00B52E53"/>
    <w:rsid w:val="00B539DB"/>
    <w:rsid w:val="00B53C0D"/>
    <w:rsid w:val="00B53D59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6300"/>
    <w:rsid w:val="00B77633"/>
    <w:rsid w:val="00B77960"/>
    <w:rsid w:val="00B80166"/>
    <w:rsid w:val="00B8020F"/>
    <w:rsid w:val="00B80B8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2C84"/>
    <w:rsid w:val="00B92FFD"/>
    <w:rsid w:val="00B93A3A"/>
    <w:rsid w:val="00B93DF9"/>
    <w:rsid w:val="00B94B58"/>
    <w:rsid w:val="00B9589E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16A8"/>
    <w:rsid w:val="00BE265E"/>
    <w:rsid w:val="00BE26D8"/>
    <w:rsid w:val="00BE2CAE"/>
    <w:rsid w:val="00BE3395"/>
    <w:rsid w:val="00BE41BD"/>
    <w:rsid w:val="00BE4848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5074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6F3"/>
    <w:rsid w:val="00CE7808"/>
    <w:rsid w:val="00CF007C"/>
    <w:rsid w:val="00CF0792"/>
    <w:rsid w:val="00CF2A22"/>
    <w:rsid w:val="00CF2A28"/>
    <w:rsid w:val="00CF32A5"/>
    <w:rsid w:val="00CF4BD0"/>
    <w:rsid w:val="00CF5CFF"/>
    <w:rsid w:val="00CF731A"/>
    <w:rsid w:val="00D00F16"/>
    <w:rsid w:val="00D011BA"/>
    <w:rsid w:val="00D0141A"/>
    <w:rsid w:val="00D01ED0"/>
    <w:rsid w:val="00D04BED"/>
    <w:rsid w:val="00D04D60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F3"/>
    <w:rsid w:val="00D12ED4"/>
    <w:rsid w:val="00D13A00"/>
    <w:rsid w:val="00D159C5"/>
    <w:rsid w:val="00D164C0"/>
    <w:rsid w:val="00D176F8"/>
    <w:rsid w:val="00D210F4"/>
    <w:rsid w:val="00D21680"/>
    <w:rsid w:val="00D22E3A"/>
    <w:rsid w:val="00D236AC"/>
    <w:rsid w:val="00D23CEC"/>
    <w:rsid w:val="00D23D61"/>
    <w:rsid w:val="00D23DAD"/>
    <w:rsid w:val="00D25340"/>
    <w:rsid w:val="00D26305"/>
    <w:rsid w:val="00D26F67"/>
    <w:rsid w:val="00D27D0F"/>
    <w:rsid w:val="00D309F3"/>
    <w:rsid w:val="00D32564"/>
    <w:rsid w:val="00D32658"/>
    <w:rsid w:val="00D3424F"/>
    <w:rsid w:val="00D346C1"/>
    <w:rsid w:val="00D34EC5"/>
    <w:rsid w:val="00D35449"/>
    <w:rsid w:val="00D35EF9"/>
    <w:rsid w:val="00D361AF"/>
    <w:rsid w:val="00D377E2"/>
    <w:rsid w:val="00D40AA6"/>
    <w:rsid w:val="00D41726"/>
    <w:rsid w:val="00D4182D"/>
    <w:rsid w:val="00D42770"/>
    <w:rsid w:val="00D42F19"/>
    <w:rsid w:val="00D43783"/>
    <w:rsid w:val="00D468AF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6028A"/>
    <w:rsid w:val="00D602EB"/>
    <w:rsid w:val="00D606C0"/>
    <w:rsid w:val="00D60BED"/>
    <w:rsid w:val="00D60EFC"/>
    <w:rsid w:val="00D61B38"/>
    <w:rsid w:val="00D61F20"/>
    <w:rsid w:val="00D61FD9"/>
    <w:rsid w:val="00D633C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5974"/>
    <w:rsid w:val="00DD5F73"/>
    <w:rsid w:val="00DD66E5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25A6"/>
    <w:rsid w:val="00E03325"/>
    <w:rsid w:val="00E034F4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A47"/>
    <w:rsid w:val="00E1138D"/>
    <w:rsid w:val="00E1277F"/>
    <w:rsid w:val="00E12E90"/>
    <w:rsid w:val="00E12EC9"/>
    <w:rsid w:val="00E12FAE"/>
    <w:rsid w:val="00E132AB"/>
    <w:rsid w:val="00E13D97"/>
    <w:rsid w:val="00E14BEC"/>
    <w:rsid w:val="00E20234"/>
    <w:rsid w:val="00E202EF"/>
    <w:rsid w:val="00E20D1A"/>
    <w:rsid w:val="00E21C97"/>
    <w:rsid w:val="00E22DB1"/>
    <w:rsid w:val="00E2462F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C51"/>
    <w:rsid w:val="00E37E7D"/>
    <w:rsid w:val="00E40732"/>
    <w:rsid w:val="00E42350"/>
    <w:rsid w:val="00E43024"/>
    <w:rsid w:val="00E443AE"/>
    <w:rsid w:val="00E45166"/>
    <w:rsid w:val="00E46565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663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EE"/>
    <w:rsid w:val="00EC7311"/>
    <w:rsid w:val="00ED13C8"/>
    <w:rsid w:val="00ED362C"/>
    <w:rsid w:val="00ED3C5F"/>
    <w:rsid w:val="00ED4982"/>
    <w:rsid w:val="00ED4C08"/>
    <w:rsid w:val="00ED5FCA"/>
    <w:rsid w:val="00ED757B"/>
    <w:rsid w:val="00EE0A78"/>
    <w:rsid w:val="00EE1061"/>
    <w:rsid w:val="00EE1B06"/>
    <w:rsid w:val="00EE29FA"/>
    <w:rsid w:val="00EE2B14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C28"/>
    <w:rsid w:val="00F206AA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B4A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6705"/>
    <w:rsid w:val="00F56DD9"/>
    <w:rsid w:val="00F574A7"/>
    <w:rsid w:val="00F578F2"/>
    <w:rsid w:val="00F57D45"/>
    <w:rsid w:val="00F605A8"/>
    <w:rsid w:val="00F61DB8"/>
    <w:rsid w:val="00F61EA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52D5"/>
    <w:rsid w:val="00F953D1"/>
    <w:rsid w:val="00F95AC5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EB"/>
    <w:rsid w:val="00FE6491"/>
    <w:rsid w:val="00FE68EB"/>
    <w:rsid w:val="00FE780C"/>
    <w:rsid w:val="00FE7959"/>
    <w:rsid w:val="00FF0F80"/>
    <w:rsid w:val="00FF13CC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0">
    <w:name w:val="heading 1"/>
    <w:basedOn w:val="a1"/>
    <w:next w:val="a1"/>
    <w:link w:val="11"/>
    <w:autoRedefine/>
    <w:uiPriority w:val="9"/>
    <w:qFormat/>
    <w:rsid w:val="00F75220"/>
    <w:pPr>
      <w:keepNext/>
      <w:outlineLvl w:val="0"/>
    </w:pPr>
    <w:rPr>
      <w:rFonts w:eastAsiaTheme="minorHAnsi" w:cs="Times New Roman"/>
      <w:b/>
      <w:sz w:val="24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0"/>
    <w:uiPriority w:val="9"/>
    <w:rsid w:val="00F75220"/>
    <w:rPr>
      <w:rFonts w:eastAsiaTheme="minorHAnsi" w:cs="Times New Roman"/>
      <w:b/>
      <w:sz w:val="24"/>
      <w:szCs w:val="24"/>
    </w:rPr>
  </w:style>
  <w:style w:type="paragraph" w:styleId="a7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7">
    <w:name w:val="annotation reference"/>
    <w:basedOn w:val="a2"/>
    <w:uiPriority w:val="99"/>
    <w:semiHidden/>
    <w:unhideWhenUsed/>
    <w:rsid w:val="00884B51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884B51"/>
    <w:pPr>
      <w:jc w:val="left"/>
    </w:pPr>
  </w:style>
  <w:style w:type="character" w:customStyle="1" w:styleId="af9">
    <w:name w:val="コメント文字列 (文字)"/>
    <w:basedOn w:val="a2"/>
    <w:link w:val="af8"/>
    <w:uiPriority w:val="99"/>
    <w:semiHidden/>
    <w:rsid w:val="00884B51"/>
    <w:rPr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84B51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884B51"/>
    <w:rPr>
      <w:b/>
      <w:bCs/>
      <w:szCs w:val="24"/>
    </w:rPr>
  </w:style>
  <w:style w:type="character" w:styleId="afc">
    <w:name w:val="Hyperlink"/>
    <w:basedOn w:val="a2"/>
    <w:uiPriority w:val="99"/>
    <w:unhideWhenUsed/>
    <w:rsid w:val="000704D4"/>
    <w:rPr>
      <w:color w:val="0563C1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2"/>
    <w:link w:val="5"/>
    <w:uiPriority w:val="9"/>
    <w:semiHidden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2"/>
    <w:link w:val="6"/>
    <w:uiPriority w:val="9"/>
    <w:semiHidden/>
    <w:rsid w:val="00862A91"/>
    <w:rPr>
      <w:b/>
      <w:bCs/>
      <w:szCs w:val="24"/>
    </w:rPr>
  </w:style>
  <w:style w:type="character" w:styleId="afe">
    <w:name w:val="Strong"/>
    <w:basedOn w:val="a2"/>
    <w:uiPriority w:val="22"/>
    <w:qFormat/>
    <w:rsid w:val="001B6BCA"/>
    <w:rPr>
      <w:b/>
      <w:bCs/>
    </w:rPr>
  </w:style>
  <w:style w:type="character" w:styleId="aff">
    <w:name w:val="FollowedHyperlink"/>
    <w:basedOn w:val="a2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2"/>
    <w:rsid w:val="006005E4"/>
  </w:style>
  <w:style w:type="character" w:customStyle="1" w:styleId="is-clickable">
    <w:name w:val="is-clickable"/>
    <w:basedOn w:val="a2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2"/>
    <w:rsid w:val="006005E4"/>
  </w:style>
  <w:style w:type="character" w:customStyle="1" w:styleId="o-smallnotesummarystatuscount">
    <w:name w:val="o-smallnotesummary__statuscount"/>
    <w:basedOn w:val="a2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</cp:revision>
  <dcterms:created xsi:type="dcterms:W3CDTF">2022-02-09T06:26:00Z</dcterms:created>
  <dcterms:modified xsi:type="dcterms:W3CDTF">2022-02-09T06:26:00Z</dcterms:modified>
</cp:coreProperties>
</file>