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51F3C" w14:textId="2709F845" w:rsidR="00DA45FC" w:rsidRDefault="00DA45FC" w:rsidP="00E944C2">
      <w:pPr>
        <w:pStyle w:val="4"/>
        <w:spacing w:after="240"/>
      </w:pPr>
    </w:p>
    <w:p w14:paraId="2E450055" w14:textId="2E478DCC" w:rsidR="00E944C2" w:rsidRDefault="00C72212" w:rsidP="00C72212">
      <w:pPr>
        <w:ind w:right="105"/>
        <w:jc w:val="right"/>
      </w:pPr>
      <w:r>
        <w:rPr>
          <w:rFonts w:hint="eastAsia"/>
        </w:rPr>
        <w:t>作成者：西村AN</w:t>
      </w:r>
    </w:p>
    <w:p w14:paraId="1B82E2E2" w14:textId="78FB43E2" w:rsidR="00691A72" w:rsidRDefault="00691A72" w:rsidP="00691A72">
      <w:pPr>
        <w:ind w:right="105"/>
        <w:jc w:val="center"/>
        <w:rPr>
          <w:b/>
          <w:bCs/>
        </w:rPr>
      </w:pPr>
      <w:r w:rsidRPr="00691A72">
        <w:rPr>
          <w:rFonts w:hint="eastAsia"/>
          <w:b/>
          <w:bCs/>
        </w:rPr>
        <w:t>概要</w:t>
      </w:r>
    </w:p>
    <w:tbl>
      <w:tblPr>
        <w:tblStyle w:val="ac"/>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31"/>
      </w:tblGrid>
      <w:tr w:rsidR="00FA6B06" w14:paraId="6DCE6C46" w14:textId="77777777" w:rsidTr="0096029F">
        <w:tc>
          <w:tcPr>
            <w:tcW w:w="8931" w:type="dxa"/>
          </w:tcPr>
          <w:p w14:paraId="7D818B6A" w14:textId="302345CC" w:rsidR="00FA6B06" w:rsidRPr="00C87318" w:rsidRDefault="00CF341C" w:rsidP="00D66981">
            <w:pPr>
              <w:ind w:right="105"/>
            </w:pPr>
            <w:r w:rsidRPr="00CF341C">
              <w:rPr>
                <w:rFonts w:hint="eastAsia"/>
              </w:rPr>
              <w:t>多くの国における年金制度の発展には</w:t>
            </w:r>
            <w:r w:rsidR="002F248B">
              <w:rPr>
                <w:rFonts w:hint="eastAsia"/>
              </w:rPr>
              <w:t>，</w:t>
            </w:r>
            <w:r w:rsidRPr="00CF341C">
              <w:rPr>
                <w:rFonts w:hint="eastAsia"/>
              </w:rPr>
              <w:t>「ターゲット・デイト・ファンド」（</w:t>
            </w:r>
            <w:r w:rsidRPr="00CF341C">
              <w:t>TDF）の出現が大きく寄与している</w:t>
            </w:r>
            <w:r w:rsidR="002F248B">
              <w:t>．</w:t>
            </w:r>
            <w:r w:rsidRPr="00CF341C">
              <w:t>この論文では</w:t>
            </w:r>
            <w:r w:rsidR="002F248B">
              <w:t>，</w:t>
            </w:r>
            <w:r w:rsidRPr="00CF341C">
              <w:t>生涯を通じたリスク回避の提案と</w:t>
            </w:r>
            <w:r w:rsidR="002F248B">
              <w:t>，</w:t>
            </w:r>
            <w:r w:rsidRPr="00CF341C">
              <w:t>退職後の資産圧縮段階においてTDFが提供するガイダンスを検証する</w:t>
            </w:r>
            <w:r w:rsidR="002F248B">
              <w:t>．</w:t>
            </w:r>
            <w:r w:rsidRPr="00CF341C">
              <w:t>1925年以来</w:t>
            </w:r>
            <w:r w:rsidR="002F248B">
              <w:t>，</w:t>
            </w:r>
            <w:r w:rsidRPr="00CF341C">
              <w:t>米国で行われているグライドパス投資と従来の債券・株式ポートフォリオとの関連性を調査した</w:t>
            </w:r>
            <w:r w:rsidR="002F248B">
              <w:t>．</w:t>
            </w:r>
            <w:r w:rsidR="00F528D1" w:rsidRPr="00F528D1">
              <w:rPr>
                <w:rFonts w:hint="eastAsia"/>
              </w:rPr>
              <w:t>それは</w:t>
            </w:r>
            <w:r w:rsidR="002F248B">
              <w:rPr>
                <w:rFonts w:hint="eastAsia"/>
              </w:rPr>
              <w:t>，</w:t>
            </w:r>
            <w:r w:rsidR="00F528D1" w:rsidRPr="00F528D1">
              <w:rPr>
                <w:rFonts w:hint="eastAsia"/>
              </w:rPr>
              <w:t>単純な絶対的モメンタムやトレンドフォローの手法によって個々の資産のリターンを平滑化することは</w:t>
            </w:r>
            <w:r w:rsidR="002F248B">
              <w:rPr>
                <w:rFonts w:hint="eastAsia"/>
              </w:rPr>
              <w:t>，</w:t>
            </w:r>
            <w:r w:rsidR="00F528D1" w:rsidRPr="00F528D1">
              <w:rPr>
                <w:rFonts w:hint="eastAsia"/>
              </w:rPr>
              <w:t>しばしば年率</w:t>
            </w:r>
            <w:r w:rsidR="00F528D1" w:rsidRPr="00F528D1">
              <w:t>50%もの引き出し率を向上させる強力な手段であるということである！そして</w:t>
            </w:r>
            <w:r w:rsidR="002F248B">
              <w:t>，</w:t>
            </w:r>
            <w:r w:rsidR="00F528D1" w:rsidRPr="00F528D1">
              <w:t>おそらくより大きな社会的結論を得ることができた</w:t>
            </w:r>
            <w:r w:rsidR="002F248B">
              <w:t>．</w:t>
            </w:r>
            <w:r w:rsidR="00F528D1" w:rsidRPr="00F528D1">
              <w:t>そして</w:t>
            </w:r>
            <w:r w:rsidR="002F248B">
              <w:t>，</w:t>
            </w:r>
            <w:r w:rsidR="00F528D1" w:rsidRPr="00F528D1">
              <w:t>おそらくより大きな社会的意義は</w:t>
            </w:r>
            <w:r w:rsidR="002F248B">
              <w:t>，</w:t>
            </w:r>
            <w:r w:rsidR="00F528D1" w:rsidRPr="00F528D1">
              <w:t>不幸な引き出し率の経験</w:t>
            </w:r>
            <w:r w:rsidR="002F248B">
              <w:t>，</w:t>
            </w:r>
            <w:r w:rsidR="00F528D1" w:rsidRPr="00F528D1">
              <w:t>すなわち</w:t>
            </w:r>
            <w:r w:rsidR="002F248B">
              <w:t>，</w:t>
            </w:r>
            <w:r w:rsidR="00F528D1" w:rsidRPr="00F528D1">
              <w:t>退職の早い段階でリターンが悪いという不運の「レフトテール」を取り除くことができることであろう</w:t>
            </w:r>
            <w:r w:rsidR="002F248B">
              <w:t>．</w:t>
            </w:r>
            <w:r w:rsidR="00F528D1" w:rsidRPr="00F528D1">
              <w:t>我々は</w:t>
            </w:r>
            <w:r w:rsidR="002F248B">
              <w:t>，</w:t>
            </w:r>
            <w:r w:rsidR="00F528D1" w:rsidRPr="00F528D1">
              <w:t>資産と現金を体系的に切り替えることによって資産を長期的に分散することが</w:t>
            </w:r>
            <w:r w:rsidR="002F248B">
              <w:t>，</w:t>
            </w:r>
            <w:r w:rsidR="00F528D1" w:rsidRPr="00F528D1">
              <w:t>資産クラス間でポートフォリオ</w:t>
            </w:r>
            <w:r w:rsidR="00F528D1" w:rsidRPr="00F528D1">
              <w:rPr>
                <w:rFonts w:hint="eastAsia"/>
              </w:rPr>
              <w:t>を分散することよりも</w:t>
            </w:r>
            <w:r w:rsidR="002F248B">
              <w:rPr>
                <w:rFonts w:hint="eastAsia"/>
              </w:rPr>
              <w:t>，</w:t>
            </w:r>
            <w:r w:rsidR="00F528D1" w:rsidRPr="00F528D1">
              <w:rPr>
                <w:rFonts w:hint="eastAsia"/>
              </w:rPr>
              <w:t>退職後の所得経験にとって潜在的に重要であることを示す</w:t>
            </w:r>
            <w:r w:rsidR="002F248B">
              <w:rPr>
                <w:rFonts w:hint="eastAsia"/>
              </w:rPr>
              <w:t>．</w:t>
            </w:r>
            <w:r w:rsidR="00F528D1" w:rsidRPr="00F528D1">
              <w:rPr>
                <w:rFonts w:hint="eastAsia"/>
              </w:rPr>
              <w:t>また</w:t>
            </w:r>
            <w:r w:rsidR="002F248B">
              <w:rPr>
                <w:rFonts w:hint="eastAsia"/>
              </w:rPr>
              <w:t>，</w:t>
            </w:r>
            <w:r w:rsidR="00F528D1" w:rsidRPr="00F528D1">
              <w:rPr>
                <w:rFonts w:hint="eastAsia"/>
              </w:rPr>
              <w:t>グライドパス投資が賢明なのは</w:t>
            </w:r>
            <w:r w:rsidR="002F248B">
              <w:rPr>
                <w:rFonts w:hint="eastAsia"/>
              </w:rPr>
              <w:t>，</w:t>
            </w:r>
            <w:r w:rsidR="00F528D1" w:rsidRPr="00F528D1">
              <w:rPr>
                <w:rFonts w:hint="eastAsia"/>
              </w:rPr>
              <w:t>目標期日から数年以内に限られることも示した</w:t>
            </w:r>
            <w:r w:rsidR="002F248B">
              <w:rPr>
                <w:rFonts w:hint="eastAsia"/>
              </w:rPr>
              <w:t>．</w:t>
            </w:r>
            <w:r w:rsidR="00F528D1" w:rsidRPr="00F528D1">
              <w:rPr>
                <w:rFonts w:hint="eastAsia"/>
              </w:rPr>
              <w:t>この発見は</w:t>
            </w:r>
            <w:r w:rsidR="002F248B">
              <w:rPr>
                <w:rFonts w:hint="eastAsia"/>
              </w:rPr>
              <w:t>，</w:t>
            </w:r>
            <w:r w:rsidR="00F528D1" w:rsidRPr="00F528D1">
              <w:rPr>
                <w:rFonts w:hint="eastAsia"/>
              </w:rPr>
              <w:t>文献上では敵対視されつつあるターゲット・デート投資への熱狂的な支持につながるものである</w:t>
            </w:r>
            <w:r w:rsidR="002F248B">
              <w:rPr>
                <w:rFonts w:hint="eastAsia"/>
              </w:rPr>
              <w:t>．</w:t>
            </w:r>
          </w:p>
        </w:tc>
      </w:tr>
    </w:tbl>
    <w:p w14:paraId="3BF9DAF5" w14:textId="0C1ADA15" w:rsidR="00691A72" w:rsidRPr="005932A2" w:rsidRDefault="00691A72" w:rsidP="00FA6B06">
      <w:pPr>
        <w:ind w:right="105"/>
        <w:rPr>
          <w:b/>
          <w:bCs/>
        </w:rPr>
      </w:pPr>
    </w:p>
    <w:p w14:paraId="04956AB9" w14:textId="63022979" w:rsidR="00FA6B06" w:rsidRDefault="009C7CAD" w:rsidP="00FE6228">
      <w:pPr>
        <w:pStyle w:val="1"/>
      </w:pPr>
      <w:r>
        <w:rPr>
          <w:rFonts w:hint="eastAsia"/>
        </w:rPr>
        <w:t>Introduction</w:t>
      </w:r>
    </w:p>
    <w:p w14:paraId="3E458AE6" w14:textId="7FAFD4FA" w:rsidR="00BD24DB" w:rsidRDefault="008A364C" w:rsidP="00D12110">
      <w:pPr>
        <w:pStyle w:val="a2"/>
      </w:pPr>
      <w:r>
        <w:rPr>
          <w:rFonts w:hint="eastAsia"/>
        </w:rPr>
        <w:t>多くの国で年金制度が発展している中で</w:t>
      </w:r>
      <w:r w:rsidR="002F248B">
        <w:rPr>
          <w:rFonts w:hint="eastAsia"/>
        </w:rPr>
        <w:t>，</w:t>
      </w:r>
      <w:r>
        <w:rPr>
          <w:rFonts w:hint="eastAsia"/>
        </w:rPr>
        <w:t>「ターゲット・デ</w:t>
      </w:r>
      <w:r w:rsidR="005F7A61">
        <w:rPr>
          <w:rFonts w:hint="eastAsia"/>
        </w:rPr>
        <w:t>ー</w:t>
      </w:r>
      <w:r>
        <w:rPr>
          <w:rFonts w:hint="eastAsia"/>
        </w:rPr>
        <w:t>ト・ファンド」（</w:t>
      </w:r>
      <w:r>
        <w:t>TDF）の出現は重要である</w:t>
      </w:r>
      <w:r w:rsidR="002F248B">
        <w:t>．</w:t>
      </w:r>
      <w:r>
        <w:t>以前はどこにでもあった「確定給付型」DB年金制度は</w:t>
      </w:r>
      <w:r w:rsidR="002F248B">
        <w:t>，</w:t>
      </w:r>
      <w:r>
        <w:t>急速に「確定拠出型」DC年金制度に取って代わろうとしている</w:t>
      </w:r>
      <w:r w:rsidR="002F248B">
        <w:t>．</w:t>
      </w:r>
      <w:r>
        <w:rPr>
          <w:rFonts w:hint="eastAsia"/>
        </w:rPr>
        <w:t>この制度は</w:t>
      </w:r>
      <w:r w:rsidR="002F248B">
        <w:rPr>
          <w:rFonts w:hint="eastAsia"/>
        </w:rPr>
        <w:t>，</w:t>
      </w:r>
      <w:r>
        <w:rPr>
          <w:rFonts w:hint="eastAsia"/>
        </w:rPr>
        <w:t>年金支給に関連するリスクのほとんどを個人に移し</w:t>
      </w:r>
      <w:r w:rsidR="002F248B">
        <w:rPr>
          <w:rFonts w:hint="eastAsia"/>
        </w:rPr>
        <w:t>，</w:t>
      </w:r>
      <w:r>
        <w:rPr>
          <w:rFonts w:hint="eastAsia"/>
        </w:rPr>
        <w:t>制度のスポンサーから遠ざけるものである</w:t>
      </w:r>
      <w:r w:rsidR="002F248B">
        <w:rPr>
          <w:rFonts w:hint="eastAsia"/>
        </w:rPr>
        <w:t>．</w:t>
      </w:r>
      <w:r>
        <w:t>DC制度は</w:t>
      </w:r>
      <w:r w:rsidR="002F248B">
        <w:t>，</w:t>
      </w:r>
      <w:r>
        <w:t>個人のために投資資金を生み出し</w:t>
      </w:r>
      <w:r w:rsidR="002F248B">
        <w:t>，</w:t>
      </w:r>
      <w:r>
        <w:t>現役時代と退職後を通じて管理する必要がある</w:t>
      </w:r>
      <w:r w:rsidR="002F248B">
        <w:t>．</w:t>
      </w:r>
      <w:r>
        <w:t>TDFは</w:t>
      </w:r>
      <w:r w:rsidR="002F248B">
        <w:t>，</w:t>
      </w:r>
      <w:r>
        <w:t>多くの個人にとって</w:t>
      </w:r>
      <w:r w:rsidR="002F248B">
        <w:t>，</w:t>
      </w:r>
      <w:r>
        <w:t>残された人生の中で資産のポートフォリオを変更する手段として浮上してきた</w:t>
      </w:r>
      <w:r w:rsidR="002F248B">
        <w:t>．</w:t>
      </w:r>
      <w:r>
        <w:t>TDFは通常</w:t>
      </w:r>
      <w:r w:rsidR="002F248B">
        <w:t>，</w:t>
      </w:r>
      <w:r>
        <w:t>「グライドパス」を中心に構成されており</w:t>
      </w:r>
      <w:r w:rsidR="002F248B">
        <w:t>，</w:t>
      </w:r>
      <w:r>
        <w:t>個人の資金は</w:t>
      </w:r>
      <w:r w:rsidR="002F248B">
        <w:t>，</w:t>
      </w:r>
      <w:r>
        <w:t>若いうちは高リターンで高リスクの株式に主に投資され</w:t>
      </w:r>
      <w:r w:rsidR="002F248B">
        <w:t>，</w:t>
      </w:r>
      <w:r>
        <w:t>晩年はその割合を減らし</w:t>
      </w:r>
      <w:r w:rsidR="002F248B">
        <w:t>，</w:t>
      </w:r>
      <w:r>
        <w:t>低リスクの国債を中心に投資される</w:t>
      </w:r>
      <w:r w:rsidR="002F248B">
        <w:t>．</w:t>
      </w:r>
      <w:r w:rsidR="00D12110">
        <w:rPr>
          <w:rFonts w:hint="eastAsia"/>
        </w:rPr>
        <w:t>この経済的な動機は</w:t>
      </w:r>
      <w:r w:rsidR="002F248B">
        <w:rPr>
          <w:rFonts w:hint="eastAsia"/>
        </w:rPr>
        <w:t>，</w:t>
      </w:r>
      <w:r w:rsidR="00D12110">
        <w:rPr>
          <w:rFonts w:hint="eastAsia"/>
        </w:rPr>
        <w:t>若い投資家は</w:t>
      </w:r>
      <w:r w:rsidR="002F248B">
        <w:rPr>
          <w:rFonts w:hint="eastAsia"/>
        </w:rPr>
        <w:t>，</w:t>
      </w:r>
      <w:r w:rsidR="00D12110">
        <w:rPr>
          <w:rFonts w:hint="eastAsia"/>
        </w:rPr>
        <w:t>総資産のうち低リスクの人的資本の占める割合が大きいため</w:t>
      </w:r>
      <w:r w:rsidR="002F248B">
        <w:rPr>
          <w:rFonts w:hint="eastAsia"/>
        </w:rPr>
        <w:t>，</w:t>
      </w:r>
      <w:r w:rsidR="00D12110">
        <w:rPr>
          <w:rFonts w:hint="eastAsia"/>
        </w:rPr>
        <w:t>株式リスクに耐える能力が高いというものである</w:t>
      </w:r>
      <w:r w:rsidR="002F248B">
        <w:rPr>
          <w:rFonts w:hint="eastAsia"/>
        </w:rPr>
        <w:t>．</w:t>
      </w:r>
      <w:r w:rsidR="00D12110">
        <w:rPr>
          <w:rFonts w:hint="eastAsia"/>
        </w:rPr>
        <w:t>このようなライフサイクルを通じた株式保有パターンの議論は</w:t>
      </w:r>
      <w:r w:rsidR="002F248B">
        <w:rPr>
          <w:rFonts w:hint="eastAsia"/>
        </w:rPr>
        <w:t>，</w:t>
      </w:r>
      <w:r w:rsidR="00D12110">
        <w:rPr>
          <w:rFonts w:hint="eastAsia"/>
        </w:rPr>
        <w:t>もともと</w:t>
      </w:r>
      <w:r w:rsidR="00D12110">
        <w:t>Merton（1971）がSamuelson（1969）とMerton（1969）のモデルを発展させて行ったもので</w:t>
      </w:r>
      <w:r w:rsidR="002F248B">
        <w:t>，</w:t>
      </w:r>
      <w:r w:rsidR="00D12110">
        <w:t>消費者や投資家が生涯を通じてリスク資産の一定の割合を保有することを示唆するものであった</w:t>
      </w:r>
      <w:r w:rsidR="002F248B">
        <w:t>．</w:t>
      </w:r>
      <w:r w:rsidR="00D12110">
        <w:t>Mertonのアプローチは</w:t>
      </w:r>
      <w:r w:rsidR="002F248B">
        <w:t>，</w:t>
      </w:r>
      <w:proofErr w:type="spellStart"/>
      <w:r w:rsidR="00D12110">
        <w:t>Coccoetal</w:t>
      </w:r>
      <w:proofErr w:type="spellEnd"/>
      <w:r w:rsidR="00D12110">
        <w:t>(2005)によって</w:t>
      </w:r>
      <w:r w:rsidR="002F248B">
        <w:t>，</w:t>
      </w:r>
      <w:r w:rsidR="00D12110">
        <w:t>労働所得の不確実性と株式市場への</w:t>
      </w:r>
      <w:r w:rsidR="00D12110">
        <w:rPr>
          <w:rFonts w:hint="eastAsia"/>
        </w:rPr>
        <w:t>参加コストを考慮した</w:t>
      </w:r>
      <w:r w:rsidR="002F248B">
        <w:rPr>
          <w:rFonts w:hint="eastAsia"/>
        </w:rPr>
        <w:t>，</w:t>
      </w:r>
      <w:r w:rsidR="00D12110">
        <w:rPr>
          <w:rFonts w:hint="eastAsia"/>
        </w:rPr>
        <w:t>より現実的な形で発展させられている</w:t>
      </w:r>
      <w:r w:rsidR="002F248B">
        <w:rPr>
          <w:rFonts w:hint="eastAsia"/>
        </w:rPr>
        <w:t>．</w:t>
      </w:r>
      <w:r w:rsidR="00D12110">
        <w:rPr>
          <w:rFonts w:hint="eastAsia"/>
        </w:rPr>
        <w:t>この論文では</w:t>
      </w:r>
      <w:r w:rsidR="002F248B">
        <w:rPr>
          <w:rFonts w:hint="eastAsia"/>
        </w:rPr>
        <w:t>，</w:t>
      </w:r>
      <w:r w:rsidR="00D12110">
        <w:rPr>
          <w:rFonts w:hint="eastAsia"/>
        </w:rPr>
        <w:t>生涯を通じたリスク回避の提案と</w:t>
      </w:r>
      <w:r w:rsidR="002F248B">
        <w:rPr>
          <w:rFonts w:hint="eastAsia"/>
        </w:rPr>
        <w:t>，</w:t>
      </w:r>
      <w:r w:rsidR="00D12110">
        <w:rPr>
          <w:rFonts w:hint="eastAsia"/>
        </w:rPr>
        <w:t>退職後の資産圧縮段階において</w:t>
      </w:r>
      <w:r w:rsidR="00D12110">
        <w:t>TDFが提供するガイダンスを検証する</w:t>
      </w:r>
      <w:r w:rsidR="002F248B">
        <w:t>．</w:t>
      </w:r>
      <w:r w:rsidR="00D12110">
        <w:t>現役時代の最適なポートフォリオ選択の問題は</w:t>
      </w:r>
      <w:r w:rsidR="002F248B">
        <w:t>，</w:t>
      </w:r>
      <w:r w:rsidR="00D12110">
        <w:t>主に労働所得を通じて退職基金に定期的に拠出されるため複雑であり</w:t>
      </w:r>
      <w:r w:rsidR="002F248B">
        <w:t>，</w:t>
      </w:r>
      <w:r w:rsidR="00D12110">
        <w:t>ここでは取り上げない</w:t>
      </w:r>
      <w:r w:rsidR="002F248B">
        <w:t>．</w:t>
      </w:r>
    </w:p>
    <w:p w14:paraId="11598830" w14:textId="77777777" w:rsidR="00D12110" w:rsidRDefault="00D12110" w:rsidP="00D12110">
      <w:pPr>
        <w:pStyle w:val="a2"/>
      </w:pPr>
    </w:p>
    <w:p w14:paraId="196AD6DA" w14:textId="6C6FF9CD" w:rsidR="00D12110" w:rsidRDefault="00184C1E" w:rsidP="00D12110">
      <w:pPr>
        <w:pStyle w:val="a2"/>
      </w:pPr>
      <w:r w:rsidRPr="00184C1E">
        <w:rPr>
          <w:rFonts w:hint="eastAsia"/>
        </w:rPr>
        <w:t>広く普及している</w:t>
      </w:r>
      <w:r w:rsidRPr="00184C1E">
        <w:t>TDFの例として</w:t>
      </w:r>
      <w:r w:rsidR="002F248B">
        <w:t>，</w:t>
      </w:r>
      <w:r w:rsidRPr="00184C1E">
        <w:t>バンガード・グループが提供しているものがあり</w:t>
      </w:r>
      <w:r w:rsidR="002F248B">
        <w:t>，</w:t>
      </w:r>
      <w:proofErr w:type="spellStart"/>
      <w:r w:rsidRPr="00184C1E">
        <w:t>Donaldsonetal</w:t>
      </w:r>
      <w:proofErr w:type="spellEnd"/>
      <w:r w:rsidRPr="00184C1E">
        <w:t>(2015)で詳しく紹介されている</w:t>
      </w:r>
      <w:r w:rsidR="002F248B">
        <w:t>．</w:t>
      </w:r>
      <w:r w:rsidRPr="00184C1E">
        <w:t>これは</w:t>
      </w:r>
      <w:r w:rsidR="002F248B">
        <w:t>，</w:t>
      </w:r>
      <w:r w:rsidRPr="00184C1E">
        <w:t>退職後の資金を退職時に50%株式に投資し</w:t>
      </w:r>
      <w:r w:rsidR="002F248B">
        <w:t>，</w:t>
      </w:r>
      <w:r w:rsidRPr="00184C1E">
        <w:t>さらに7年後に30%に減らすというものである</w:t>
      </w:r>
      <w:r w:rsidR="002F248B">
        <w:t>．</w:t>
      </w:r>
      <w:r w:rsidRPr="00184C1E">
        <w:t>この数値は</w:t>
      </w:r>
      <w:r w:rsidR="002F248B">
        <w:t>，</w:t>
      </w:r>
      <w:r w:rsidRPr="00184C1E">
        <w:t>現役時代の最初の15年間は90％の株式投資を行い</w:t>
      </w:r>
      <w:r w:rsidR="002F248B">
        <w:t>，</w:t>
      </w:r>
      <w:r w:rsidRPr="00184C1E">
        <w:t>残りの25年間はグライドダウンを行うというものよりもかなり低いものである</w:t>
      </w:r>
      <w:r w:rsidR="002F248B">
        <w:t>．</w:t>
      </w:r>
      <w:r w:rsidRPr="00184C1E">
        <w:t>彼らの場合</w:t>
      </w:r>
      <w:r w:rsidR="002F248B">
        <w:t>，</w:t>
      </w:r>
      <w:r w:rsidRPr="00184C1E">
        <w:t>バンガードは理論モデル通り</w:t>
      </w:r>
      <w:r w:rsidR="002F248B">
        <w:t>，</w:t>
      </w:r>
      <w:r w:rsidRPr="00184C1E">
        <w:t>「時間を通じてのリスク管理を助けるために</w:t>
      </w:r>
      <w:r w:rsidR="002F248B">
        <w:t>，</w:t>
      </w:r>
      <w:r w:rsidRPr="00184C1E">
        <w:t>株式配分は年齢とともに減少すべきであるという理論的</w:t>
      </w:r>
      <w:r w:rsidRPr="00184C1E">
        <w:rPr>
          <w:rFonts w:hint="eastAsia"/>
        </w:rPr>
        <w:t>概念」</w:t>
      </w:r>
      <w:r w:rsidR="002F248B">
        <w:rPr>
          <w:rFonts w:hint="eastAsia"/>
        </w:rPr>
        <w:t>，</w:t>
      </w:r>
      <w:proofErr w:type="spellStart"/>
      <w:r w:rsidRPr="00184C1E">
        <w:lastRenderedPageBreak/>
        <w:t>Donaldsonetal</w:t>
      </w:r>
      <w:proofErr w:type="spellEnd"/>
      <w:r w:rsidRPr="00184C1E">
        <w:t>(2015,p4)に従っているのである</w:t>
      </w:r>
      <w:r w:rsidR="002F248B">
        <w:t>．</w:t>
      </w:r>
    </w:p>
    <w:p w14:paraId="3F3580D2" w14:textId="77777777" w:rsidR="00D12110" w:rsidRDefault="00D12110" w:rsidP="00D12110">
      <w:pPr>
        <w:pStyle w:val="a2"/>
      </w:pPr>
    </w:p>
    <w:p w14:paraId="671D437B" w14:textId="6B508C45" w:rsidR="006704FA" w:rsidRDefault="006704FA" w:rsidP="006704FA">
      <w:pPr>
        <w:pStyle w:val="a2"/>
      </w:pPr>
      <w:r>
        <w:rPr>
          <w:rFonts w:hint="eastAsia"/>
        </w:rPr>
        <w:t>しかし</w:t>
      </w:r>
      <w:r w:rsidR="002F248B">
        <w:rPr>
          <w:rFonts w:hint="eastAsia"/>
        </w:rPr>
        <w:t>，</w:t>
      </w:r>
      <w:r>
        <w:rPr>
          <w:rFonts w:hint="eastAsia"/>
        </w:rPr>
        <w:t>バンガード社や上記の文献とは逆のケース</w:t>
      </w:r>
      <w:r w:rsidR="002F248B">
        <w:rPr>
          <w:rFonts w:hint="eastAsia"/>
        </w:rPr>
        <w:t>，</w:t>
      </w:r>
      <w:r>
        <w:rPr>
          <w:rFonts w:hint="eastAsia"/>
        </w:rPr>
        <w:t>すなわち</w:t>
      </w:r>
      <w:r w:rsidR="002F248B">
        <w:rPr>
          <w:rFonts w:hint="eastAsia"/>
        </w:rPr>
        <w:t>，</w:t>
      </w:r>
      <w:r>
        <w:rPr>
          <w:rFonts w:hint="eastAsia"/>
        </w:rPr>
        <w:t>ライフサイクルの中で</w:t>
      </w:r>
      <w:r w:rsidR="002F248B">
        <w:rPr>
          <w:rFonts w:hint="eastAsia"/>
        </w:rPr>
        <w:t>，</w:t>
      </w:r>
      <w:r>
        <w:rPr>
          <w:rFonts w:hint="eastAsia"/>
        </w:rPr>
        <w:t>投資はより少ないものからより積極的なものへと移行すべきであると主張する重要な文献が存在する</w:t>
      </w:r>
      <w:r w:rsidR="002F248B">
        <w:rPr>
          <w:rFonts w:hint="eastAsia"/>
        </w:rPr>
        <w:t>．</w:t>
      </w:r>
      <w:r>
        <w:rPr>
          <w:rFonts w:hint="eastAsia"/>
        </w:rPr>
        <w:t>結局のところ</w:t>
      </w:r>
      <w:r w:rsidR="002F248B">
        <w:rPr>
          <w:rFonts w:hint="eastAsia"/>
        </w:rPr>
        <w:t>，</w:t>
      </w:r>
      <w:r>
        <w:t>Shiller（2005）が観察したように</w:t>
      </w:r>
      <w:r w:rsidR="002F248B">
        <w:t>，</w:t>
      </w:r>
      <w:r>
        <w:t>いくつかの代替的な仮定の下では</w:t>
      </w:r>
      <w:r w:rsidR="002F248B">
        <w:t>，</w:t>
      </w:r>
      <w:r>
        <w:t>若年層が株式にほとんど投資せず</w:t>
      </w:r>
      <w:r w:rsidR="002F248B">
        <w:t>，</w:t>
      </w:r>
      <w:r>
        <w:t>生涯にわたってその割合を増やしていくことが最適であるとされているのである</w:t>
      </w:r>
      <w:r w:rsidR="002F248B">
        <w:t>．</w:t>
      </w:r>
      <w:r>
        <w:t>Blanchett（2007）は</w:t>
      </w:r>
      <w:r w:rsidR="002F248B">
        <w:t>，</w:t>
      </w:r>
      <w:r>
        <w:t>固定資産配分と</w:t>
      </w:r>
      <w:r w:rsidR="002F248B">
        <w:t>，</w:t>
      </w:r>
      <w:r>
        <w:t>退職後に株式への配分を減らす様々な投資経路を比較している</w:t>
      </w:r>
      <w:r w:rsidR="002F248B">
        <w:t>．</w:t>
      </w:r>
      <w:r>
        <w:t>彼は</w:t>
      </w:r>
      <w:r w:rsidR="002F248B">
        <w:t>，</w:t>
      </w:r>
      <w:r>
        <w:t>退職後に株式投資を減らす傾向のある資産配分と比較して</w:t>
      </w:r>
      <w:r w:rsidR="002F248B">
        <w:t>，</w:t>
      </w:r>
      <w:r>
        <w:t>固定資産配分が優れた結果をもたらすことを見出している</w:t>
      </w:r>
      <w:r w:rsidR="002F248B">
        <w:t>．</w:t>
      </w:r>
      <w:proofErr w:type="spellStart"/>
      <w:r>
        <w:t>Arnott,Sherrerd,andWu</w:t>
      </w:r>
      <w:proofErr w:type="spellEnd"/>
      <w:r>
        <w:t>(2013)は</w:t>
      </w:r>
      <w:r w:rsidR="002F248B">
        <w:t>，</w:t>
      </w:r>
      <w:r>
        <w:t>ターゲット</w:t>
      </w:r>
      <w:r>
        <w:rPr>
          <w:rFonts w:hint="eastAsia"/>
        </w:rPr>
        <w:t>・</w:t>
      </w:r>
      <w:r>
        <w:t>デート</w:t>
      </w:r>
      <w:r>
        <w:rPr>
          <w:rFonts w:hint="eastAsia"/>
        </w:rPr>
        <w:t>・</w:t>
      </w:r>
      <w:r>
        <w:t>ファンドのグライドパスを逆手にとって株式の比率を高めることで</w:t>
      </w:r>
      <w:r w:rsidR="002F248B">
        <w:t>，</w:t>
      </w:r>
      <w:r>
        <w:t>投資家の最終的な資産水準がより高くなると主張している</w:t>
      </w:r>
      <w:r w:rsidR="002F248B">
        <w:t>．</w:t>
      </w:r>
      <w:r>
        <w:t>彼らは</w:t>
      </w:r>
      <w:r w:rsidR="002F248B">
        <w:t>，</w:t>
      </w:r>
      <w:r>
        <w:t>このアプローチは</w:t>
      </w:r>
      <w:r w:rsidR="002F248B">
        <w:t>，</w:t>
      </w:r>
      <w:r>
        <w:t>富の分布の左端においても</w:t>
      </w:r>
      <w:r w:rsidR="002F248B">
        <w:t>，</w:t>
      </w:r>
      <w:r>
        <w:t>従来のライフサイクル・アプローチよりも高</w:t>
      </w:r>
      <w:r>
        <w:rPr>
          <w:rFonts w:hint="eastAsia"/>
        </w:rPr>
        <w:t>い富のレベルをもたらすと主張している</w:t>
      </w:r>
      <w:r w:rsidR="002F248B">
        <w:rPr>
          <w:rFonts w:hint="eastAsia"/>
        </w:rPr>
        <w:t>．</w:t>
      </w:r>
    </w:p>
    <w:p w14:paraId="35F3B52A" w14:textId="77777777" w:rsidR="006704FA" w:rsidRDefault="006704FA" w:rsidP="006704FA">
      <w:pPr>
        <w:pStyle w:val="a2"/>
        <w:rPr>
          <w:rFonts w:hint="eastAsia"/>
        </w:rPr>
      </w:pPr>
    </w:p>
    <w:p w14:paraId="30267EA9" w14:textId="1456E09C" w:rsidR="00D12110" w:rsidRDefault="006704FA" w:rsidP="002D42F6">
      <w:pPr>
        <w:pStyle w:val="a2"/>
      </w:pPr>
      <w:r>
        <w:rPr>
          <w:rFonts w:hint="eastAsia"/>
        </w:rPr>
        <w:t>この論文では</w:t>
      </w:r>
      <w:r w:rsidR="002F248B">
        <w:rPr>
          <w:rFonts w:hint="eastAsia"/>
        </w:rPr>
        <w:t>，</w:t>
      </w:r>
      <w:r>
        <w:rPr>
          <w:rFonts w:hint="eastAsia"/>
        </w:rPr>
        <w:t>約</w:t>
      </w:r>
      <w:r>
        <w:t>100年にわたる米国株式の月次データを用いて</w:t>
      </w:r>
      <w:r w:rsidR="002F248B">
        <w:t>，</w:t>
      </w:r>
      <w:r>
        <w:t>投資家のライフサイクルを分析した</w:t>
      </w:r>
      <w:r w:rsidR="002F248B">
        <w:t>．</w:t>
      </w:r>
      <w:r w:rsidR="002D42F6">
        <w:rPr>
          <w:rFonts w:hint="eastAsia"/>
        </w:rPr>
        <w:t>この論文では</w:t>
      </w:r>
      <w:r w:rsidR="002F248B">
        <w:rPr>
          <w:rFonts w:hint="eastAsia"/>
        </w:rPr>
        <w:t>，</w:t>
      </w:r>
      <w:r w:rsidR="002D42F6">
        <w:rPr>
          <w:rFonts w:hint="eastAsia"/>
        </w:rPr>
        <w:t>約</w:t>
      </w:r>
      <w:r w:rsidR="002D42F6">
        <w:t>1世紀にわたる米国の株式</w:t>
      </w:r>
      <w:r w:rsidR="002F248B">
        <w:t>，</w:t>
      </w:r>
      <w:r w:rsidR="002D42F6">
        <w:t>社債</w:t>
      </w:r>
      <w:r w:rsidR="002F248B">
        <w:t>，</w:t>
      </w:r>
      <w:r w:rsidR="002D42F6">
        <w:t>国債の月次リターンのデータを用いて</w:t>
      </w:r>
      <w:r w:rsidR="002F248B">
        <w:t>，</w:t>
      </w:r>
      <w:r w:rsidR="002D42F6">
        <w:t>確定拠出年金制度を通じて退職後に投資される資金の減額について</w:t>
      </w:r>
      <w:r w:rsidR="002F248B">
        <w:t>，</w:t>
      </w:r>
      <w:r w:rsidR="002D42F6">
        <w:t>一般的な投資戦略の代替策の影響を検証している</w:t>
      </w:r>
      <w:r w:rsidR="002F248B">
        <w:t>．</w:t>
      </w:r>
      <w:r w:rsidR="002D42F6">
        <w:rPr>
          <w:rFonts w:hint="eastAsia"/>
        </w:rPr>
        <w:t>この結果は</w:t>
      </w:r>
      <w:r w:rsidR="002F248B">
        <w:rPr>
          <w:rFonts w:hint="eastAsia"/>
        </w:rPr>
        <w:t>，</w:t>
      </w:r>
      <w:r w:rsidR="002D42F6">
        <w:rPr>
          <w:rFonts w:hint="eastAsia"/>
        </w:rPr>
        <w:t>基金</w:t>
      </w:r>
      <w:r w:rsidR="002F248B">
        <w:rPr>
          <w:rFonts w:hint="eastAsia"/>
        </w:rPr>
        <w:t>，</w:t>
      </w:r>
      <w:r w:rsidR="002D42F6">
        <w:rPr>
          <w:rFonts w:hint="eastAsia"/>
        </w:rPr>
        <w:t>慈善団体</w:t>
      </w:r>
      <w:r w:rsidR="002F248B">
        <w:rPr>
          <w:rFonts w:hint="eastAsia"/>
        </w:rPr>
        <w:t>，</w:t>
      </w:r>
      <w:r w:rsidR="002D42F6">
        <w:rPr>
          <w:rFonts w:hint="eastAsia"/>
        </w:rPr>
        <w:t>個人富裕層</w:t>
      </w:r>
      <w:r w:rsidR="002F248B">
        <w:rPr>
          <w:rFonts w:hint="eastAsia"/>
        </w:rPr>
        <w:t>，</w:t>
      </w:r>
      <w:r w:rsidR="002D42F6">
        <w:rPr>
          <w:rFonts w:hint="eastAsia"/>
        </w:rPr>
        <w:t>あるいは定期的な引き出しが必要な状況にも同様に適用できる</w:t>
      </w:r>
      <w:r w:rsidR="002F248B">
        <w:rPr>
          <w:rFonts w:hint="eastAsia"/>
        </w:rPr>
        <w:t>．</w:t>
      </w:r>
      <w:r w:rsidR="002D42F6">
        <w:rPr>
          <w:rFonts w:hint="eastAsia"/>
        </w:rPr>
        <w:t>我々は</w:t>
      </w:r>
      <w:r w:rsidR="002F248B">
        <w:rPr>
          <w:rFonts w:hint="eastAsia"/>
        </w:rPr>
        <w:t>，</w:t>
      </w:r>
      <w:r w:rsidR="002D42F6">
        <w:rPr>
          <w:rFonts w:hint="eastAsia"/>
        </w:rPr>
        <w:t>完全撤退率（</w:t>
      </w:r>
      <w:r w:rsidR="002D42F6">
        <w:t>PWR）</w:t>
      </w:r>
      <w:r w:rsidR="002F248B">
        <w:t>，</w:t>
      </w:r>
      <w:r w:rsidR="002D42F6">
        <w:t>すなわち</w:t>
      </w:r>
      <w:r w:rsidR="002F248B">
        <w:t>，</w:t>
      </w:r>
      <w:r w:rsidR="002D42F6">
        <w:t>リターンを完全に予見し</w:t>
      </w:r>
      <w:r w:rsidR="002F248B">
        <w:t>，</w:t>
      </w:r>
      <w:r w:rsidR="002D42F6">
        <w:t>期間終了時に自分の富をゼロにした場合に可能な最大年間撤退率に焦点を当てて</w:t>
      </w:r>
      <w:r w:rsidR="002F248B">
        <w:t>，</w:t>
      </w:r>
      <w:r w:rsidR="002D42F6">
        <w:t>持続可能な撤退を分析する（Suarezetal,2015,Clareetal,2017を参照）</w:t>
      </w:r>
      <w:r w:rsidR="002F248B">
        <w:t>．</w:t>
      </w:r>
      <w:proofErr w:type="spellStart"/>
      <w:r w:rsidR="002D42F6">
        <w:t>Bengen</w:t>
      </w:r>
      <w:proofErr w:type="spellEnd"/>
      <w:r w:rsidR="002D42F6">
        <w:t>（1994）の「4％ルール」や国際比較のための</w:t>
      </w:r>
      <w:proofErr w:type="spellStart"/>
      <w:r w:rsidR="002D42F6">
        <w:t>Blanchettetal</w:t>
      </w:r>
      <w:proofErr w:type="spellEnd"/>
      <w:r w:rsidR="002D42F6">
        <w:t>（2016）を含む特定の「安全な」引き出し率の実行可能性を詳細に検証している</w:t>
      </w:r>
      <w:r w:rsidR="002F248B">
        <w:t>．</w:t>
      </w:r>
      <w:r w:rsidR="002D42F6">
        <w:rPr>
          <w:rFonts w:hint="eastAsia"/>
        </w:rPr>
        <w:t>可能な引き出し率にダメージを与えるシークエンスリスク（</w:t>
      </w:r>
      <w:r w:rsidR="002D42F6">
        <w:t>Clareetal,2017参照）の役割を強調し</w:t>
      </w:r>
      <w:r w:rsidR="002F248B">
        <w:t>，</w:t>
      </w:r>
      <w:r w:rsidR="002D42F6">
        <w:t>安全な引き出し経験を強化する方法を探る</w:t>
      </w:r>
      <w:r w:rsidR="002F248B">
        <w:t>．</w:t>
      </w:r>
      <w:r w:rsidR="002D42F6">
        <w:rPr>
          <w:rFonts w:hint="eastAsia"/>
        </w:rPr>
        <w:t>シーケンス・リスクとは</w:t>
      </w:r>
      <w:r w:rsidR="002F248B">
        <w:rPr>
          <w:rFonts w:hint="eastAsia"/>
        </w:rPr>
        <w:t>，</w:t>
      </w:r>
      <w:r w:rsidR="002D42F6">
        <w:rPr>
          <w:rFonts w:hint="eastAsia"/>
        </w:rPr>
        <w:t>悪いポートフォリオ・リターンが最悪のタイミング</w:t>
      </w:r>
      <w:r w:rsidR="002F248B">
        <w:rPr>
          <w:rFonts w:hint="eastAsia"/>
        </w:rPr>
        <w:t>，</w:t>
      </w:r>
      <w:r w:rsidR="002D42F6">
        <w:rPr>
          <w:rFonts w:hint="eastAsia"/>
        </w:rPr>
        <w:t>例えば退職直前や退職後に発生する可能性のことである</w:t>
      </w:r>
      <w:r w:rsidR="002F248B">
        <w:rPr>
          <w:rFonts w:hint="eastAsia"/>
        </w:rPr>
        <w:t>．</w:t>
      </w:r>
      <w:r w:rsidR="002D42F6">
        <w:rPr>
          <w:rFonts w:hint="eastAsia"/>
        </w:rPr>
        <w:t>これまでの退職に関する文献の多くは</w:t>
      </w:r>
      <w:r w:rsidR="002F248B">
        <w:rPr>
          <w:rFonts w:hint="eastAsia"/>
        </w:rPr>
        <w:t>，</w:t>
      </w:r>
      <w:r w:rsidR="002D42F6">
        <w:rPr>
          <w:rFonts w:hint="eastAsia"/>
        </w:rPr>
        <w:t>持続可能な引き出し</w:t>
      </w:r>
      <w:r w:rsidR="002F248B">
        <w:rPr>
          <w:rFonts w:hint="eastAsia"/>
        </w:rPr>
        <w:t>，</w:t>
      </w:r>
      <w:r w:rsidR="002D42F6">
        <w:rPr>
          <w:rFonts w:hint="eastAsia"/>
        </w:rPr>
        <w:t>長寿</w:t>
      </w:r>
      <w:r w:rsidR="002F248B">
        <w:rPr>
          <w:rFonts w:hint="eastAsia"/>
        </w:rPr>
        <w:t>，</w:t>
      </w:r>
      <w:r w:rsidR="002D42F6">
        <w:rPr>
          <w:rFonts w:hint="eastAsia"/>
        </w:rPr>
        <w:t>ポートフォリオ投資リターンの関係を探る際に</w:t>
      </w:r>
      <w:r w:rsidR="002F248B">
        <w:rPr>
          <w:rFonts w:hint="eastAsia"/>
        </w:rPr>
        <w:t>，</w:t>
      </w:r>
      <w:r w:rsidR="002D42F6">
        <w:rPr>
          <w:rFonts w:hint="eastAsia"/>
        </w:rPr>
        <w:t>例えば</w:t>
      </w:r>
      <w:r w:rsidR="002D42F6">
        <w:t>Estrada(2017b),footnote9のように</w:t>
      </w:r>
      <w:r w:rsidR="002F248B">
        <w:t>，</w:t>
      </w:r>
      <w:r w:rsidR="002D42F6">
        <w:t>年ごとのリターンが一定という単純化した仮定を置いている</w:t>
      </w:r>
      <w:r w:rsidR="002F248B">
        <w:t>．</w:t>
      </w:r>
      <w:r w:rsidR="002D42F6">
        <w:t>このアプローチは</w:t>
      </w:r>
      <w:r w:rsidR="002F248B">
        <w:t>，</w:t>
      </w:r>
      <w:r w:rsidR="002D42F6">
        <w:t>経路依存性の役割を省いている点で明らかに間違っている</w:t>
      </w:r>
      <w:r w:rsidR="002F248B">
        <w:t>．</w:t>
      </w:r>
    </w:p>
    <w:p w14:paraId="5CF213CB" w14:textId="77777777" w:rsidR="002D42F6" w:rsidRDefault="002D42F6" w:rsidP="002D42F6">
      <w:pPr>
        <w:pStyle w:val="a2"/>
      </w:pPr>
    </w:p>
    <w:p w14:paraId="496CF768" w14:textId="0F42D791" w:rsidR="002D42F6" w:rsidRDefault="007A12D2" w:rsidP="007A12D2">
      <w:pPr>
        <w:pStyle w:val="a2"/>
      </w:pPr>
      <w:r>
        <w:rPr>
          <w:rFonts w:hint="eastAsia"/>
        </w:rPr>
        <w:t>基本的な洞察によれば</w:t>
      </w:r>
      <w:r w:rsidR="002F248B">
        <w:rPr>
          <w:rFonts w:hint="eastAsia"/>
        </w:rPr>
        <w:t>，</w:t>
      </w:r>
      <w:r>
        <w:rPr>
          <w:rFonts w:hint="eastAsia"/>
        </w:rPr>
        <w:t>資産全体の分散がリスク低減の道筋である可能性がある</w:t>
      </w:r>
      <w:r w:rsidR="002F248B">
        <w:rPr>
          <w:rFonts w:hint="eastAsia"/>
        </w:rPr>
        <w:t>．</w:t>
      </w:r>
      <w:r>
        <w:rPr>
          <w:rFonts w:hint="eastAsia"/>
        </w:rPr>
        <w:t>しかし</w:t>
      </w:r>
      <w:r w:rsidR="002F248B">
        <w:rPr>
          <w:rFonts w:hint="eastAsia"/>
        </w:rPr>
        <w:t>，</w:t>
      </w:r>
      <w:r>
        <w:rPr>
          <w:rFonts w:hint="eastAsia"/>
        </w:rPr>
        <w:t>ローが上記の引用で示唆しているように</w:t>
      </w:r>
      <w:r w:rsidR="002F248B">
        <w:rPr>
          <w:rFonts w:hint="eastAsia"/>
        </w:rPr>
        <w:t>，</w:t>
      </w:r>
      <w:r>
        <w:rPr>
          <w:rFonts w:hint="eastAsia"/>
        </w:rPr>
        <w:t>資産クラス間の分散はもはや十分ではなく</w:t>
      </w:r>
      <w:r w:rsidR="002F248B">
        <w:rPr>
          <w:rFonts w:hint="eastAsia"/>
        </w:rPr>
        <w:t>，</w:t>
      </w:r>
      <w:r>
        <w:rPr>
          <w:rFonts w:hint="eastAsia"/>
        </w:rPr>
        <w:t>端的に言えば</w:t>
      </w:r>
      <w:r w:rsidR="002F248B">
        <w:rPr>
          <w:rFonts w:hint="eastAsia"/>
        </w:rPr>
        <w:t>，</w:t>
      </w:r>
      <w:r>
        <w:rPr>
          <w:rFonts w:hint="eastAsia"/>
        </w:rPr>
        <w:t>世界はあまりにも不安定なのです</w:t>
      </w:r>
      <w:r w:rsidR="002F248B">
        <w:rPr>
          <w:rFonts w:hint="eastAsia"/>
        </w:rPr>
        <w:t>．</w:t>
      </w:r>
      <w:r>
        <w:rPr>
          <w:rFonts w:hint="eastAsia"/>
        </w:rPr>
        <w:t>このことは</w:t>
      </w:r>
      <w:r w:rsidR="002F248B">
        <w:rPr>
          <w:rFonts w:hint="eastAsia"/>
        </w:rPr>
        <w:t>，</w:t>
      </w:r>
      <w:r>
        <w:rPr>
          <w:rFonts w:hint="eastAsia"/>
        </w:rPr>
        <w:t>過去</w:t>
      </w:r>
      <w:r>
        <w:t>10年間におけるターゲット・デートや類似のライフスタイル投資戦略の大失敗によって劇的に明らかになった（Dhillonetal,2016を参照）</w:t>
      </w:r>
      <w:r w:rsidR="002F248B">
        <w:t>．</w:t>
      </w:r>
      <w:r>
        <w:rPr>
          <w:rFonts w:hint="eastAsia"/>
        </w:rPr>
        <w:t>パッシブであれアクティブであれ</w:t>
      </w:r>
      <w:r w:rsidR="002F248B">
        <w:rPr>
          <w:rFonts w:hint="eastAsia"/>
        </w:rPr>
        <w:t>，</w:t>
      </w:r>
      <w:r>
        <w:rPr>
          <w:rFonts w:hint="eastAsia"/>
        </w:rPr>
        <w:t>長期専用ポートフォリオは定期的に（しかし予測不可能な）大幅なドローダウンに見舞われることは避けられない</w:t>
      </w:r>
      <w:r w:rsidR="002F248B">
        <w:rPr>
          <w:rFonts w:hint="eastAsia"/>
        </w:rPr>
        <w:t>．</w:t>
      </w:r>
      <w:r>
        <w:rPr>
          <w:rFonts w:hint="eastAsia"/>
        </w:rPr>
        <w:t>ハーバード大学やイェール大学の基金の有名で賢い分散ポートフォリオでさえ</w:t>
      </w:r>
      <w:r w:rsidR="002F248B">
        <w:rPr>
          <w:rFonts w:hint="eastAsia"/>
        </w:rPr>
        <w:t>，</w:t>
      </w:r>
      <w:r>
        <w:t>2008/9年頃には30％近いドローダウンに見舞われた</w:t>
      </w:r>
      <w:r w:rsidR="002F248B">
        <w:t>．</w:t>
      </w:r>
      <w:r>
        <w:t>その後</w:t>
      </w:r>
      <w:r w:rsidR="002F248B">
        <w:t>，</w:t>
      </w:r>
      <w:r>
        <w:t>職員のレイオフや資本プロジェクトの中止により</w:t>
      </w:r>
      <w:r w:rsidR="002F248B">
        <w:t>，</w:t>
      </w:r>
      <w:r>
        <w:t>これらの機関には非常に大きな影響がもたらされた</w:t>
      </w:r>
      <w:r w:rsidR="002F248B">
        <w:t>．</w:t>
      </w:r>
    </w:p>
    <w:p w14:paraId="11AD66FA" w14:textId="77777777" w:rsidR="002D42F6" w:rsidRDefault="002D42F6" w:rsidP="002D42F6">
      <w:pPr>
        <w:pStyle w:val="a2"/>
      </w:pPr>
    </w:p>
    <w:p w14:paraId="6E28CB78" w14:textId="6377D5DF" w:rsidR="002D42F6" w:rsidRDefault="00D53839" w:rsidP="00D53839">
      <w:pPr>
        <w:pStyle w:val="a2"/>
      </w:pPr>
      <w:r>
        <w:rPr>
          <w:rFonts w:hint="eastAsia"/>
        </w:rPr>
        <w:t>我々は</w:t>
      </w:r>
      <w:r w:rsidR="002F248B">
        <w:rPr>
          <w:rFonts w:hint="eastAsia"/>
        </w:rPr>
        <w:t>，</w:t>
      </w:r>
      <w:r>
        <w:t>1925年以来</w:t>
      </w:r>
      <w:r w:rsidR="002F248B">
        <w:t>，</w:t>
      </w:r>
      <w:r>
        <w:t>米国のTDFにおいて</w:t>
      </w:r>
      <w:r w:rsidR="002F248B">
        <w:t>，</w:t>
      </w:r>
      <w:r>
        <w:t>従来の債券-株式ポートフォリオに対するグライドパス投資と関連した引き出し経験を調査している</w:t>
      </w:r>
      <w:r w:rsidR="002F248B">
        <w:t>．</w:t>
      </w:r>
      <w:r>
        <w:t>それは</w:t>
      </w:r>
      <w:r w:rsidR="002F248B">
        <w:t>，</w:t>
      </w:r>
      <w:r>
        <w:t>単純な絶対的モメンタムやトレンドフォローの手法によって個々の資産のリターンを平滑化することは</w:t>
      </w:r>
      <w:r w:rsidR="002F248B">
        <w:t>，</w:t>
      </w:r>
      <w:r>
        <w:t>しばしば年率50%もの引き出し率を向上させる強力な手段であるということである！また</w:t>
      </w:r>
      <w:r w:rsidR="002F248B">
        <w:t>，</w:t>
      </w:r>
      <w:r>
        <w:t>おそらく社会的な関連性がより高いのは</w:t>
      </w:r>
      <w:r w:rsidR="002F248B">
        <w:t>，</w:t>
      </w:r>
      <w:r>
        <w:t>個々の資産のリターンを平滑化することによって</w:t>
      </w:r>
      <w:r w:rsidR="002F248B">
        <w:t>，</w:t>
      </w:r>
      <w:r>
        <w:t>引き出し率を向上させることができるということである</w:t>
      </w:r>
      <w:r w:rsidR="002F248B">
        <w:t>．</w:t>
      </w:r>
      <w:r>
        <w:t>そして</w:t>
      </w:r>
      <w:r w:rsidR="002F248B">
        <w:t>，</w:t>
      </w:r>
      <w:r>
        <w:t>おそらくより大きな社会的意義は</w:t>
      </w:r>
      <w:r w:rsidR="002F248B">
        <w:t>，</w:t>
      </w:r>
      <w:r>
        <w:t>不幸な引き出</w:t>
      </w:r>
      <w:r>
        <w:rPr>
          <w:rFonts w:hint="eastAsia"/>
        </w:rPr>
        <w:t>し率の経験</w:t>
      </w:r>
      <w:r w:rsidR="002F248B">
        <w:rPr>
          <w:rFonts w:hint="eastAsia"/>
        </w:rPr>
        <w:t>，</w:t>
      </w:r>
      <w:r>
        <w:rPr>
          <w:rFonts w:hint="eastAsia"/>
        </w:rPr>
        <w:t>すなわち</w:t>
      </w:r>
      <w:r w:rsidR="002F248B">
        <w:rPr>
          <w:rFonts w:hint="eastAsia"/>
        </w:rPr>
        <w:t>，</w:t>
      </w:r>
      <w:r>
        <w:rPr>
          <w:rFonts w:hint="eastAsia"/>
        </w:rPr>
        <w:t>退職の早い段階でリターンが悪いという不運の「レフトテール」を取り除くことができることであろう</w:t>
      </w:r>
      <w:r w:rsidR="002F248B">
        <w:rPr>
          <w:rFonts w:hint="eastAsia"/>
        </w:rPr>
        <w:t>．</w:t>
      </w:r>
      <w:r>
        <w:rPr>
          <w:rFonts w:hint="eastAsia"/>
        </w:rPr>
        <w:t>我々は</w:t>
      </w:r>
      <w:r w:rsidR="002F248B">
        <w:rPr>
          <w:rFonts w:hint="eastAsia"/>
        </w:rPr>
        <w:t>，</w:t>
      </w:r>
      <w:r>
        <w:rPr>
          <w:rFonts w:hint="eastAsia"/>
        </w:rPr>
        <w:t>資産と現金を体系的に切り替えることによって資産を長期的に分散する</w:t>
      </w:r>
      <w:r>
        <w:rPr>
          <w:rFonts w:hint="eastAsia"/>
        </w:rPr>
        <w:lastRenderedPageBreak/>
        <w:t>ことが</w:t>
      </w:r>
      <w:r w:rsidR="002F248B">
        <w:rPr>
          <w:rFonts w:hint="eastAsia"/>
        </w:rPr>
        <w:t>，</w:t>
      </w:r>
      <w:r>
        <w:rPr>
          <w:rFonts w:hint="eastAsia"/>
        </w:rPr>
        <w:t>資産クラス間でポートフォリオを分散することよりも</w:t>
      </w:r>
      <w:r w:rsidR="002F248B">
        <w:rPr>
          <w:rFonts w:hint="eastAsia"/>
        </w:rPr>
        <w:t>，</w:t>
      </w:r>
      <w:r>
        <w:rPr>
          <w:rFonts w:hint="eastAsia"/>
        </w:rPr>
        <w:t>退職後の所得経験にとって潜在的に重要であることを示す</w:t>
      </w:r>
      <w:r w:rsidR="002F248B">
        <w:rPr>
          <w:rFonts w:hint="eastAsia"/>
        </w:rPr>
        <w:t>．</w:t>
      </w:r>
      <w:r>
        <w:rPr>
          <w:rFonts w:hint="eastAsia"/>
        </w:rPr>
        <w:t>また</w:t>
      </w:r>
      <w:r w:rsidR="002F248B">
        <w:rPr>
          <w:rFonts w:hint="eastAsia"/>
        </w:rPr>
        <w:t>，</w:t>
      </w:r>
      <w:r>
        <w:rPr>
          <w:rFonts w:hint="eastAsia"/>
        </w:rPr>
        <w:t>グライドパス投資が賢明なのは</w:t>
      </w:r>
      <w:r w:rsidR="002F248B">
        <w:rPr>
          <w:rFonts w:hint="eastAsia"/>
        </w:rPr>
        <w:t>，</w:t>
      </w:r>
      <w:r>
        <w:rPr>
          <w:rFonts w:hint="eastAsia"/>
        </w:rPr>
        <w:t>目標期日から数年以内に限られることも示した</w:t>
      </w:r>
      <w:r w:rsidR="002F248B">
        <w:rPr>
          <w:rFonts w:hint="eastAsia"/>
        </w:rPr>
        <w:t>．</w:t>
      </w:r>
      <w:r>
        <w:rPr>
          <w:rFonts w:hint="eastAsia"/>
        </w:rPr>
        <w:t>この発見は</w:t>
      </w:r>
      <w:r w:rsidR="002F248B">
        <w:rPr>
          <w:rFonts w:hint="eastAsia"/>
        </w:rPr>
        <w:t>，</w:t>
      </w:r>
      <w:r>
        <w:rPr>
          <w:rFonts w:hint="eastAsia"/>
        </w:rPr>
        <w:t>上記の文献で敵対視されつつあるターゲット・デート投資への熱狂的な支持につながるものである</w:t>
      </w:r>
      <w:r w:rsidR="002F248B">
        <w:rPr>
          <w:rFonts w:hint="eastAsia"/>
        </w:rPr>
        <w:t>．</w:t>
      </w:r>
    </w:p>
    <w:p w14:paraId="1C9E1800" w14:textId="77777777" w:rsidR="002D42F6" w:rsidRDefault="002D42F6" w:rsidP="002D42F6">
      <w:pPr>
        <w:pStyle w:val="a2"/>
        <w:rPr>
          <w:rFonts w:hint="eastAsia"/>
        </w:rPr>
      </w:pPr>
    </w:p>
    <w:p w14:paraId="33CB4FC2" w14:textId="5610B678" w:rsidR="004B3D0F" w:rsidRDefault="004B3D0F" w:rsidP="0049693E">
      <w:pPr>
        <w:pStyle w:val="a2"/>
        <w:rPr>
          <w:rFonts w:hint="eastAsia"/>
        </w:rPr>
      </w:pPr>
      <w:r>
        <w:rPr>
          <w:rFonts w:hint="eastAsia"/>
        </w:rPr>
        <w:t>ここで得られた知見は</w:t>
      </w:r>
      <w:r w:rsidR="002F248B">
        <w:rPr>
          <w:rFonts w:hint="eastAsia"/>
        </w:rPr>
        <w:t>，</w:t>
      </w:r>
      <w:r>
        <w:rPr>
          <w:rFonts w:hint="eastAsia"/>
        </w:rPr>
        <w:t>現在の退職金業界が直面しているいくつかの重要な問題と直接関連するものです</w:t>
      </w:r>
      <w:r w:rsidR="002F248B">
        <w:rPr>
          <w:rFonts w:hint="eastAsia"/>
        </w:rPr>
        <w:t>．</w:t>
      </w:r>
    </w:p>
    <w:p w14:paraId="3786F93A" w14:textId="2AFA0AA2" w:rsidR="004B3D0F" w:rsidRDefault="004B3D0F" w:rsidP="0049693E">
      <w:pPr>
        <w:pStyle w:val="a2"/>
        <w:numPr>
          <w:ilvl w:val="0"/>
          <w:numId w:val="46"/>
        </w:numPr>
        <w:ind w:firstLineChars="0"/>
      </w:pPr>
      <w:r>
        <w:t>退職期が始まったら</w:t>
      </w:r>
      <w:r w:rsidR="002F248B">
        <w:t>，</w:t>
      </w:r>
      <w:r>
        <w:t>ポートフォリオの構成を債券にシフトすべきか？Glidepathや</w:t>
      </w:r>
      <w:proofErr w:type="spellStart"/>
      <w:r>
        <w:t>Targetdate</w:t>
      </w:r>
      <w:proofErr w:type="spellEnd"/>
      <w:r>
        <w:t>を適用する可能性は？我々は</w:t>
      </w:r>
      <w:r w:rsidR="002F248B">
        <w:t>，</w:t>
      </w:r>
      <w:r>
        <w:t>異なるポートフォリオ構成と時間軸に関連する引き出し率の分布について考察します</w:t>
      </w:r>
      <w:r w:rsidR="002F248B">
        <w:t>．</w:t>
      </w:r>
    </w:p>
    <w:p w14:paraId="5013EE01" w14:textId="2B489CCB" w:rsidR="004B3D0F" w:rsidRDefault="004B3D0F" w:rsidP="0049693E">
      <w:pPr>
        <w:pStyle w:val="a2"/>
        <w:numPr>
          <w:ilvl w:val="0"/>
          <w:numId w:val="46"/>
        </w:numPr>
        <w:ind w:firstLineChars="0"/>
      </w:pPr>
      <w:r>
        <w:t>上記（</w:t>
      </w:r>
      <w:proofErr w:type="spellStart"/>
      <w:r>
        <w:t>i</w:t>
      </w:r>
      <w:proofErr w:type="spellEnd"/>
      <w:r>
        <w:t>）の答えが一般的に「ノー」であったとしても</w:t>
      </w:r>
      <w:r w:rsidR="002F248B">
        <w:t>，</w:t>
      </w:r>
      <w:r>
        <w:t>「グライド」を開始すべき短い計画地平はあるか？たとえそれがここ2</w:t>
      </w:r>
      <w:r w:rsidR="002F248B">
        <w:t>，</w:t>
      </w:r>
      <w:r>
        <w:t>3年の間だけであっても？</w:t>
      </w:r>
    </w:p>
    <w:p w14:paraId="34E60AA0" w14:textId="0565A5F8" w:rsidR="00D12110" w:rsidRDefault="004B3D0F" w:rsidP="0049693E">
      <w:pPr>
        <w:pStyle w:val="a2"/>
        <w:numPr>
          <w:ilvl w:val="0"/>
          <w:numId w:val="46"/>
        </w:numPr>
        <w:ind w:firstLineChars="0"/>
      </w:pPr>
      <w:r>
        <w:t>そして</w:t>
      </w:r>
      <w:r w:rsidR="002F248B">
        <w:t>，</w:t>
      </w:r>
      <w:r>
        <w:t>ポートフォリオの中で（長いだけの）債券と株式を使うよりも良いことができるのか？決定的なのは</w:t>
      </w:r>
      <w:r w:rsidR="002F248B">
        <w:t>，</w:t>
      </w:r>
      <w:r>
        <w:t>ドローダウンを減らし</w:t>
      </w:r>
      <w:r w:rsidR="002F248B">
        <w:t>，</w:t>
      </w:r>
      <w:r>
        <w:t>リターンを滑らかにするために</w:t>
      </w:r>
      <w:r w:rsidR="002F248B">
        <w:t>，</w:t>
      </w:r>
      <w:r>
        <w:t>時に現金に切り替えることの利点があるとすれば</w:t>
      </w:r>
      <w:r w:rsidR="002F248B">
        <w:t>，</w:t>
      </w:r>
      <w:r>
        <w:t>それは何でしょうか？トレンドフォローのような体系的な平滑化ルールは</w:t>
      </w:r>
      <w:r w:rsidR="002F248B">
        <w:t>，</w:t>
      </w:r>
      <w:r>
        <w:t>優れたデキュムレーションジャーニーを提供するのだろうか？その答えは</w:t>
      </w:r>
      <w:r w:rsidR="002F248B">
        <w:t>，</w:t>
      </w:r>
      <w:r>
        <w:t>最も説得力のある「イエス」である</w:t>
      </w:r>
      <w:r w:rsidR="002F248B">
        <w:t>．</w:t>
      </w:r>
    </w:p>
    <w:p w14:paraId="5DA3DEC8" w14:textId="77777777" w:rsidR="00402DAA" w:rsidRDefault="00402DAA" w:rsidP="00D12110">
      <w:pPr>
        <w:pStyle w:val="a2"/>
      </w:pPr>
    </w:p>
    <w:p w14:paraId="79B3D76C" w14:textId="1178841F" w:rsidR="00402DAA" w:rsidRDefault="00C57355" w:rsidP="00C57355">
      <w:pPr>
        <w:pStyle w:val="a2"/>
      </w:pPr>
      <w:r>
        <w:rPr>
          <w:rFonts w:hint="eastAsia"/>
        </w:rPr>
        <w:t>本稿の構成は以下の通りである</w:t>
      </w:r>
      <w:r w:rsidR="002F248B">
        <w:rPr>
          <w:rFonts w:hint="eastAsia"/>
        </w:rPr>
        <w:t>．</w:t>
      </w:r>
      <w:r>
        <w:rPr>
          <w:rFonts w:hint="eastAsia"/>
        </w:rPr>
        <w:t>第</w:t>
      </w:r>
      <w:r>
        <w:t>2節では</w:t>
      </w:r>
      <w:r w:rsidR="002F248B">
        <w:t>，</w:t>
      </w:r>
      <w:r>
        <w:t>退職者が直面する退職後の主な問題</w:t>
      </w:r>
      <w:r w:rsidR="002F248B">
        <w:t>，</w:t>
      </w:r>
      <w:r>
        <w:t>すなわち</w:t>
      </w:r>
      <w:r w:rsidR="002F248B">
        <w:t>，</w:t>
      </w:r>
      <w:r>
        <w:t>退職後のポートフォリオの選択</w:t>
      </w:r>
      <w:r w:rsidR="002F248B">
        <w:t>，</w:t>
      </w:r>
      <w:r>
        <w:t>シーケンス</w:t>
      </w:r>
      <w:r w:rsidR="003339DC">
        <w:rPr>
          <w:rFonts w:hint="eastAsia"/>
        </w:rPr>
        <w:t>・</w:t>
      </w:r>
      <w:r>
        <w:t>リスクの役割と性質</w:t>
      </w:r>
      <w:r w:rsidR="002F248B">
        <w:t>，</w:t>
      </w:r>
      <w:r>
        <w:t>従来の株式および債券ポートフォリオにトレンドフォロー手法を適用した場合の影響などを概観し</w:t>
      </w:r>
      <w:r w:rsidR="002F248B">
        <w:t>，</w:t>
      </w:r>
      <w:r>
        <w:t>第3節では1925年以降の米国の株式および債券からなる退職後のポートフォリオに関する実証結果を示している</w:t>
      </w:r>
      <w:r w:rsidR="002F248B">
        <w:t>．</w:t>
      </w:r>
      <w:r>
        <w:rPr>
          <w:rFonts w:hint="eastAsia"/>
        </w:rPr>
        <w:t>セクション</w:t>
      </w:r>
      <w:r>
        <w:t>4では</w:t>
      </w:r>
      <w:r w:rsidR="002F248B">
        <w:t>，</w:t>
      </w:r>
      <w:r>
        <w:t>貯蓄者が退職に近づくにつれて</w:t>
      </w:r>
      <w:r w:rsidR="002F248B">
        <w:t>，</w:t>
      </w:r>
      <w:r>
        <w:t>そして実際に退職後にリスクを取り除くべきかどうかという問題全体を検証し</w:t>
      </w:r>
      <w:r w:rsidR="002F248B">
        <w:t>，</w:t>
      </w:r>
      <w:r>
        <w:t>セクション5では</w:t>
      </w:r>
      <w:r w:rsidR="002F248B">
        <w:t>，</w:t>
      </w:r>
      <w:r>
        <w:t>リスク除去/グライドパスの実証結果を示し</w:t>
      </w:r>
      <w:r w:rsidR="002F248B">
        <w:t>，</w:t>
      </w:r>
      <w:r>
        <w:t>セクション6では</w:t>
      </w:r>
      <w:r w:rsidR="002F248B">
        <w:t>，</w:t>
      </w:r>
      <w:r>
        <w:t>キャッシュへの売却（おそらく一時的）が</w:t>
      </w:r>
      <w:r w:rsidR="002F248B">
        <w:t>，</w:t>
      </w:r>
      <w:r>
        <w:t>引き下げの経験を改善する上でマーケットタイミングやデリバティブの使用に対してどのように積み上がるかを考察して結論付けている</w:t>
      </w:r>
      <w:r w:rsidR="002F248B">
        <w:t>．</w:t>
      </w:r>
    </w:p>
    <w:p w14:paraId="07137744" w14:textId="77777777" w:rsidR="00402DAA" w:rsidRDefault="00402DAA" w:rsidP="00D12110">
      <w:pPr>
        <w:pStyle w:val="a2"/>
      </w:pPr>
    </w:p>
    <w:p w14:paraId="0DA521CB" w14:textId="0054E0DE" w:rsidR="00402DAA" w:rsidRDefault="00703ECF" w:rsidP="00703ECF">
      <w:pPr>
        <w:pStyle w:val="1"/>
      </w:pPr>
      <w:r w:rsidRPr="00703ECF">
        <w:t>Retirement</w:t>
      </w:r>
      <w:r w:rsidR="00C91674">
        <w:rPr>
          <w:rFonts w:hint="eastAsia"/>
        </w:rPr>
        <w:t xml:space="preserve"> </w:t>
      </w:r>
      <w:r w:rsidRPr="00703ECF">
        <w:t>Portfolios</w:t>
      </w:r>
      <w:r w:rsidR="00C91674">
        <w:t xml:space="preserve"> </w:t>
      </w:r>
      <w:r w:rsidRPr="00703ECF">
        <w:t>and</w:t>
      </w:r>
      <w:r w:rsidR="00C91674">
        <w:t xml:space="preserve"> </w:t>
      </w:r>
      <w:r w:rsidRPr="00703ECF">
        <w:t>Perfect</w:t>
      </w:r>
      <w:r w:rsidR="00C91674">
        <w:t xml:space="preserve"> </w:t>
      </w:r>
      <w:r w:rsidRPr="00703ECF">
        <w:t>Withdrawal</w:t>
      </w:r>
      <w:r w:rsidR="00C91674">
        <w:t xml:space="preserve"> </w:t>
      </w:r>
      <w:r w:rsidRPr="00703ECF">
        <w:t>Rates</w:t>
      </w:r>
    </w:p>
    <w:p w14:paraId="77D94366" w14:textId="53E225B9" w:rsidR="00703ECF" w:rsidRDefault="00F56E29" w:rsidP="00F56E29">
      <w:pPr>
        <w:pStyle w:val="a2"/>
      </w:pPr>
      <w:r>
        <w:rPr>
          <w:rFonts w:hint="eastAsia"/>
        </w:rPr>
        <w:t>今後</w:t>
      </w:r>
      <w:r>
        <w:t>20年間で8000万人を超える米国のベビーブーマーが退職給付を申請し</w:t>
      </w:r>
      <w:r w:rsidR="002F248B">
        <w:t>，</w:t>
      </w:r>
      <w:r>
        <w:t>圧倒的多数が確定拠出貯蓄制度に頼って富を蓄積・管理しているため</w:t>
      </w:r>
      <w:r w:rsidR="002F248B">
        <w:t>，</w:t>
      </w:r>
      <w:r>
        <w:t>適切な投資戦略の問題が最も重要である（社会保障庁</w:t>
      </w:r>
      <w:r w:rsidR="002F248B">
        <w:t>，</w:t>
      </w:r>
      <w:r>
        <w:t>2012年度年次業績計画）</w:t>
      </w:r>
      <w:r w:rsidR="002F248B">
        <w:t>．</w:t>
      </w:r>
      <w:r>
        <w:rPr>
          <w:rFonts w:hint="eastAsia"/>
        </w:rPr>
        <w:t>そして</w:t>
      </w:r>
      <w:r w:rsidR="002F248B">
        <w:rPr>
          <w:rFonts w:hint="eastAsia"/>
        </w:rPr>
        <w:t>，</w:t>
      </w:r>
      <w:r>
        <w:rPr>
          <w:rFonts w:hint="eastAsia"/>
        </w:rPr>
        <w:t>より広い投資世界において</w:t>
      </w:r>
      <w:r w:rsidR="002F248B">
        <w:rPr>
          <w:rFonts w:hint="eastAsia"/>
        </w:rPr>
        <w:t>，</w:t>
      </w:r>
      <w:r>
        <w:rPr>
          <w:rFonts w:hint="eastAsia"/>
        </w:rPr>
        <w:t>アクティブ投資がパッシブに負け</w:t>
      </w:r>
      <w:r w:rsidR="002F248B">
        <w:rPr>
          <w:rFonts w:hint="eastAsia"/>
        </w:rPr>
        <w:t>，</w:t>
      </w:r>
      <w:r>
        <w:rPr>
          <w:rFonts w:hint="eastAsia"/>
        </w:rPr>
        <w:t>なおかつパッシブは</w:t>
      </w:r>
      <w:r w:rsidR="002F248B">
        <w:rPr>
          <w:rFonts w:hint="eastAsia"/>
        </w:rPr>
        <w:t>，</w:t>
      </w:r>
      <w:r>
        <w:t>Lo（2012）によれば</w:t>
      </w:r>
      <w:r w:rsidR="002F248B">
        <w:t>，</w:t>
      </w:r>
      <w:r>
        <w:t>「変動が大きすぎる」可能性があり</w:t>
      </w:r>
      <w:r w:rsidR="002F248B">
        <w:t>，</w:t>
      </w:r>
      <w:r>
        <w:t>その直接的な結果として</w:t>
      </w:r>
      <w:r w:rsidR="002F248B">
        <w:t>，</w:t>
      </w:r>
      <w:r>
        <w:t>引き出し率が低下する（Clareetal,2017参照）</w:t>
      </w:r>
      <w:r w:rsidR="002F248B">
        <w:t>．</w:t>
      </w:r>
    </w:p>
    <w:p w14:paraId="1E919EAB" w14:textId="77777777" w:rsidR="00C00A7C" w:rsidRDefault="00C00A7C" w:rsidP="00F56E29">
      <w:pPr>
        <w:pStyle w:val="a2"/>
        <w:rPr>
          <w:rFonts w:hint="eastAsia"/>
        </w:rPr>
      </w:pPr>
    </w:p>
    <w:p w14:paraId="25BB44A7" w14:textId="7DC9AB5C" w:rsidR="00703ECF" w:rsidRDefault="00C00A7C" w:rsidP="00C00A7C">
      <w:pPr>
        <w:pStyle w:val="a2"/>
      </w:pPr>
      <w:r>
        <w:rPr>
          <w:rFonts w:hint="eastAsia"/>
        </w:rPr>
        <w:t>確定給付型（</w:t>
      </w:r>
      <w:r>
        <w:t>DB）から確定拠出型（DC）</w:t>
      </w:r>
      <w:r w:rsidR="002F248B">
        <w:t>，</w:t>
      </w:r>
      <w:r>
        <w:t>そして年金のための個人貯蓄への移行は</w:t>
      </w:r>
      <w:r w:rsidR="002F248B">
        <w:t>，</w:t>
      </w:r>
      <w:proofErr w:type="spellStart"/>
      <w:r>
        <w:t>OECDPensionsOutlook</w:t>
      </w:r>
      <w:proofErr w:type="spellEnd"/>
      <w:r>
        <w:t>,(2016)に包括的に記述されているように</w:t>
      </w:r>
      <w:r w:rsidR="002F248B">
        <w:t>，</w:t>
      </w:r>
      <w:r>
        <w:t>さまざまな理由から順調に進んでいる</w:t>
      </w:r>
      <w:r w:rsidR="002F248B">
        <w:t>．</w:t>
      </w:r>
      <w:r>
        <w:t>これはもちろん</w:t>
      </w:r>
      <w:r w:rsidR="002F248B">
        <w:t>，</w:t>
      </w:r>
      <w:r>
        <w:t>投資リスクと長寿リスクの両方が個人にあることを意味する</w:t>
      </w:r>
      <w:r w:rsidR="002F248B">
        <w:t>．</w:t>
      </w:r>
      <w:r>
        <w:t>2000年から2015年までのDBおよびDCプランの資産と加入者に関するOECDのデータは</w:t>
      </w:r>
      <w:r w:rsidR="002F248B">
        <w:t>，</w:t>
      </w:r>
      <w:r>
        <w:t>多くのOECD諸国におけるDCプランの隆盛を確認し</w:t>
      </w:r>
      <w:r w:rsidR="002F248B">
        <w:t>，</w:t>
      </w:r>
      <w:r>
        <w:t>ここ数十年間に新しいスキームが導入された範囲では</w:t>
      </w:r>
      <w:r w:rsidR="002F248B">
        <w:t>，</w:t>
      </w:r>
      <w:r>
        <w:t>国によって正確な取り決めは異なるものの</w:t>
      </w:r>
      <w:r w:rsidR="002F248B">
        <w:rPr>
          <w:rFonts w:hint="eastAsia"/>
        </w:rPr>
        <w:t>，</w:t>
      </w:r>
      <w:r>
        <w:rPr>
          <w:rFonts w:hint="eastAsia"/>
        </w:rPr>
        <w:t>ほぼ完全に</w:t>
      </w:r>
      <w:r>
        <w:t>DCスキームとなっている</w:t>
      </w:r>
      <w:r w:rsidR="002F248B">
        <w:t>，</w:t>
      </w:r>
      <w:r>
        <w:t>（OECD,2016）</w:t>
      </w:r>
      <w:r w:rsidR="002F248B">
        <w:t>．</w:t>
      </w:r>
      <w:r>
        <w:rPr>
          <w:rFonts w:hint="eastAsia"/>
        </w:rPr>
        <w:t>個人型制度と合わせた職業型</w:t>
      </w:r>
      <w:r>
        <w:t>DC制度の資産は</w:t>
      </w:r>
      <w:r w:rsidR="002F248B">
        <w:t>，</w:t>
      </w:r>
      <w:r>
        <w:t>ほとんどの報告国でDB制度の資産を上回った</w:t>
      </w:r>
      <w:r w:rsidR="002F248B">
        <w:t>．</w:t>
      </w:r>
      <w:r>
        <w:t>米国では</w:t>
      </w:r>
      <w:r w:rsidR="002F248B">
        <w:t>，</w:t>
      </w:r>
      <w:r>
        <w:t>民間企業の従業員の約半数が年金貯蓄を持たず</w:t>
      </w:r>
      <w:r w:rsidR="002F248B">
        <w:t>，</w:t>
      </w:r>
      <w:r>
        <w:t>DBプランはわずか2％</w:t>
      </w:r>
      <w:r w:rsidR="002F248B">
        <w:t>，</w:t>
      </w:r>
      <w:r>
        <w:t>DCは33％</w:t>
      </w:r>
      <w:r w:rsidR="002F248B">
        <w:t>，</w:t>
      </w:r>
      <w:r>
        <w:t>約11％はDBとDCの両方を持っている</w:t>
      </w:r>
      <w:r w:rsidR="002F248B">
        <w:t>．</w:t>
      </w:r>
      <w:r>
        <w:t>英国では</w:t>
      </w:r>
      <w:r w:rsidR="002F248B">
        <w:t>，</w:t>
      </w:r>
      <w:r>
        <w:t>2013年から2015年にかけて</w:t>
      </w:r>
      <w:r w:rsidR="002F248B">
        <w:t>，</w:t>
      </w:r>
      <w:r>
        <w:t>職業的DC制度の加入者数が約250万人から約700万人に増加した</w:t>
      </w:r>
      <w:r w:rsidR="002F248B">
        <w:t>．</w:t>
      </w:r>
      <w:r>
        <w:t>同時に</w:t>
      </w:r>
      <w:r w:rsidR="002F248B">
        <w:t>，</w:t>
      </w:r>
      <w:r>
        <w:t>職業的DB制度の加入者は1,150万人以上から1,100万人未満に流れた</w:t>
      </w:r>
      <w:r w:rsidR="002F248B">
        <w:t>．</w:t>
      </w:r>
    </w:p>
    <w:p w14:paraId="3450B18C" w14:textId="77777777" w:rsidR="00703ECF" w:rsidRDefault="00703ECF" w:rsidP="00D12110">
      <w:pPr>
        <w:pStyle w:val="a2"/>
        <w:rPr>
          <w:rFonts w:hint="eastAsia"/>
        </w:rPr>
      </w:pPr>
    </w:p>
    <w:p w14:paraId="1F326A52" w14:textId="0AC85DA3" w:rsidR="00402DAA" w:rsidRDefault="0091602B" w:rsidP="0091602B">
      <w:pPr>
        <w:pStyle w:val="a2"/>
      </w:pPr>
      <w:r>
        <w:rPr>
          <w:rFonts w:hint="eastAsia"/>
        </w:rPr>
        <w:t>両局面における投資ポートフォリオの構築は</w:t>
      </w:r>
      <w:r w:rsidR="002F248B">
        <w:rPr>
          <w:rFonts w:hint="eastAsia"/>
        </w:rPr>
        <w:t>，</w:t>
      </w:r>
      <w:r>
        <w:rPr>
          <w:rFonts w:hint="eastAsia"/>
        </w:rPr>
        <w:t>退職計画の研究において比較的軽視されてきたため</w:t>
      </w:r>
      <w:r w:rsidR="002F248B">
        <w:rPr>
          <w:rFonts w:hint="eastAsia"/>
        </w:rPr>
        <w:t>，</w:t>
      </w:r>
      <w:r>
        <w:rPr>
          <w:rFonts w:hint="eastAsia"/>
        </w:rPr>
        <w:t>「既知の</w:t>
      </w:r>
      <w:r>
        <w:rPr>
          <w:rFonts w:hint="eastAsia"/>
        </w:rPr>
        <w:lastRenderedPageBreak/>
        <w:t>未知数」（</w:t>
      </w:r>
      <w:r>
        <w:t>Merton,2014）と表現されるに至っている</w:t>
      </w:r>
      <w:r w:rsidR="002F248B">
        <w:t>．</w:t>
      </w:r>
      <w:r>
        <w:t>実際</w:t>
      </w:r>
      <w:r w:rsidR="002F248B">
        <w:t>，</w:t>
      </w:r>
      <w:r>
        <w:t>長期的な蓄積と蓄積解除の研究では</w:t>
      </w:r>
      <w:r w:rsidR="002F248B">
        <w:t>，</w:t>
      </w:r>
      <w:r>
        <w:t>通常</w:t>
      </w:r>
      <w:r w:rsidR="002F248B">
        <w:t>，</w:t>
      </w:r>
      <w:r>
        <w:t>この2つのプロセスは完全に別の現象として扱われる</w:t>
      </w:r>
      <w:r w:rsidR="002F248B">
        <w:t>．</w:t>
      </w:r>
      <w:r>
        <w:t>前者では</w:t>
      </w:r>
      <w:r w:rsidR="002F248B">
        <w:t>，</w:t>
      </w:r>
      <w:r>
        <w:t>退職が近づくにつれ</w:t>
      </w:r>
      <w:r w:rsidR="002F248B">
        <w:t>，</w:t>
      </w:r>
      <w:r>
        <w:t>ポートフォリオのリスク性を変化させることが重視される</w:t>
      </w:r>
      <w:r w:rsidR="002F248B">
        <w:t>．</w:t>
      </w:r>
      <w:r>
        <w:t>これは通常</w:t>
      </w:r>
      <w:r w:rsidR="002F248B">
        <w:t>，</w:t>
      </w:r>
      <w:r>
        <w:t>グライドパス投資やターゲット</w:t>
      </w:r>
      <w:r w:rsidR="00002449">
        <w:rPr>
          <w:rFonts w:hint="eastAsia"/>
        </w:rPr>
        <w:t>・</w:t>
      </w:r>
      <w:r>
        <w:t>デート投資の形で</w:t>
      </w:r>
      <w:r w:rsidR="002F248B">
        <w:t>，</w:t>
      </w:r>
      <w:r>
        <w:t>債券の比率を上げ</w:t>
      </w:r>
      <w:r w:rsidR="002F248B">
        <w:t>，</w:t>
      </w:r>
      <w:r>
        <w:t>株式の比率を下げることでリスクを下げることを含む（例えば</w:t>
      </w:r>
      <w:r w:rsidR="002F248B">
        <w:t>，</w:t>
      </w:r>
      <w:r>
        <w:t>Blanchettetal,2016,Estrada,2017bを参照）</w:t>
      </w:r>
      <w:r w:rsidR="002F248B">
        <w:t>．</w:t>
      </w:r>
      <w:r>
        <w:rPr>
          <w:rFonts w:hint="eastAsia"/>
        </w:rPr>
        <w:t>後者については</w:t>
      </w:r>
      <w:r w:rsidR="002F248B">
        <w:rPr>
          <w:rFonts w:hint="eastAsia"/>
        </w:rPr>
        <w:t>，</w:t>
      </w:r>
      <w:r>
        <w:rPr>
          <w:rFonts w:hint="eastAsia"/>
        </w:rPr>
        <w:t>不確実な余命と確率的リターンが存在する世界において</w:t>
      </w:r>
      <w:r w:rsidR="002F248B">
        <w:rPr>
          <w:rFonts w:hint="eastAsia"/>
        </w:rPr>
        <w:t>，</w:t>
      </w:r>
      <w:r>
        <w:rPr>
          <w:rFonts w:hint="eastAsia"/>
        </w:rPr>
        <w:t>毎年何パーセントの富を消費のために引き出せるかが問題となる（</w:t>
      </w:r>
      <w:r>
        <w:t>Bengen,1994,Blanchettetal,2016参照）</w:t>
      </w:r>
      <w:r w:rsidR="002F248B">
        <w:t>．</w:t>
      </w:r>
      <w:r>
        <w:rPr>
          <w:rFonts w:hint="eastAsia"/>
        </w:rPr>
        <w:t>もちろん</w:t>
      </w:r>
      <w:r w:rsidR="002F248B">
        <w:rPr>
          <w:rFonts w:hint="eastAsia"/>
        </w:rPr>
        <w:t>，</w:t>
      </w:r>
      <w:r>
        <w:rPr>
          <w:rFonts w:hint="eastAsia"/>
        </w:rPr>
        <w:t>グライドパスが定年まで滑走してデキュムレーション・ポートフォリオになることもあるが</w:t>
      </w:r>
      <w:r w:rsidR="002F248B">
        <w:rPr>
          <w:rFonts w:hint="eastAsia"/>
        </w:rPr>
        <w:t>，</w:t>
      </w:r>
      <w:r>
        <w:rPr>
          <w:rFonts w:hint="eastAsia"/>
        </w:rPr>
        <w:t>多くの議論では</w:t>
      </w:r>
      <w:r w:rsidR="002F248B">
        <w:rPr>
          <w:rFonts w:hint="eastAsia"/>
        </w:rPr>
        <w:t>，</w:t>
      </w:r>
      <w:r>
        <w:rPr>
          <w:rFonts w:hint="eastAsia"/>
        </w:rPr>
        <w:t>投資目的のために両者を区別している</w:t>
      </w:r>
      <w:r w:rsidR="002F248B">
        <w:rPr>
          <w:rFonts w:hint="eastAsia"/>
        </w:rPr>
        <w:t>．</w:t>
      </w:r>
      <w:r>
        <w:rPr>
          <w:rFonts w:hint="eastAsia"/>
        </w:rPr>
        <w:t>この論文では</w:t>
      </w:r>
      <w:r w:rsidR="002F248B">
        <w:rPr>
          <w:rFonts w:hint="eastAsia"/>
        </w:rPr>
        <w:t>，</w:t>
      </w:r>
      <w:r>
        <w:rPr>
          <w:rFonts w:hint="eastAsia"/>
        </w:rPr>
        <w:t>定期的で持続可能な引き出し</w:t>
      </w:r>
      <w:r w:rsidR="002F248B">
        <w:rPr>
          <w:rFonts w:hint="eastAsia"/>
        </w:rPr>
        <w:t>，</w:t>
      </w:r>
      <w:r>
        <w:rPr>
          <w:rFonts w:hint="eastAsia"/>
        </w:rPr>
        <w:t>すなわち年金を測定することによって</w:t>
      </w:r>
      <w:r w:rsidR="002F248B">
        <w:rPr>
          <w:rFonts w:hint="eastAsia"/>
        </w:rPr>
        <w:t>，</w:t>
      </w:r>
      <w:r>
        <w:rPr>
          <w:rFonts w:hint="eastAsia"/>
        </w:rPr>
        <w:t>退職後のデキュミュレーション段階を分析し</w:t>
      </w:r>
      <w:r w:rsidR="002F248B">
        <w:rPr>
          <w:rFonts w:hint="eastAsia"/>
        </w:rPr>
        <w:t>，</w:t>
      </w:r>
      <w:r>
        <w:rPr>
          <w:rFonts w:hint="eastAsia"/>
        </w:rPr>
        <w:t>完全引き出し率（</w:t>
      </w:r>
      <w:r>
        <w:t>PWR）</w:t>
      </w:r>
      <w:r w:rsidR="002F248B">
        <w:t>，</w:t>
      </w:r>
      <w:r>
        <w:t>すなわちリターンを完全に予見し（Suarezetal,2015,Clareetal,2017参照）</w:t>
      </w:r>
      <w:r w:rsidR="002F248B">
        <w:t>，</w:t>
      </w:r>
      <w:r>
        <w:t>期間終了時に自分の富をゼロにした場合に可能な最大年間引き出し率に注目する</w:t>
      </w:r>
      <w:r w:rsidR="002F248B">
        <w:t>．</w:t>
      </w:r>
      <w:r>
        <w:t>我々は</w:t>
      </w:r>
      <w:r w:rsidR="002F248B">
        <w:t>，</w:t>
      </w:r>
      <w:r>
        <w:t>可能な引き出し率を損ねる</w:t>
      </w:r>
      <w:r>
        <w:rPr>
          <w:rFonts w:hint="eastAsia"/>
        </w:rPr>
        <w:t>シーケン</w:t>
      </w:r>
      <w:r w:rsidR="00002449">
        <w:rPr>
          <w:rFonts w:hint="eastAsia"/>
        </w:rPr>
        <w:t>・</w:t>
      </w:r>
      <w:r>
        <w:rPr>
          <w:rFonts w:hint="eastAsia"/>
        </w:rPr>
        <w:t>リスク（</w:t>
      </w:r>
      <w:r>
        <w:t>Clareetal,2017参照）の役割を強調し</w:t>
      </w:r>
      <w:r w:rsidR="002F248B">
        <w:t>，</w:t>
      </w:r>
      <w:r>
        <w:t>安全な引き出し経験を強化する方法を探る</w:t>
      </w:r>
      <w:r w:rsidR="002F248B">
        <w:t>．</w:t>
      </w:r>
    </w:p>
    <w:p w14:paraId="79029DAB" w14:textId="77777777" w:rsidR="00402DAA" w:rsidRDefault="00402DAA" w:rsidP="00D12110">
      <w:pPr>
        <w:pStyle w:val="a2"/>
      </w:pPr>
    </w:p>
    <w:p w14:paraId="7BB825E3" w14:textId="2C30A3D3" w:rsidR="0099526E" w:rsidRDefault="00B04835" w:rsidP="00B04835">
      <w:pPr>
        <w:pStyle w:val="a2"/>
      </w:pPr>
      <w:r>
        <w:rPr>
          <w:rFonts w:hint="eastAsia"/>
        </w:rPr>
        <w:t>退職金から得られる持続可能な支出を評価する方法として</w:t>
      </w:r>
      <w:r w:rsidR="002F248B">
        <w:rPr>
          <w:rFonts w:hint="eastAsia"/>
        </w:rPr>
        <w:t>，</w:t>
      </w:r>
      <w:r>
        <w:rPr>
          <w:rFonts w:hint="eastAsia"/>
        </w:rPr>
        <w:t>事実上すべての学術・商業研究者が使用している</w:t>
      </w:r>
      <w:r w:rsidR="002F248B">
        <w:rPr>
          <w:rFonts w:hint="eastAsia"/>
        </w:rPr>
        <w:t>，</w:t>
      </w:r>
      <w:r>
        <w:rPr>
          <w:rFonts w:hint="eastAsia"/>
        </w:rPr>
        <w:t>退職期間中一定のリターンを仮定するスプレッドシートの演習に加えて</w:t>
      </w:r>
      <w:r w:rsidR="002F248B">
        <w:rPr>
          <w:rFonts w:hint="eastAsia"/>
        </w:rPr>
        <w:t>，</w:t>
      </w:r>
      <w:r>
        <w:rPr>
          <w:rFonts w:hint="eastAsia"/>
        </w:rPr>
        <w:t>例えば</w:t>
      </w:r>
      <w:r>
        <w:t>30年の退職期間と</w:t>
      </w:r>
      <w:r w:rsidR="002F248B">
        <w:t>，</w:t>
      </w:r>
      <w:r>
        <w:t>20世紀などの歴史的期間を取り上げ</w:t>
      </w:r>
      <w:r w:rsidR="002F248B">
        <w:t>，</w:t>
      </w:r>
      <w:r>
        <w:t>退職者が資金不足に陥らずに毎年引き出すことができた一定の実質水準はどの程度か</w:t>
      </w:r>
      <w:r w:rsidR="002F248B">
        <w:t>，</w:t>
      </w:r>
      <w:r>
        <w:t>と問う方法もある</w:t>
      </w:r>
      <w:r w:rsidR="002F248B">
        <w:t>．</w:t>
      </w:r>
      <w:r>
        <w:rPr>
          <w:rFonts w:hint="eastAsia"/>
        </w:rPr>
        <w:t>このアプローチは</w:t>
      </w:r>
      <w:proofErr w:type="spellStart"/>
      <w:r>
        <w:t>Bengen</w:t>
      </w:r>
      <w:proofErr w:type="spellEnd"/>
      <w:r>
        <w:t>(1994)によって開拓され</w:t>
      </w:r>
      <w:r w:rsidR="002F248B">
        <w:t>，</w:t>
      </w:r>
      <w:r>
        <w:t>株式50%</w:t>
      </w:r>
      <w:r w:rsidR="002F248B">
        <w:t>，</w:t>
      </w:r>
      <w:r>
        <w:t>国債50%という典型的な米国のポートフォリオでは</w:t>
      </w:r>
      <w:r w:rsidR="002F248B">
        <w:t>，</w:t>
      </w:r>
      <w:r>
        <w:t>下限は最初のポットの4%（実質購買力を維持するために指数化）であることが判明している</w:t>
      </w:r>
      <w:r w:rsidR="002F248B">
        <w:t>．</w:t>
      </w:r>
    </w:p>
    <w:p w14:paraId="23F8DE11" w14:textId="77777777" w:rsidR="0099526E" w:rsidRDefault="0099526E" w:rsidP="00D12110">
      <w:pPr>
        <w:pStyle w:val="a2"/>
      </w:pPr>
    </w:p>
    <w:p w14:paraId="4F9DE61B" w14:textId="372AC9DA" w:rsidR="0099526E" w:rsidRDefault="007B6579" w:rsidP="007B6579">
      <w:pPr>
        <w:pStyle w:val="a2"/>
      </w:pPr>
      <w:r>
        <w:rPr>
          <w:rFonts w:hint="eastAsia"/>
        </w:rPr>
        <w:t>これは</w:t>
      </w:r>
      <w:r>
        <w:t>Estrada(2017a)によって更新・拡張され</w:t>
      </w:r>
      <w:r w:rsidR="002F248B">
        <w:t>，</w:t>
      </w:r>
      <w:r>
        <w:t>115年間にわたる21カ国のデータを用い</w:t>
      </w:r>
      <w:r w:rsidR="002F248B">
        <w:t>，</w:t>
      </w:r>
      <w:r>
        <w:t>債券と株式の11種類の組み合わせで</w:t>
      </w:r>
      <w:r w:rsidR="002F248B">
        <w:t>，</w:t>
      </w:r>
      <w:r>
        <w:t>安全な引き出し率が時間経過や国によって大きく異なることがわかった</w:t>
      </w:r>
      <w:r w:rsidR="002F248B">
        <w:t>．</w:t>
      </w:r>
      <w:r>
        <w:t>4％ルールと60/40ポートフォリオでは</w:t>
      </w:r>
      <w:r w:rsidR="002F248B">
        <w:t>，</w:t>
      </w:r>
      <w:r>
        <w:t>米国では多くの場合</w:t>
      </w:r>
      <w:r w:rsidR="002F248B">
        <w:t>，</w:t>
      </w:r>
      <w:r>
        <w:t>かなりの遺贈を残すことになるが</w:t>
      </w:r>
      <w:r w:rsidR="002F248B">
        <w:t>，</w:t>
      </w:r>
      <w:r>
        <w:t>債券100％のポートフォリオでは65％の期間で資金不足になるとのことだ</w:t>
      </w:r>
      <w:r w:rsidR="002F248B">
        <w:t>．</w:t>
      </w:r>
      <w:r>
        <w:t>株式の比率が50％以上であれば</w:t>
      </w:r>
      <w:r w:rsidR="002F248B">
        <w:t>，</w:t>
      </w:r>
      <w:r>
        <w:t>失敗率は10％未満であった</w:t>
      </w:r>
      <w:r w:rsidR="002F248B">
        <w:t>．</w:t>
      </w:r>
      <w:r>
        <w:t>これは，1900年まで遡って他の資産クラスのリターンが入手できないためと思われる</w:t>
      </w:r>
      <w:r w:rsidR="002F248B">
        <w:rPr>
          <w:rFonts w:hint="eastAsia"/>
        </w:rPr>
        <w:t>．</w:t>
      </w:r>
      <w:r>
        <w:rPr>
          <w:rFonts w:hint="eastAsia"/>
        </w:rPr>
        <w:t>しかし</w:t>
      </w:r>
      <w:r w:rsidR="002F248B">
        <w:rPr>
          <w:rFonts w:hint="eastAsia"/>
        </w:rPr>
        <w:t>，</w:t>
      </w:r>
      <w:r>
        <w:rPr>
          <w:rFonts w:hint="eastAsia"/>
        </w:rPr>
        <w:t>このようなデータの制約があるため</w:t>
      </w:r>
      <w:r w:rsidR="002F248B">
        <w:rPr>
          <w:rFonts w:hint="eastAsia"/>
        </w:rPr>
        <w:t>，</w:t>
      </w:r>
      <w:r>
        <w:rPr>
          <w:rFonts w:hint="eastAsia"/>
        </w:rPr>
        <w:t>必要に応じて株式</w:t>
      </w:r>
      <w:r w:rsidR="002F248B">
        <w:rPr>
          <w:rFonts w:hint="eastAsia"/>
        </w:rPr>
        <w:t>，</w:t>
      </w:r>
      <w:r>
        <w:rPr>
          <w:rFonts w:hint="eastAsia"/>
        </w:rPr>
        <w:t>債券</w:t>
      </w:r>
      <w:r w:rsidR="002F248B">
        <w:rPr>
          <w:rFonts w:hint="eastAsia"/>
        </w:rPr>
        <w:t>，</w:t>
      </w:r>
      <w:r>
        <w:rPr>
          <w:rFonts w:hint="eastAsia"/>
        </w:rPr>
        <w:t>現金の間で単純な切り替えを行うことはできません</w:t>
      </w:r>
      <w:r w:rsidR="002F248B">
        <w:rPr>
          <w:rFonts w:hint="eastAsia"/>
        </w:rPr>
        <w:t>．</w:t>
      </w:r>
      <w:r>
        <w:rPr>
          <w:rFonts w:hint="eastAsia"/>
        </w:rPr>
        <w:t>つまり</w:t>
      </w:r>
      <w:r w:rsidR="002F248B">
        <w:rPr>
          <w:rFonts w:hint="eastAsia"/>
        </w:rPr>
        <w:t>，</w:t>
      </w:r>
      <w:r>
        <w:rPr>
          <w:rFonts w:hint="eastAsia"/>
        </w:rPr>
        <w:t>事実上</w:t>
      </w:r>
      <w:r w:rsidR="002F248B">
        <w:rPr>
          <w:rFonts w:hint="eastAsia"/>
        </w:rPr>
        <w:t>，</w:t>
      </w:r>
      <w:r>
        <w:rPr>
          <w:rFonts w:hint="eastAsia"/>
        </w:rPr>
        <w:t>我々は第三の資産を持っているのである</w:t>
      </w:r>
      <w:r w:rsidR="002F248B">
        <w:rPr>
          <w:rFonts w:hint="eastAsia"/>
        </w:rPr>
        <w:t>．</w:t>
      </w:r>
    </w:p>
    <w:p w14:paraId="23CC04EF" w14:textId="77777777" w:rsidR="0099526E" w:rsidRDefault="0099526E" w:rsidP="00D12110">
      <w:pPr>
        <w:pStyle w:val="a2"/>
      </w:pPr>
    </w:p>
    <w:p w14:paraId="67679D24" w14:textId="2EB46D52" w:rsidR="0099526E" w:rsidRDefault="001D7D3D" w:rsidP="00C53AA1">
      <w:pPr>
        <w:pStyle w:val="a2"/>
      </w:pPr>
      <w:r w:rsidRPr="001D7D3D">
        <w:t>Blanchett</w:t>
      </w:r>
      <w:r w:rsidR="00C53AA1">
        <w:rPr>
          <w:rFonts w:hint="eastAsia"/>
        </w:rPr>
        <w:t>（</w:t>
      </w:r>
      <w:r w:rsidR="00C53AA1">
        <w:t>2016）は</w:t>
      </w:r>
      <w:r w:rsidR="002F248B">
        <w:t>，</w:t>
      </w:r>
      <w:r w:rsidR="00C53AA1">
        <w:t>過去のリターンと将来のリターンの両方に基づき</w:t>
      </w:r>
      <w:r w:rsidR="002F248B">
        <w:t>，</w:t>
      </w:r>
      <w:r w:rsidR="00C53AA1">
        <w:t>退職者の安全な引き出し率に関する比較的包括的な国際的概観を提供しています</w:t>
      </w:r>
      <w:r w:rsidR="002F248B">
        <w:t>．</w:t>
      </w:r>
      <w:r w:rsidR="00C53AA1">
        <w:rPr>
          <w:rFonts w:hint="eastAsia"/>
        </w:rPr>
        <w:t>その結果</w:t>
      </w:r>
      <w:r w:rsidR="002F248B">
        <w:rPr>
          <w:rFonts w:hint="eastAsia"/>
        </w:rPr>
        <w:t>，</w:t>
      </w:r>
      <w:r w:rsidR="00C53AA1">
        <w:rPr>
          <w:rFonts w:hint="eastAsia"/>
        </w:rPr>
        <w:t>例えば英国では</w:t>
      </w:r>
      <w:r w:rsidR="002F248B">
        <w:rPr>
          <w:rFonts w:hint="eastAsia"/>
        </w:rPr>
        <w:t>，</w:t>
      </w:r>
      <w:r w:rsidR="00C53AA1">
        <w:rPr>
          <w:rFonts w:hint="eastAsia"/>
        </w:rPr>
        <w:t>ファイナンシャル・アドバイザーや退職者は</w:t>
      </w:r>
      <w:r w:rsidR="002F248B">
        <w:rPr>
          <w:rFonts w:hint="eastAsia"/>
        </w:rPr>
        <w:t>，</w:t>
      </w:r>
      <w:r w:rsidR="00C53AA1">
        <w:rPr>
          <w:rFonts w:hint="eastAsia"/>
        </w:rPr>
        <w:t>先行研究で指摘されたよりも低い初期安全引出率を使用すべきであり</w:t>
      </w:r>
      <w:r w:rsidR="002F248B">
        <w:rPr>
          <w:rFonts w:hint="eastAsia"/>
        </w:rPr>
        <w:t>，</w:t>
      </w:r>
      <w:r w:rsidR="00C53AA1">
        <w:rPr>
          <w:rFonts w:hint="eastAsia"/>
        </w:rPr>
        <w:t>範囲の下限は</w:t>
      </w:r>
      <w:r w:rsidR="002F248B">
        <w:rPr>
          <w:rFonts w:hint="eastAsia"/>
        </w:rPr>
        <w:t>，</w:t>
      </w:r>
      <w:r w:rsidR="00C53AA1">
        <w:rPr>
          <w:rFonts w:hint="eastAsia"/>
        </w:rPr>
        <w:t>以前の</w:t>
      </w:r>
      <w:r w:rsidR="00C53AA1">
        <w:t>4.0％ではなく</w:t>
      </w:r>
      <w:r w:rsidR="002F248B">
        <w:t>，</w:t>
      </w:r>
      <w:r w:rsidR="00C53AA1">
        <w:t>2.5％または3.0％に向かって始まることが示唆されています</w:t>
      </w:r>
      <w:r w:rsidR="002F248B">
        <w:t>．</w:t>
      </w:r>
      <w:r w:rsidR="00C53AA1">
        <w:t>前世紀の資本市場の豊かなリターンは</w:t>
      </w:r>
      <w:r w:rsidR="002F248B">
        <w:t>，</w:t>
      </w:r>
      <w:r w:rsidR="00C53AA1">
        <w:t>快適で長期的な退職後のポートフォリオを強化したが</w:t>
      </w:r>
      <w:r w:rsidR="002F248B">
        <w:t>，</w:t>
      </w:r>
      <w:r w:rsidR="00C53AA1">
        <w:t>21世紀の退職者は誤った安心感を抱いているかもしれない</w:t>
      </w:r>
      <w:r w:rsidR="002F248B">
        <w:t>．</w:t>
      </w:r>
    </w:p>
    <w:p w14:paraId="79FCC062" w14:textId="77777777" w:rsidR="0099526E" w:rsidRDefault="0099526E" w:rsidP="00D12110">
      <w:pPr>
        <w:pStyle w:val="a2"/>
      </w:pPr>
    </w:p>
    <w:p w14:paraId="2F72DA16" w14:textId="0A8ED017" w:rsidR="0099526E" w:rsidRDefault="004B5969" w:rsidP="00D12110">
      <w:pPr>
        <w:pStyle w:val="a2"/>
      </w:pPr>
      <w:r w:rsidRPr="004B5969">
        <w:t>Estrada（2017a）が指摘するように</w:t>
      </w:r>
      <w:r w:rsidR="002F248B">
        <w:t>，</w:t>
      </w:r>
      <w:r w:rsidRPr="004B5969">
        <w:t>この分野の実証実験の多くは</w:t>
      </w:r>
      <w:r w:rsidR="002F248B">
        <w:t>，</w:t>
      </w:r>
      <w:r w:rsidRPr="004B5969">
        <w:t>投資リターンと個人の長寿を変化させることに焦点を当てているが</w:t>
      </w:r>
      <w:r w:rsidR="002F248B">
        <w:t>，</w:t>
      </w:r>
      <w:r w:rsidRPr="004B5969">
        <w:t>リターンは脱退期間中一定であると仮定している：これはもちろん</w:t>
      </w:r>
      <w:r w:rsidR="002F248B">
        <w:t>，</w:t>
      </w:r>
      <w:r w:rsidRPr="004B5969">
        <w:t>シーケンス</w:t>
      </w:r>
      <w:r>
        <w:rPr>
          <w:rFonts w:hint="eastAsia"/>
        </w:rPr>
        <w:t>・</w:t>
      </w:r>
      <w:r w:rsidRPr="004B5969">
        <w:t>リスクと関連するすべての現実世界の問題を排除することを前提としている</w:t>
      </w:r>
      <w:r w:rsidR="002F248B">
        <w:t>．</w:t>
      </w:r>
      <w:r w:rsidRPr="004B5969">
        <w:t>したがって</w:t>
      </w:r>
      <w:r w:rsidR="002F248B">
        <w:t>，</w:t>
      </w:r>
      <w:r w:rsidRPr="004B5969">
        <w:t>長寿と（平均）リターンを変化させて持続可能な引き出し率を推論する実験は</w:t>
      </w:r>
      <w:r w:rsidR="002F248B">
        <w:t>，</w:t>
      </w:r>
      <w:r w:rsidRPr="004B5969">
        <w:t>重要なポイントを見逃しているのです</w:t>
      </w:r>
      <w:r w:rsidR="002F248B">
        <w:t>．</w:t>
      </w:r>
    </w:p>
    <w:p w14:paraId="06DE211B" w14:textId="77777777" w:rsidR="0099526E" w:rsidRDefault="0099526E" w:rsidP="00D12110">
      <w:pPr>
        <w:pStyle w:val="a2"/>
      </w:pPr>
    </w:p>
    <w:p w14:paraId="215C10A2" w14:textId="45C9B541" w:rsidR="00A51306" w:rsidRDefault="00A51306" w:rsidP="00A51306">
      <w:pPr>
        <w:pStyle w:val="a2"/>
      </w:pPr>
      <w:r>
        <w:rPr>
          <w:rFonts w:hint="eastAsia"/>
        </w:rPr>
        <w:t>他の資産クラスへの分散はどうでしょうか？資産クラス間でポートフォリオを分散すること</w:t>
      </w:r>
      <w:r w:rsidR="002F248B">
        <w:rPr>
          <w:rFonts w:hint="eastAsia"/>
        </w:rPr>
        <w:t>，</w:t>
      </w:r>
      <w:r>
        <w:rPr>
          <w:rFonts w:hint="eastAsia"/>
        </w:rPr>
        <w:t>すなわち伝説的な「金融における唯一のフリーランチ」が</w:t>
      </w:r>
      <w:r w:rsidR="002F248B">
        <w:rPr>
          <w:rFonts w:hint="eastAsia"/>
        </w:rPr>
        <w:t>，</w:t>
      </w:r>
      <w:r>
        <w:rPr>
          <w:rFonts w:hint="eastAsia"/>
        </w:rPr>
        <w:t>投資家がリスクを管理しリターンを向上させる最良の方法であるこ</w:t>
      </w:r>
      <w:r>
        <w:rPr>
          <w:rFonts w:hint="eastAsia"/>
        </w:rPr>
        <w:lastRenderedPageBreak/>
        <w:t>とは自明と思われるかもしれません</w:t>
      </w:r>
      <w:r w:rsidR="002F248B">
        <w:rPr>
          <w:rFonts w:hint="eastAsia"/>
        </w:rPr>
        <w:t>．</w:t>
      </w:r>
      <w:r>
        <w:rPr>
          <w:rFonts w:hint="eastAsia"/>
        </w:rPr>
        <w:t>実際</w:t>
      </w:r>
      <w:r w:rsidR="002F248B">
        <w:rPr>
          <w:rFonts w:hint="eastAsia"/>
        </w:rPr>
        <w:t>，</w:t>
      </w:r>
      <w:r>
        <w:rPr>
          <w:rFonts w:hint="eastAsia"/>
        </w:rPr>
        <w:t>デキュミュレーションジャーニーのモハメド・エルエリアン（元</w:t>
      </w:r>
      <w:r>
        <w:t>PIMCO</w:t>
      </w:r>
      <w:r w:rsidR="002F248B">
        <w:t>，</w:t>
      </w:r>
      <w:r>
        <w:t>現アリアンツ）は</w:t>
      </w:r>
      <w:r w:rsidR="002F248B">
        <w:t>，</w:t>
      </w:r>
      <w:r>
        <w:t>「リスクを軽減するには分散だけで十分ではなくなった」と発言しています</w:t>
      </w:r>
      <w:r w:rsidR="002F248B">
        <w:t>．</w:t>
      </w:r>
      <w:r>
        <w:t>リスクをうまく管理するためには</w:t>
      </w:r>
      <w:r w:rsidR="002F248B">
        <w:t>，</w:t>
      </w:r>
      <w:r>
        <w:t>それ以上の何かが必要なのです」</w:t>
      </w:r>
      <w:r w:rsidR="002F248B">
        <w:t>．</w:t>
      </w:r>
    </w:p>
    <w:p w14:paraId="71376C90" w14:textId="2B03426F" w:rsidR="0099526E" w:rsidRDefault="00A51306" w:rsidP="00A51306">
      <w:pPr>
        <w:pStyle w:val="a2"/>
      </w:pPr>
      <w:r>
        <w:rPr>
          <w:rFonts w:hint="eastAsia"/>
        </w:rPr>
        <w:t>我々は</w:t>
      </w:r>
      <w:r w:rsidR="002F248B">
        <w:rPr>
          <w:rFonts w:hint="eastAsia"/>
        </w:rPr>
        <w:t>，</w:t>
      </w:r>
      <w:r>
        <w:rPr>
          <w:rFonts w:hint="eastAsia"/>
        </w:rPr>
        <w:t>まず</w:t>
      </w:r>
      <w:r w:rsidR="002F248B">
        <w:rPr>
          <w:rFonts w:hint="eastAsia"/>
        </w:rPr>
        <w:t>，</w:t>
      </w:r>
      <w:r>
        <w:t>1925年以降の米国の退職者ポートフォリオ（株式</w:t>
      </w:r>
      <w:r w:rsidR="002F248B">
        <w:t>，</w:t>
      </w:r>
      <w:r>
        <w:t>国債</w:t>
      </w:r>
      <w:r w:rsidR="002F248B">
        <w:t>，</w:t>
      </w:r>
      <w:r>
        <w:t>社債）を検証し</w:t>
      </w:r>
      <w:r w:rsidR="002F248B">
        <w:t>，</w:t>
      </w:r>
      <w:r>
        <w:t>実証分析を行った</w:t>
      </w:r>
      <w:r w:rsidR="002F248B">
        <w:t>．</w:t>
      </w:r>
    </w:p>
    <w:p w14:paraId="7C3E65D1" w14:textId="77777777" w:rsidR="0099526E" w:rsidRDefault="0099526E" w:rsidP="00D12110">
      <w:pPr>
        <w:pStyle w:val="a2"/>
      </w:pPr>
    </w:p>
    <w:p w14:paraId="2973BBEF" w14:textId="6EA50CA9" w:rsidR="00A51306" w:rsidRDefault="005D2CF0" w:rsidP="00A5386A">
      <w:pPr>
        <w:pStyle w:val="1"/>
      </w:pPr>
      <w:r>
        <w:t>The</w:t>
      </w:r>
      <w:r w:rsidR="00C91674">
        <w:t xml:space="preserve"> </w:t>
      </w:r>
      <w:r>
        <w:t>Retirement</w:t>
      </w:r>
      <w:r w:rsidR="00C91674">
        <w:t xml:space="preserve"> </w:t>
      </w:r>
      <w:r>
        <w:t>Experience</w:t>
      </w:r>
      <w:r w:rsidR="00C91674">
        <w:t xml:space="preserve"> </w:t>
      </w:r>
      <w:r>
        <w:t>from</w:t>
      </w:r>
      <w:r w:rsidR="00C91674">
        <w:t xml:space="preserve"> </w:t>
      </w:r>
      <w:r>
        <w:t>Investing</w:t>
      </w:r>
      <w:r w:rsidR="00C91674">
        <w:t xml:space="preserve"> </w:t>
      </w:r>
      <w:r>
        <w:t>in</w:t>
      </w:r>
      <w:r w:rsidR="00C91674">
        <w:t xml:space="preserve"> </w:t>
      </w:r>
      <w:proofErr w:type="spellStart"/>
      <w:r>
        <w:t>USEquities</w:t>
      </w:r>
      <w:proofErr w:type="spellEnd"/>
      <w:r>
        <w:t>,</w:t>
      </w:r>
      <w:r w:rsidR="00C91674">
        <w:t xml:space="preserve"> </w:t>
      </w:r>
      <w:r>
        <w:t>Government</w:t>
      </w:r>
      <w:r w:rsidR="00C91674">
        <w:t xml:space="preserve"> </w:t>
      </w:r>
      <w:r>
        <w:t>and</w:t>
      </w:r>
      <w:r w:rsidR="00C91674">
        <w:t xml:space="preserve"> </w:t>
      </w:r>
      <w:r>
        <w:t>Corporate</w:t>
      </w:r>
      <w:r w:rsidR="00C91674">
        <w:t xml:space="preserve"> </w:t>
      </w:r>
      <w:r>
        <w:t>Bonds,</w:t>
      </w:r>
      <w:r w:rsidR="00C91674">
        <w:t xml:space="preserve"> </w:t>
      </w:r>
      <w:r>
        <w:t>1927-2016.</w:t>
      </w:r>
    </w:p>
    <w:p w14:paraId="331D2D0C" w14:textId="77777777" w:rsidR="00A51306" w:rsidRDefault="00A51306" w:rsidP="00D12110">
      <w:pPr>
        <w:pStyle w:val="a2"/>
      </w:pPr>
    </w:p>
    <w:p w14:paraId="2EA45773" w14:textId="68BE9A18" w:rsidR="00892480" w:rsidRDefault="00487A26" w:rsidP="00A67A02">
      <w:pPr>
        <w:pStyle w:val="a2"/>
        <w:numPr>
          <w:ilvl w:val="0"/>
          <w:numId w:val="48"/>
        </w:numPr>
        <w:ind w:firstLineChars="0"/>
        <w:rPr>
          <w:rFonts w:hint="eastAsia"/>
        </w:rPr>
      </w:pPr>
      <w:r w:rsidRPr="0066068E">
        <w:rPr>
          <w:rFonts w:hint="eastAsia"/>
          <w:b/>
          <w:bCs/>
        </w:rPr>
        <w:t>（</w:t>
      </w:r>
      <w:r w:rsidR="00A67A02" w:rsidRPr="0066068E">
        <w:rPr>
          <w:rFonts w:hint="eastAsia"/>
          <w:b/>
          <w:bCs/>
        </w:rPr>
        <w:t>概要</w:t>
      </w:r>
      <w:r w:rsidR="00A67A02" w:rsidRPr="0066068E">
        <w:rPr>
          <w:rFonts w:hint="eastAsia"/>
          <w:b/>
          <w:bCs/>
        </w:rPr>
        <w:t>）</w:t>
      </w:r>
      <w:r w:rsidR="00A67A02" w:rsidRPr="0066068E">
        <w:rPr>
          <w:rFonts w:hint="eastAsia"/>
          <w:b/>
          <w:bCs/>
        </w:rPr>
        <w:t>国債と株式のポートフォリオ</w:t>
      </w:r>
      <w:r w:rsidR="00A67A02">
        <w:br/>
      </w:r>
      <w:r w:rsidRPr="00487A26">
        <w:rPr>
          <w:rFonts w:hint="eastAsia"/>
        </w:rPr>
        <w:t>米国の退職者ポートフォリオでは</w:t>
      </w:r>
      <w:r w:rsidR="002F248B">
        <w:rPr>
          <w:rFonts w:hint="eastAsia"/>
        </w:rPr>
        <w:t>，</w:t>
      </w:r>
      <w:r w:rsidRPr="00487A26">
        <w:rPr>
          <w:rFonts w:hint="eastAsia"/>
        </w:rPr>
        <w:t>米国株式と国債にのみ資産を配分するのが標準的なアプローチである</w:t>
      </w:r>
      <w:r w:rsidR="002F248B">
        <w:rPr>
          <w:rFonts w:hint="eastAsia"/>
        </w:rPr>
        <w:t>．</w:t>
      </w:r>
      <w:r w:rsidRPr="00487A26">
        <w:rPr>
          <w:rFonts w:hint="eastAsia"/>
        </w:rPr>
        <w:t>ここでは</w:t>
      </w:r>
      <w:r w:rsidR="002F248B">
        <w:rPr>
          <w:rFonts w:hint="eastAsia"/>
        </w:rPr>
        <w:t>，</w:t>
      </w:r>
      <w:r w:rsidRPr="00487A26">
        <w:rPr>
          <w:rFonts w:hint="eastAsia"/>
        </w:rPr>
        <w:t>トレンドフォローのルールに従って現金へのシフトを許容することで</w:t>
      </w:r>
      <w:r w:rsidR="002F248B">
        <w:rPr>
          <w:rFonts w:hint="eastAsia"/>
        </w:rPr>
        <w:t>，</w:t>
      </w:r>
      <w:r w:rsidRPr="00487A26">
        <w:rPr>
          <w:rFonts w:hint="eastAsia"/>
        </w:rPr>
        <w:t>また慎重に設計された体系的なベースで</w:t>
      </w:r>
      <w:r w:rsidR="002F248B">
        <w:rPr>
          <w:rFonts w:hint="eastAsia"/>
        </w:rPr>
        <w:t>，</w:t>
      </w:r>
      <w:r w:rsidRPr="00487A26">
        <w:rPr>
          <w:rFonts w:hint="eastAsia"/>
        </w:rPr>
        <w:t>これがどのように影響するかを検証することが目的である</w:t>
      </w:r>
      <w:r w:rsidR="002F248B">
        <w:rPr>
          <w:rFonts w:hint="eastAsia"/>
        </w:rPr>
        <w:t>．</w:t>
      </w:r>
      <w:r>
        <w:br/>
      </w:r>
      <w:r>
        <w:br/>
      </w:r>
      <w:r w:rsidR="009775C4" w:rsidRPr="009775C4">
        <w:rPr>
          <w:rFonts w:hint="eastAsia"/>
        </w:rPr>
        <w:t>トレンドフォロー（別称：絶対的モメンタムまたは時系列モメンタム</w:t>
      </w:r>
      <w:r w:rsidR="002F248B">
        <w:rPr>
          <w:rFonts w:hint="eastAsia"/>
        </w:rPr>
        <w:t>，</w:t>
      </w:r>
      <w:r w:rsidR="009775C4" w:rsidRPr="009775C4">
        <w:t>Moskowitzetal,2012およびHurstetal,2017を参照）が</w:t>
      </w:r>
      <w:r w:rsidR="002F248B">
        <w:t>，</w:t>
      </w:r>
      <w:r w:rsidR="009775C4" w:rsidRPr="009775C4">
        <w:t>「1世紀以上にわたって強い正のリターンを提供し</w:t>
      </w:r>
      <w:r w:rsidR="002F248B">
        <w:t>，</w:t>
      </w:r>
      <w:r w:rsidR="009775C4" w:rsidRPr="009775C4">
        <w:t>従来の資産クラスのリターンと低い相関を実現した」ことが現在ますます認識されています</w:t>
      </w:r>
      <w:r w:rsidR="002F248B">
        <w:t>，</w:t>
      </w:r>
      <w:proofErr w:type="spellStart"/>
      <w:r w:rsidR="009775C4" w:rsidRPr="009775C4">
        <w:t>Hurstetal</w:t>
      </w:r>
      <w:proofErr w:type="spellEnd"/>
      <w:r w:rsidR="009775C4" w:rsidRPr="009775C4">
        <w:t>,(2017).1800年以降のリターンに対するこのパフォーマンスの頑健性は</w:t>
      </w:r>
      <w:r w:rsidR="002F248B">
        <w:t>，</w:t>
      </w:r>
      <w:r w:rsidR="009775C4" w:rsidRPr="009775C4">
        <w:t>最近</w:t>
      </w:r>
      <w:r w:rsidR="002F248B">
        <w:t>，</w:t>
      </w:r>
      <w:proofErr w:type="spellStart"/>
      <w:r w:rsidR="009775C4" w:rsidRPr="009775C4">
        <w:t>Baltussenetal</w:t>
      </w:r>
      <w:proofErr w:type="spellEnd"/>
      <w:r w:rsidR="009775C4" w:rsidRPr="009775C4">
        <w:t>(2019)によって実証された</w:t>
      </w:r>
      <w:r w:rsidR="002F248B">
        <w:t>．</w:t>
      </w:r>
      <w:r w:rsidR="009775C4" w:rsidRPr="009775C4">
        <w:t>彼らはまた</w:t>
      </w:r>
      <w:r w:rsidR="002F248B">
        <w:t>，</w:t>
      </w:r>
      <w:r w:rsidR="009775C4" w:rsidRPr="009775C4">
        <w:t>このパフォーマンスの統計的有意性が</w:t>
      </w:r>
      <w:r w:rsidR="002F248B">
        <w:t>，</w:t>
      </w:r>
      <w:r w:rsidR="009775C4" w:rsidRPr="009775C4">
        <w:rPr>
          <w:rFonts w:hint="eastAsia"/>
        </w:rPr>
        <w:t>大量の潜在的要因の発生やデータスヌープに対しても頑健であることを示している</w:t>
      </w:r>
      <w:r w:rsidR="002F248B">
        <w:rPr>
          <w:rFonts w:hint="eastAsia"/>
        </w:rPr>
        <w:t>．</w:t>
      </w:r>
      <w:r w:rsidR="0066068E">
        <w:br/>
      </w:r>
      <w:r w:rsidR="0066068E">
        <w:br/>
      </w:r>
      <w:r w:rsidR="00F976DE" w:rsidRPr="00F976DE">
        <w:rPr>
          <w:rFonts w:hint="eastAsia"/>
        </w:rPr>
        <w:t>その最も単純な形式では</w:t>
      </w:r>
      <w:r w:rsidR="002F248B">
        <w:rPr>
          <w:rFonts w:hint="eastAsia"/>
        </w:rPr>
        <w:t>，</w:t>
      </w:r>
      <w:r w:rsidR="00F976DE" w:rsidRPr="00F976DE">
        <w:rPr>
          <w:rFonts w:hint="eastAsia"/>
        </w:rPr>
        <w:t>絶対的な運動量は</w:t>
      </w:r>
      <w:r w:rsidR="002F248B">
        <w:rPr>
          <w:rFonts w:hint="eastAsia"/>
        </w:rPr>
        <w:t>，</w:t>
      </w:r>
      <w:r w:rsidR="00F976DE" w:rsidRPr="00F976DE">
        <w:rPr>
          <w:rFonts w:hint="eastAsia"/>
        </w:rPr>
        <w:t>価格が過去の価格の移動平均を上回っている資産を購入することがあります</w:t>
      </w:r>
      <w:r w:rsidR="002F248B">
        <w:rPr>
          <w:rFonts w:hint="eastAsia"/>
        </w:rPr>
        <w:t>，</w:t>
      </w:r>
      <w:r w:rsidR="00F976DE" w:rsidRPr="00F976DE">
        <w:rPr>
          <w:rFonts w:hint="eastAsia"/>
        </w:rPr>
        <w:t>多くの場合</w:t>
      </w:r>
      <w:r w:rsidR="002F248B">
        <w:rPr>
          <w:rFonts w:hint="eastAsia"/>
        </w:rPr>
        <w:t>，</w:t>
      </w:r>
      <w:r w:rsidR="00F976DE" w:rsidRPr="00F976DE">
        <w:rPr>
          <w:rFonts w:hint="eastAsia"/>
        </w:rPr>
        <w:t>時間を振り返って言う</w:t>
      </w:r>
      <w:r w:rsidR="00F976DE" w:rsidRPr="00F976DE">
        <w:t>10ヶ月または1年</w:t>
      </w:r>
      <w:r w:rsidR="002F248B">
        <w:t>，</w:t>
      </w:r>
      <w:r w:rsidR="00F976DE" w:rsidRPr="00F976DE">
        <w:t>まだ資産価格が前記平均を下回ると現金または財務省証券にポートフォリオのこの部分を移動（売却）すること</w:t>
      </w:r>
      <w:r w:rsidR="002F248B">
        <w:t>．</w:t>
      </w:r>
      <w:r w:rsidR="00F976DE" w:rsidRPr="00F976DE">
        <w:t>このように</w:t>
      </w:r>
      <w:r w:rsidR="002F248B">
        <w:t>，</w:t>
      </w:r>
      <w:r w:rsidR="00F976DE" w:rsidRPr="00F976DE">
        <w:t>これは現金にポートフォリオの割合を売却することを含むが</w:t>
      </w:r>
      <w:r w:rsidR="002F248B">
        <w:t>，</w:t>
      </w:r>
      <w:r w:rsidR="00F976DE" w:rsidRPr="00F976DE">
        <w:t>より洗練されたバージョンでは</w:t>
      </w:r>
      <w:r w:rsidR="002F248B">
        <w:t>，</w:t>
      </w:r>
      <w:r w:rsidR="00F976DE" w:rsidRPr="00F976DE">
        <w:t>むしろ現金自体に資産をショートさせるだろう</w:t>
      </w:r>
      <w:r w:rsidR="002F248B">
        <w:t>．</w:t>
      </w:r>
      <w:r w:rsidR="008F410D">
        <w:br/>
      </w:r>
      <w:r w:rsidR="008F410D">
        <w:br/>
      </w:r>
      <w:r w:rsidR="008F410D" w:rsidRPr="008F410D">
        <w:rPr>
          <w:rFonts w:hint="eastAsia"/>
        </w:rPr>
        <w:t>ただし</w:t>
      </w:r>
      <w:r w:rsidR="002F248B">
        <w:rPr>
          <w:rFonts w:hint="eastAsia"/>
        </w:rPr>
        <w:t>，</w:t>
      </w:r>
      <w:r w:rsidR="008F410D" w:rsidRPr="008F410D">
        <w:rPr>
          <w:rFonts w:hint="eastAsia"/>
        </w:rPr>
        <w:t>他の資産と比較して最近の資産のパフォーマンスを考慮する</w:t>
      </w:r>
      <w:r w:rsidR="002F248B">
        <w:rPr>
          <w:rFonts w:hint="eastAsia"/>
        </w:rPr>
        <w:t>，</w:t>
      </w:r>
      <w:r w:rsidR="008F410D" w:rsidRPr="008F410D">
        <w:rPr>
          <w:rFonts w:hint="eastAsia"/>
        </w:rPr>
        <w:t>よりよく知られた伝統的なクロスセクションのモメンタム因子と区別することに注意する必要がある（</w:t>
      </w:r>
      <w:r w:rsidR="008F410D" w:rsidRPr="008F410D">
        <w:t>DebondtandThaler,1986andJegadishandTitman,1991）</w:t>
      </w:r>
      <w:r w:rsidR="002F248B">
        <w:t>．</w:t>
      </w:r>
      <w:proofErr w:type="spellStart"/>
      <w:r w:rsidR="008F410D" w:rsidRPr="008F410D">
        <w:t>Baltussen</w:t>
      </w:r>
      <w:proofErr w:type="spellEnd"/>
      <w:r w:rsidR="008F410D" w:rsidRPr="008F410D">
        <w:t>ら（2019）の最近の結果は</w:t>
      </w:r>
      <w:r w:rsidR="002F248B">
        <w:t>，</w:t>
      </w:r>
      <w:r w:rsidR="008F410D" w:rsidRPr="008F410D">
        <w:t>1800年以降の世界のリターンデータに対するスパニングテストにおいて</w:t>
      </w:r>
      <w:r w:rsidR="002F248B">
        <w:t>，</w:t>
      </w:r>
      <w:r w:rsidR="008F410D" w:rsidRPr="008F410D">
        <w:t>トレンドフォローがモメンタムを包含することを示している</w:t>
      </w:r>
      <w:r w:rsidR="002F248B">
        <w:t>．</w:t>
      </w:r>
      <w:r w:rsidR="008F410D" w:rsidRPr="008F410D">
        <w:t>絶対的モメンタム戦略は</w:t>
      </w:r>
      <w:r w:rsidR="002F248B">
        <w:t>，</w:t>
      </w:r>
      <w:r w:rsidR="008F410D" w:rsidRPr="008F410D">
        <w:t>ロングオンリーで保有する戦略よりも平均リターン</w:t>
      </w:r>
      <w:r w:rsidR="008F410D" w:rsidRPr="008F410D">
        <w:rPr>
          <w:rFonts w:hint="eastAsia"/>
        </w:rPr>
        <w:t>を引き上げることに加え</w:t>
      </w:r>
      <w:r w:rsidR="002F248B">
        <w:rPr>
          <w:rFonts w:hint="eastAsia"/>
        </w:rPr>
        <w:t>，</w:t>
      </w:r>
      <w:r w:rsidR="008F410D" w:rsidRPr="008F410D">
        <w:rPr>
          <w:rFonts w:hint="eastAsia"/>
        </w:rPr>
        <w:t>一般的にポートフォリオのリスク調整後リターンを改善する（</w:t>
      </w:r>
      <w:r w:rsidR="008F410D" w:rsidRPr="008F410D">
        <w:t>Hurstetal,2017andFaber,2007）</w:t>
      </w:r>
      <w:r w:rsidR="002F248B">
        <w:t>．</w:t>
      </w:r>
      <w:r w:rsidR="00ED09F6">
        <w:br/>
      </w:r>
      <w:r w:rsidR="00ED09F6">
        <w:br/>
      </w:r>
      <w:r w:rsidR="00ED09F6" w:rsidRPr="00ED09F6">
        <w:rPr>
          <w:rFonts w:hint="eastAsia"/>
        </w:rPr>
        <w:t>トレンドフォローの成功は</w:t>
      </w:r>
      <w:r w:rsidR="002F248B">
        <w:rPr>
          <w:rFonts w:hint="eastAsia"/>
        </w:rPr>
        <w:t>，</w:t>
      </w:r>
      <w:r w:rsidR="00ED09F6" w:rsidRPr="00ED09F6">
        <w:rPr>
          <w:rFonts w:hint="eastAsia"/>
        </w:rPr>
        <w:t>どのような根本的な行動で説明できるのでしょうか</w:t>
      </w:r>
      <w:r w:rsidR="002F248B">
        <w:rPr>
          <w:rFonts w:hint="eastAsia"/>
        </w:rPr>
        <w:t>．</w:t>
      </w:r>
      <w:proofErr w:type="spellStart"/>
      <w:r w:rsidR="00ED09F6" w:rsidRPr="00ED09F6">
        <w:t>Hurstetal</w:t>
      </w:r>
      <w:proofErr w:type="spellEnd"/>
      <w:r w:rsidR="00ED09F6" w:rsidRPr="00ED09F6">
        <w:t>,(2017)は</w:t>
      </w:r>
      <w:r w:rsidR="002F248B">
        <w:t>，</w:t>
      </w:r>
      <w:r w:rsidR="00ED09F6" w:rsidRPr="00ED09F6">
        <w:t>「多くの研究が</w:t>
      </w:r>
      <w:r w:rsidR="002F248B">
        <w:t>，</w:t>
      </w:r>
      <w:r w:rsidR="00ED09F6" w:rsidRPr="00ED09F6">
        <w:t>価格トレンドは</w:t>
      </w:r>
      <w:r w:rsidR="002F248B">
        <w:t>，</w:t>
      </w:r>
      <w:r w:rsidR="00ED09F6" w:rsidRPr="00ED09F6">
        <w:t>アンカリングや群れといった投資家が示す長年の行動バイアスによって部分的に存在することを示している」と指摘しています</w:t>
      </w:r>
      <w:r w:rsidR="002F248B">
        <w:t>．</w:t>
      </w:r>
      <w:proofErr w:type="spellStart"/>
      <w:r w:rsidR="00ED09F6" w:rsidRPr="00ED09F6">
        <w:t>AbsoluteMomentum</w:t>
      </w:r>
      <w:proofErr w:type="spellEnd"/>
      <w:r w:rsidR="00ED09F6" w:rsidRPr="00ED09F6">
        <w:t>の成功の直感は</w:t>
      </w:r>
      <w:r w:rsidR="002F248B">
        <w:t>，</w:t>
      </w:r>
      <w:r w:rsidR="00ED09F6" w:rsidRPr="00ED09F6">
        <w:t>弱気相場は何ヶ月にもわたって徐々に発生し</w:t>
      </w:r>
      <w:r w:rsidR="002F248B">
        <w:t>，</w:t>
      </w:r>
      <w:r w:rsidR="00ED09F6" w:rsidRPr="00ED09F6">
        <w:t>この戦略は価格の下落から利益を得るために時間内にショートすることができるというものである</w:t>
      </w:r>
      <w:r w:rsidR="002F248B">
        <w:t>．</w:t>
      </w:r>
      <w:r w:rsidR="00ED09F6" w:rsidRPr="00ED09F6">
        <w:t>実際に彼らは</w:t>
      </w:r>
      <w:r w:rsidR="002F248B">
        <w:t>，</w:t>
      </w:r>
      <w:r w:rsidR="00ED09F6" w:rsidRPr="00ED09F6">
        <w:t>株式市場がマイナスの年やそれに伴う下降リスクの時期に</w:t>
      </w:r>
      <w:r w:rsidR="00ED09F6" w:rsidRPr="00ED09F6">
        <w:rPr>
          <w:rFonts w:hint="eastAsia"/>
        </w:rPr>
        <w:t>は</w:t>
      </w:r>
      <w:r w:rsidR="002F248B">
        <w:rPr>
          <w:rFonts w:hint="eastAsia"/>
        </w:rPr>
        <w:t>，</w:t>
      </w:r>
      <w:r w:rsidR="00ED09F6" w:rsidRPr="00ED09F6">
        <w:rPr>
          <w:rFonts w:hint="eastAsia"/>
        </w:rPr>
        <w:t>この戦略が株式と負の相関を持ち</w:t>
      </w:r>
      <w:r w:rsidR="002F248B">
        <w:rPr>
          <w:rFonts w:hint="eastAsia"/>
        </w:rPr>
        <w:t>，</w:t>
      </w:r>
      <w:r w:rsidR="00ED09F6" w:rsidRPr="00ED09F6">
        <w:rPr>
          <w:rFonts w:hint="eastAsia"/>
        </w:rPr>
        <w:t>強い上昇と下降の年には特に優れたパフォーマンスを示すことを示している（</w:t>
      </w:r>
      <w:r w:rsidR="00ED09F6" w:rsidRPr="00ED09F6">
        <w:t>Baltussenetal,2019も参照）</w:t>
      </w:r>
      <w:r w:rsidR="002F248B">
        <w:t>．</w:t>
      </w:r>
      <w:r w:rsidR="00A34AF5">
        <w:br/>
      </w:r>
      <w:r w:rsidR="00A34AF5">
        <w:br/>
      </w:r>
      <w:r w:rsidR="00A34AF5" w:rsidRPr="00A34AF5">
        <w:rPr>
          <w:rFonts w:hint="eastAsia"/>
        </w:rPr>
        <w:lastRenderedPageBreak/>
        <w:t>表</w:t>
      </w:r>
      <w:r w:rsidR="00A34AF5" w:rsidRPr="00A34AF5">
        <w:t>1は，毎月末にリバランスが行われると仮定した場合の，株式と債券のポートフォリオの様々な組み合わせの要約統計である（値はすべて実質ドル，株式リターンはShillerデータベース3から，債券リターンはGoyalデータベース4中の</w:t>
      </w:r>
      <w:proofErr w:type="spellStart"/>
      <w:r w:rsidR="00A34AF5" w:rsidRPr="00A34AF5">
        <w:t>WelchandGoyal</w:t>
      </w:r>
      <w:proofErr w:type="spellEnd"/>
      <w:r w:rsidR="00A34AF5" w:rsidRPr="00A34AF5">
        <w:t>(2008)のアップデートから得たもの）</w:t>
      </w:r>
      <w:r w:rsidR="002F248B">
        <w:t>．</w:t>
      </w:r>
      <w:r w:rsidR="00A34AF5" w:rsidRPr="00A34AF5">
        <w:t>パネルAでは</w:t>
      </w:r>
      <w:r w:rsidR="002F248B">
        <w:t>，</w:t>
      </w:r>
      <w:r w:rsidR="00A34AF5" w:rsidRPr="00A34AF5">
        <w:t>米国株式と米国国債からなる従来のポートフォリオが表示されている</w:t>
      </w:r>
      <w:r w:rsidR="002F248B">
        <w:t>．</w:t>
      </w:r>
      <w:r w:rsidR="00A34AF5" w:rsidRPr="00A34AF5">
        <w:t>しかし</w:t>
      </w:r>
      <w:r w:rsidR="002F248B">
        <w:t>，</w:t>
      </w:r>
      <w:r w:rsidR="00A34AF5" w:rsidRPr="00A34AF5">
        <w:t>シャープレシオに基づくと</w:t>
      </w:r>
      <w:r w:rsidR="002F248B">
        <w:t>，</w:t>
      </w:r>
      <w:r w:rsidR="00A34AF5" w:rsidRPr="00A34AF5">
        <w:t>リスクとリターンのトレードオフが最も良い組み合わせは</w:t>
      </w:r>
      <w:r w:rsidR="002F248B">
        <w:t>，</w:t>
      </w:r>
      <w:r w:rsidR="00A34AF5" w:rsidRPr="00A34AF5">
        <w:t>株式と債券がほぼ50％ずつ</w:t>
      </w:r>
      <w:r w:rsidR="00A34AF5" w:rsidRPr="00A34AF5">
        <w:rPr>
          <w:rFonts w:hint="eastAsia"/>
        </w:rPr>
        <w:t>（</w:t>
      </w:r>
      <w:r w:rsidR="00A34AF5" w:rsidRPr="00A34AF5">
        <w:t>50-50）で</w:t>
      </w:r>
      <w:r w:rsidR="002F248B">
        <w:t>，</w:t>
      </w:r>
      <w:r w:rsidR="00A34AF5" w:rsidRPr="00A34AF5">
        <w:t>リターンは約5.0％</w:t>
      </w:r>
      <w:r w:rsidR="002F248B">
        <w:t>，</w:t>
      </w:r>
      <w:r w:rsidR="00A34AF5" w:rsidRPr="00A34AF5">
        <w:t>ボラティリティは9.0％である</w:t>
      </w:r>
      <w:r w:rsidR="002F248B">
        <w:t>．</w:t>
      </w:r>
      <w:r w:rsidR="00A34AF5" w:rsidRPr="00A34AF5">
        <w:t>これは，実質的な最大ドローダウンが最も小さくなるポートフォリオに近いものとなっている</w:t>
      </w:r>
      <w:r w:rsidR="002F248B">
        <w:t>．</w:t>
      </w:r>
      <w:r w:rsidR="00A34AF5" w:rsidRPr="00A34AF5">
        <w:t>これは</w:t>
      </w:r>
      <w:r w:rsidR="002F248B">
        <w:t>，</w:t>
      </w:r>
      <w:r w:rsidR="00A34AF5" w:rsidRPr="00A34AF5">
        <w:t>米国で実際に普及している株式と債券の比率が60/40という資産配分と</w:t>
      </w:r>
      <w:r w:rsidR="002F248B">
        <w:t>，</w:t>
      </w:r>
      <w:proofErr w:type="spellStart"/>
      <w:r w:rsidR="00A34AF5" w:rsidRPr="00A34AF5">
        <w:t>Bengen</w:t>
      </w:r>
      <w:proofErr w:type="spellEnd"/>
      <w:r w:rsidR="00A34AF5" w:rsidRPr="00A34AF5">
        <w:t>(1994)の</w:t>
      </w:r>
      <w:proofErr w:type="spellStart"/>
      <w:r w:rsidR="00A34AF5" w:rsidRPr="00A34AF5">
        <w:t>sustainablewithdrawal</w:t>
      </w:r>
      <w:proofErr w:type="spellEnd"/>
      <w:r w:rsidR="00A34AF5" w:rsidRPr="00A34AF5">
        <w:t>の議論とが</w:t>
      </w:r>
      <w:r w:rsidR="002F248B">
        <w:t>，</w:t>
      </w:r>
      <w:r w:rsidR="00A34AF5" w:rsidRPr="00A34AF5">
        <w:t>驚くほど偶然に一致していることを示している</w:t>
      </w:r>
      <w:r w:rsidR="002F248B">
        <w:t>．</w:t>
      </w:r>
      <w:r w:rsidR="00A34AF5" w:rsidRPr="00A34AF5">
        <w:t>しかし</w:t>
      </w:r>
      <w:r w:rsidR="002F248B">
        <w:t>，</w:t>
      </w:r>
      <w:r w:rsidR="00A34AF5" w:rsidRPr="00A34AF5">
        <w:t>表1は</w:t>
      </w:r>
      <w:r w:rsidR="002F248B">
        <w:t>，</w:t>
      </w:r>
      <w:r w:rsidR="00A34AF5" w:rsidRPr="00A34AF5">
        <w:t>債券のリターンの変動が小さい一方で</w:t>
      </w:r>
      <w:r w:rsidR="002F248B">
        <w:t>，</w:t>
      </w:r>
      <w:r w:rsidR="00A34AF5" w:rsidRPr="00A34AF5">
        <w:t>株式と同程度の大きさの最大ドローダウンの影響を受けることも示していることは指摘して</w:t>
      </w:r>
      <w:r w:rsidR="00A34AF5" w:rsidRPr="00A34AF5">
        <w:rPr>
          <w:rFonts w:hint="eastAsia"/>
        </w:rPr>
        <w:t>おく必要がある</w:t>
      </w:r>
      <w:r w:rsidR="002F248B">
        <w:rPr>
          <w:rFonts w:hint="eastAsia"/>
        </w:rPr>
        <w:t>．</w:t>
      </w:r>
      <w:r w:rsidR="00A34AF5" w:rsidRPr="00A34AF5">
        <w:rPr>
          <w:rFonts w:hint="eastAsia"/>
        </w:rPr>
        <w:t>債券を</w:t>
      </w:r>
      <w:r w:rsidR="00A34AF5" w:rsidRPr="00A34AF5">
        <w:t>80%</w:t>
      </w:r>
      <w:r w:rsidR="002F248B">
        <w:t>，</w:t>
      </w:r>
      <w:r w:rsidR="00A34AF5" w:rsidRPr="00A34AF5">
        <w:t>90%</w:t>
      </w:r>
      <w:r w:rsidR="002F248B">
        <w:t>，</w:t>
      </w:r>
      <w:r w:rsidR="00A34AF5" w:rsidRPr="00A34AF5">
        <w:t>100%保有するポートフォリオの最大（実質）ドローダウンは</w:t>
      </w:r>
      <w:r w:rsidR="002F248B">
        <w:t>，</w:t>
      </w:r>
      <w:r w:rsidR="00A34AF5" w:rsidRPr="00A34AF5">
        <w:t>それぞれ49%</w:t>
      </w:r>
      <w:r w:rsidR="002F248B">
        <w:t>，</w:t>
      </w:r>
      <w:r w:rsidR="00A34AF5" w:rsidRPr="00A34AF5">
        <w:t>53%</w:t>
      </w:r>
      <w:r w:rsidR="002F248B">
        <w:t>，</w:t>
      </w:r>
      <w:r w:rsidR="00A34AF5" w:rsidRPr="00A34AF5">
        <w:t>67%である!このことは</w:t>
      </w:r>
      <w:r w:rsidR="002F248B">
        <w:t>，</w:t>
      </w:r>
      <w:r w:rsidR="00A34AF5" w:rsidRPr="00A34AF5">
        <w:t>TDFを支持する主要な論拠を崩すものである</w:t>
      </w:r>
      <w:r w:rsidR="002F248B">
        <w:t>．</w:t>
      </w:r>
      <w:r w:rsidR="00A34AF5">
        <w:br/>
      </w:r>
      <w:r w:rsidR="00A34AF5">
        <w:br/>
      </w:r>
      <w:r w:rsidR="00313312" w:rsidRPr="00313312">
        <w:rPr>
          <w:rFonts w:hint="eastAsia"/>
        </w:rPr>
        <w:t>パネル</w:t>
      </w:r>
      <w:r w:rsidR="00313312" w:rsidRPr="00313312">
        <w:t>Bは</w:t>
      </w:r>
      <w:r w:rsidR="002F248B">
        <w:t>，</w:t>
      </w:r>
      <w:r w:rsidR="00313312" w:rsidRPr="00313312">
        <w:t>単純な10ヶ月のトレンドフォロー・ルールを適用した株式と債券の組み合わせである</w:t>
      </w:r>
      <w:r w:rsidR="002F248B">
        <w:t>．</w:t>
      </w:r>
      <w:proofErr w:type="spellStart"/>
      <w:r w:rsidR="00313312" w:rsidRPr="00313312">
        <w:t>Clareetal</w:t>
      </w:r>
      <w:proofErr w:type="spellEnd"/>
      <w:r w:rsidR="00313312" w:rsidRPr="00313312">
        <w:t>(2016)などの方法に従い</w:t>
      </w:r>
      <w:r w:rsidR="002F248B">
        <w:t>，</w:t>
      </w:r>
      <w:r w:rsidR="00313312" w:rsidRPr="00313312">
        <w:t>株式の場合</w:t>
      </w:r>
      <w:r w:rsidR="002F248B">
        <w:t>，</w:t>
      </w:r>
      <w:r w:rsidR="00313312" w:rsidRPr="00313312">
        <w:t>価格が10ヶ月移動平均を上回れば上昇トレンドであり</w:t>
      </w:r>
      <w:r w:rsidR="002F248B">
        <w:t>，</w:t>
      </w:r>
      <w:r w:rsidR="00313312" w:rsidRPr="00313312">
        <w:t>ロングポジションを保有することになる</w:t>
      </w:r>
      <w:r w:rsidR="002F248B">
        <w:t>．</w:t>
      </w:r>
      <w:r w:rsidR="00313312" w:rsidRPr="00313312">
        <w:t>価格が移動平均を下回っている場合は</w:t>
      </w:r>
      <w:r w:rsidR="002F248B">
        <w:t>，</w:t>
      </w:r>
      <w:r w:rsidR="00313312" w:rsidRPr="00313312">
        <w:t>代わりに国債に投資していると仮定して加重平均を行う</w:t>
      </w:r>
      <w:r w:rsidR="002F248B">
        <w:t>．</w:t>
      </w:r>
      <w:r w:rsidR="00313312" w:rsidRPr="00313312">
        <w:t>債券については</w:t>
      </w:r>
      <w:r w:rsidR="002F248B">
        <w:t>，</w:t>
      </w:r>
      <w:r w:rsidR="00313312" w:rsidRPr="00313312">
        <w:t>トータルリターンのインデックスを使用する以外は</w:t>
      </w:r>
      <w:r w:rsidR="002F248B">
        <w:t>，</w:t>
      </w:r>
      <w:r w:rsidR="00313312" w:rsidRPr="00313312">
        <w:t>同じルールを採用しています</w:t>
      </w:r>
      <w:r w:rsidR="002F248B">
        <w:t>．</w:t>
      </w:r>
      <w:r w:rsidR="00313312" w:rsidRPr="00313312">
        <w:t>まず</w:t>
      </w:r>
      <w:r w:rsidR="002F248B">
        <w:t>，</w:t>
      </w:r>
      <w:r w:rsidR="00313312" w:rsidRPr="00313312">
        <w:t>債券にトレンドフォローを適用した場合</w:t>
      </w:r>
      <w:r w:rsidR="002F248B">
        <w:t>，</w:t>
      </w:r>
      <w:r w:rsidR="00313312" w:rsidRPr="00313312">
        <w:t>通常のパフォーマンス指標に与える影響は比</w:t>
      </w:r>
      <w:r w:rsidR="00313312" w:rsidRPr="00313312">
        <w:rPr>
          <w:rFonts w:hint="eastAsia"/>
        </w:rPr>
        <w:t>較的小さく</w:t>
      </w:r>
      <w:r w:rsidR="002F248B">
        <w:rPr>
          <w:rFonts w:hint="eastAsia"/>
        </w:rPr>
        <w:t>，</w:t>
      </w:r>
      <w:r w:rsidR="00313312" w:rsidRPr="00313312">
        <w:rPr>
          <w:rFonts w:hint="eastAsia"/>
        </w:rPr>
        <w:t>リターンはごくわずかに低下しますが</w:t>
      </w:r>
      <w:r w:rsidR="002F248B">
        <w:rPr>
          <w:rFonts w:hint="eastAsia"/>
        </w:rPr>
        <w:t>，</w:t>
      </w:r>
      <w:r w:rsidR="00313312" w:rsidRPr="00313312">
        <w:rPr>
          <w:rFonts w:hint="eastAsia"/>
        </w:rPr>
        <w:t>ボラティリティも同様に低下します</w:t>
      </w:r>
      <w:r w:rsidR="002F248B">
        <w:rPr>
          <w:rFonts w:hint="eastAsia"/>
        </w:rPr>
        <w:t>．</w:t>
      </w:r>
      <w:r w:rsidR="00313312" w:rsidRPr="00313312">
        <w:rPr>
          <w:rFonts w:hint="eastAsia"/>
        </w:rPr>
        <w:t>一方</w:t>
      </w:r>
      <w:r w:rsidR="002F248B">
        <w:rPr>
          <w:rFonts w:hint="eastAsia"/>
        </w:rPr>
        <w:t>，</w:t>
      </w:r>
      <w:r w:rsidR="00313312" w:rsidRPr="00313312">
        <w:rPr>
          <w:rFonts w:hint="eastAsia"/>
        </w:rPr>
        <w:t>株式は</w:t>
      </w:r>
      <w:r w:rsidR="002F248B">
        <w:rPr>
          <w:rFonts w:hint="eastAsia"/>
        </w:rPr>
        <w:t>，</w:t>
      </w:r>
      <w:r w:rsidR="00313312" w:rsidRPr="00313312">
        <w:rPr>
          <w:rFonts w:hint="eastAsia"/>
        </w:rPr>
        <w:t>リターンが</w:t>
      </w:r>
      <w:r w:rsidR="00313312" w:rsidRPr="00313312">
        <w:t>160bps高いが</w:t>
      </w:r>
      <w:r w:rsidR="002F248B">
        <w:t>，</w:t>
      </w:r>
      <w:r w:rsidR="00313312" w:rsidRPr="00313312">
        <w:t>ボラティリティは15.6%から10.4%弱に低下している</w:t>
      </w:r>
      <w:r w:rsidR="002F248B">
        <w:t>．</w:t>
      </w:r>
      <w:r w:rsidR="00313312" w:rsidRPr="00313312">
        <w:t>最大ドローダウンは</w:t>
      </w:r>
      <w:r w:rsidR="002F248B">
        <w:t>，</w:t>
      </w:r>
      <w:r w:rsidR="00313312" w:rsidRPr="00313312">
        <w:t>両資産クラスともかなり低くなっている</w:t>
      </w:r>
      <w:r w:rsidR="002F248B">
        <w:t>．</w:t>
      </w:r>
      <w:r w:rsidR="00313312" w:rsidRPr="00313312">
        <w:t>株式のみのポートフォリオでは半分以上</w:t>
      </w:r>
      <w:r w:rsidR="002F248B">
        <w:t>，</w:t>
      </w:r>
      <w:r w:rsidR="00313312" w:rsidRPr="00313312">
        <w:t>債券のみのポートフォリオでは3分の1に減少している</w:t>
      </w:r>
      <w:r w:rsidR="002F248B">
        <w:t>．</w:t>
      </w:r>
      <w:r w:rsidR="00313312" w:rsidRPr="00313312">
        <w:t>こうした「改善」は</w:t>
      </w:r>
      <w:r w:rsidR="002F248B">
        <w:t>，</w:t>
      </w:r>
      <w:r w:rsidR="00313312" w:rsidRPr="00313312">
        <w:t>1872年以降のS&amp;P500の結果と一致する（Clareetal,2017）</w:t>
      </w:r>
      <w:r w:rsidR="002F248B">
        <w:t>．</w:t>
      </w:r>
      <w:r w:rsidR="00783D2A">
        <w:br/>
      </w:r>
      <w:r w:rsidR="00783D2A">
        <w:br/>
      </w:r>
      <w:r w:rsidR="0056336D" w:rsidRPr="0056336D">
        <w:rPr>
          <w:rFonts w:hint="eastAsia"/>
        </w:rPr>
        <w:t>その結果</w:t>
      </w:r>
      <w:r w:rsidR="002F248B">
        <w:rPr>
          <w:rFonts w:hint="eastAsia"/>
        </w:rPr>
        <w:t>，</w:t>
      </w:r>
      <w:r w:rsidR="0056336D" w:rsidRPr="0056336D">
        <w:rPr>
          <w:rFonts w:hint="eastAsia"/>
        </w:rPr>
        <w:t>リスクとリターンのトレードオフが最も良好な株式と債券の組み合わせは</w:t>
      </w:r>
      <w:r w:rsidR="002F248B">
        <w:rPr>
          <w:rFonts w:hint="eastAsia"/>
        </w:rPr>
        <w:t>，</w:t>
      </w:r>
      <w:r w:rsidR="0056336D" w:rsidRPr="0056336D">
        <w:rPr>
          <w:rFonts w:hint="eastAsia"/>
        </w:rPr>
        <w:t>前者が約</w:t>
      </w:r>
      <w:r w:rsidR="0056336D" w:rsidRPr="0056336D">
        <w:t>70%</w:t>
      </w:r>
      <w:r w:rsidR="002F248B">
        <w:t>，</w:t>
      </w:r>
      <w:r w:rsidR="0056336D" w:rsidRPr="0056336D">
        <w:t>後者が約30%であることが分かった（70-30TF）</w:t>
      </w:r>
      <w:r w:rsidR="002F248B">
        <w:t>．</w:t>
      </w:r>
      <w:r w:rsidR="0056336D" w:rsidRPr="0056336D">
        <w:t>この場合のリターンは6.7%</w:t>
      </w:r>
      <w:r w:rsidR="002F248B">
        <w:t>，</w:t>
      </w:r>
      <w:r w:rsidR="0056336D" w:rsidRPr="0056336D">
        <w:t>ボラティリティは7.7%であり</w:t>
      </w:r>
      <w:r w:rsidR="002F248B">
        <w:t>，</w:t>
      </w:r>
      <w:r w:rsidR="0056336D" w:rsidRPr="0056336D">
        <w:t>同等の標準的な70-30ポートフォリオではそれぞれ5.8%</w:t>
      </w:r>
      <w:r w:rsidR="002F248B">
        <w:t>，</w:t>
      </w:r>
      <w:r w:rsidR="0056336D" w:rsidRPr="0056336D">
        <w:t>11.3%であった</w:t>
      </w:r>
      <w:r w:rsidR="002F248B">
        <w:t>．</w:t>
      </w:r>
      <w:r w:rsidR="0056336D" w:rsidRPr="0056336D">
        <w:t>標準的な60-40に最も近いボラティリティを持つトレンド・フォロー・ポートフォリオは100-0TFであり</w:t>
      </w:r>
      <w:r w:rsidR="002F248B">
        <w:t>，</w:t>
      </w:r>
      <w:r w:rsidR="0056336D" w:rsidRPr="0056336D">
        <w:t>そのリターンは250bps以上も高いのです!これは</w:t>
      </w:r>
      <w:r w:rsidR="002F248B">
        <w:t>，</w:t>
      </w:r>
      <w:r w:rsidR="0056336D" w:rsidRPr="0056336D">
        <w:t>100%株式ポートフォリオを平滑化することで</w:t>
      </w:r>
      <w:r w:rsidR="002F248B">
        <w:t>，</w:t>
      </w:r>
      <w:r w:rsidR="0056336D" w:rsidRPr="0056336D">
        <w:rPr>
          <w:rFonts w:hint="eastAsia"/>
        </w:rPr>
        <w:t>従来の資産クラス間で分散投資するよりも優れたリスク・リターン結果をもたらすという</w:t>
      </w:r>
      <w:r w:rsidR="002F248B">
        <w:rPr>
          <w:rFonts w:hint="eastAsia"/>
        </w:rPr>
        <w:t>，</w:t>
      </w:r>
      <w:r w:rsidR="0056336D" w:rsidRPr="0056336D">
        <w:rPr>
          <w:rFonts w:hint="eastAsia"/>
        </w:rPr>
        <w:t>かなり注目に値する発見です</w:t>
      </w:r>
      <w:r w:rsidR="002F248B">
        <w:rPr>
          <w:rFonts w:hint="eastAsia"/>
        </w:rPr>
        <w:t>．</w:t>
      </w:r>
      <w:r w:rsidR="0056336D" w:rsidRPr="0056336D">
        <w:rPr>
          <w:rFonts w:hint="eastAsia"/>
        </w:rPr>
        <w:t>これはまた</w:t>
      </w:r>
      <w:r w:rsidR="002F248B">
        <w:rPr>
          <w:rFonts w:hint="eastAsia"/>
        </w:rPr>
        <w:t>，</w:t>
      </w:r>
      <w:r w:rsidR="0056336D" w:rsidRPr="0056336D">
        <w:rPr>
          <w:rFonts w:hint="eastAsia"/>
        </w:rPr>
        <w:t>（トレンドフォローという形での）「時間分散」が資産クラス間で分散するよりも報われるという</w:t>
      </w:r>
      <w:r w:rsidR="002F248B">
        <w:rPr>
          <w:rFonts w:hint="eastAsia"/>
        </w:rPr>
        <w:t>，</w:t>
      </w:r>
      <w:r w:rsidR="0056336D" w:rsidRPr="0056336D">
        <w:rPr>
          <w:rFonts w:hint="eastAsia"/>
        </w:rPr>
        <w:t>本論文の主要な発見を示唆しています</w:t>
      </w:r>
      <w:r w:rsidR="002F248B">
        <w:rPr>
          <w:rFonts w:hint="eastAsia"/>
        </w:rPr>
        <w:t>．</w:t>
      </w:r>
      <w:r w:rsidR="00783D2A">
        <w:br/>
      </w:r>
      <w:r w:rsidR="00783D2A">
        <w:br/>
      </w:r>
      <w:r w:rsidR="00932C3E" w:rsidRPr="00932C3E">
        <w:rPr>
          <w:rFonts w:hint="eastAsia"/>
        </w:rPr>
        <w:t>トレンドフォロー</w:t>
      </w:r>
      <w:r w:rsidR="002F248B">
        <w:rPr>
          <w:rFonts w:hint="eastAsia"/>
        </w:rPr>
        <w:t>，</w:t>
      </w:r>
      <w:r w:rsidR="00932C3E" w:rsidRPr="00932C3E">
        <w:rPr>
          <w:rFonts w:hint="eastAsia"/>
        </w:rPr>
        <w:t>あるいは絶対的モメンタムによって</w:t>
      </w:r>
      <w:r w:rsidR="002F248B">
        <w:rPr>
          <w:rFonts w:hint="eastAsia"/>
        </w:rPr>
        <w:t>，</w:t>
      </w:r>
      <w:r w:rsidR="00932C3E" w:rsidRPr="00932C3E">
        <w:rPr>
          <w:rFonts w:hint="eastAsia"/>
        </w:rPr>
        <w:t>投資家は同じリスクで株式の比重を大きくするか</w:t>
      </w:r>
      <w:r w:rsidR="002F248B">
        <w:rPr>
          <w:rFonts w:hint="eastAsia"/>
        </w:rPr>
        <w:t>，</w:t>
      </w:r>
      <w:r w:rsidR="00932C3E" w:rsidRPr="00932C3E">
        <w:rPr>
          <w:rFonts w:hint="eastAsia"/>
        </w:rPr>
        <w:t>同じ資産配分でリスクを小さくすることができます（非トレンド調整</w:t>
      </w:r>
      <w:r w:rsidR="00932C3E" w:rsidRPr="00932C3E">
        <w:t>60-40ポートフォリオの10.08%に対して7.06%のボラティリティです</w:t>
      </w:r>
      <w:r w:rsidR="002F248B">
        <w:t>．</w:t>
      </w:r>
      <w:r w:rsidR="00932C3E" w:rsidRPr="00932C3E">
        <w:t>これは</w:t>
      </w:r>
      <w:r w:rsidR="002F248B">
        <w:t>，</w:t>
      </w:r>
      <w:r w:rsidR="00932C3E" w:rsidRPr="00932C3E">
        <w:t>株式と債券に分散投資することは</w:t>
      </w:r>
      <w:r w:rsidR="002F248B">
        <w:t>，</w:t>
      </w:r>
      <w:r w:rsidR="00932C3E" w:rsidRPr="00932C3E">
        <w:t>株式のみに固執し</w:t>
      </w:r>
      <w:r w:rsidR="002F248B">
        <w:t>，</w:t>
      </w:r>
      <w:r w:rsidR="00932C3E" w:rsidRPr="00932C3E">
        <w:t>トレンドシグナルが示すように現金に資産を出し入れするよりも劣る投資ソリューションであるように見えるという意味で</w:t>
      </w:r>
      <w:r w:rsidR="002F248B">
        <w:t>，</w:t>
      </w:r>
      <w:r w:rsidR="00932C3E" w:rsidRPr="00932C3E">
        <w:t>潜在的に強力な実用的結果である</w:t>
      </w:r>
      <w:r w:rsidR="002F248B">
        <w:t>．</w:t>
      </w:r>
      <w:r w:rsidR="00932C3E" w:rsidRPr="00932C3E">
        <w:t>パネルBは</w:t>
      </w:r>
      <w:r w:rsidR="002F248B">
        <w:t>，</w:t>
      </w:r>
      <w:r w:rsidR="00932C3E" w:rsidRPr="00932C3E">
        <w:t>株式と債券のリターンを単純なトレンドフォローで「スムージ</w:t>
      </w:r>
      <w:r w:rsidR="00932C3E" w:rsidRPr="00932C3E">
        <w:rPr>
          <w:rFonts w:hint="eastAsia"/>
        </w:rPr>
        <w:t>ング」することで</w:t>
      </w:r>
      <w:r w:rsidR="002F248B">
        <w:rPr>
          <w:rFonts w:hint="eastAsia"/>
        </w:rPr>
        <w:t>，</w:t>
      </w:r>
      <w:r w:rsidR="00932C3E" w:rsidRPr="00932C3E">
        <w:rPr>
          <w:rFonts w:hint="eastAsia"/>
        </w:rPr>
        <w:t>より優れた総合的な投資体験を提供している</w:t>
      </w:r>
      <w:r w:rsidR="002F248B">
        <w:rPr>
          <w:rFonts w:hint="eastAsia"/>
        </w:rPr>
        <w:t>．</w:t>
      </w:r>
      <w:r w:rsidR="00B7294D">
        <w:br/>
      </w:r>
      <w:r w:rsidR="00B7294D">
        <w:br/>
      </w:r>
      <w:r w:rsidR="008D0D80" w:rsidRPr="008D0D80">
        <w:rPr>
          <w:rFonts w:hint="eastAsia"/>
        </w:rPr>
        <w:t>もちろん</w:t>
      </w:r>
      <w:r w:rsidR="002F248B">
        <w:rPr>
          <w:rFonts w:hint="eastAsia"/>
        </w:rPr>
        <w:t>，</w:t>
      </w:r>
      <w:r w:rsidR="008D0D80" w:rsidRPr="008D0D80">
        <w:rPr>
          <w:rFonts w:hint="eastAsia"/>
        </w:rPr>
        <w:t>余談だが</w:t>
      </w:r>
      <w:r w:rsidR="002F248B">
        <w:rPr>
          <w:rFonts w:hint="eastAsia"/>
        </w:rPr>
        <w:t>，</w:t>
      </w:r>
      <w:r w:rsidR="008D0D80" w:rsidRPr="008D0D80">
        <w:rPr>
          <w:rFonts w:hint="eastAsia"/>
        </w:rPr>
        <w:t>より洗練されたトレンドフォローのルールで</w:t>
      </w:r>
      <w:r w:rsidR="002F248B">
        <w:rPr>
          <w:rFonts w:hint="eastAsia"/>
        </w:rPr>
        <w:t>，</w:t>
      </w:r>
      <w:r w:rsidR="008D0D80" w:rsidRPr="008D0D80">
        <w:rPr>
          <w:rFonts w:hint="eastAsia"/>
        </w:rPr>
        <w:t>さらにパフォーマンスを向上させることができるのではないか</w:t>
      </w:r>
      <w:r w:rsidR="002F248B">
        <w:rPr>
          <w:rFonts w:hint="eastAsia"/>
        </w:rPr>
        <w:t>，</w:t>
      </w:r>
      <w:r w:rsidR="008D0D80" w:rsidRPr="008D0D80">
        <w:rPr>
          <w:rFonts w:hint="eastAsia"/>
        </w:rPr>
        <w:t>という疑問もあるだろう</w:t>
      </w:r>
      <w:r w:rsidR="002F248B">
        <w:rPr>
          <w:rFonts w:hint="eastAsia"/>
        </w:rPr>
        <w:t>．</w:t>
      </w:r>
      <w:r w:rsidR="008D0D80" w:rsidRPr="008D0D80">
        <w:rPr>
          <w:rFonts w:hint="eastAsia"/>
        </w:rPr>
        <w:t>トレンド調整の様々なバージョンがテストされ</w:t>
      </w:r>
      <w:r w:rsidR="002F248B">
        <w:rPr>
          <w:rFonts w:hint="eastAsia"/>
        </w:rPr>
        <w:t>，</w:t>
      </w:r>
      <w:r w:rsidR="008D0D80" w:rsidRPr="008D0D80">
        <w:rPr>
          <w:rFonts w:hint="eastAsia"/>
        </w:rPr>
        <w:t>その</w:t>
      </w:r>
      <w:r w:rsidR="008D0D80" w:rsidRPr="008D0D80">
        <w:rPr>
          <w:rFonts w:hint="eastAsia"/>
        </w:rPr>
        <w:lastRenderedPageBreak/>
        <w:t>結果は</w:t>
      </w:r>
      <w:proofErr w:type="spellStart"/>
      <w:r w:rsidR="008D0D80" w:rsidRPr="008D0D80">
        <w:t>Clareetal</w:t>
      </w:r>
      <w:proofErr w:type="spellEnd"/>
      <w:r w:rsidR="008D0D80" w:rsidRPr="008D0D80">
        <w:t>(2012)に詳細に発表されています</w:t>
      </w:r>
      <w:r w:rsidR="002F248B">
        <w:t>．</w:t>
      </w:r>
      <w:r w:rsidR="008D0D80" w:rsidRPr="008D0D80">
        <w:t>基本的に</w:t>
      </w:r>
      <w:r w:rsidR="002F248B">
        <w:t>，</w:t>
      </w:r>
      <w:r w:rsidR="008D0D80" w:rsidRPr="008D0D80">
        <w:t>結果は特定の調整方法</w:t>
      </w:r>
      <w:r w:rsidR="002F248B">
        <w:t>，</w:t>
      </w:r>
      <w:r w:rsidR="008D0D80" w:rsidRPr="008D0D80">
        <w:t>あるいは実際に特定の振り返り期間の選択に比較的敏感ではなく</w:t>
      </w:r>
      <w:r w:rsidR="002F248B">
        <w:t>，</w:t>
      </w:r>
      <w:r w:rsidR="008D0D80" w:rsidRPr="008D0D80">
        <w:t>我々はこの発見を資産クラス全体に適用します（Clareetal,2016にもあります）</w:t>
      </w:r>
      <w:r w:rsidR="002F248B">
        <w:t>．</w:t>
      </w:r>
      <w:r w:rsidR="008F410D">
        <w:br/>
      </w:r>
    </w:p>
    <w:p w14:paraId="4781F9EF" w14:textId="554D857C" w:rsidR="00892480" w:rsidRPr="00364E2E" w:rsidRDefault="007416B5" w:rsidP="007A1045">
      <w:pPr>
        <w:pStyle w:val="a2"/>
        <w:numPr>
          <w:ilvl w:val="0"/>
          <w:numId w:val="48"/>
        </w:numPr>
        <w:ind w:firstLineChars="0"/>
        <w:rPr>
          <w:rFonts w:hint="eastAsia"/>
          <w:b/>
          <w:bCs/>
        </w:rPr>
      </w:pPr>
      <w:r w:rsidRPr="00364E2E">
        <w:rPr>
          <w:rFonts w:hint="eastAsia"/>
          <w:b/>
          <w:bCs/>
        </w:rPr>
        <w:t>デキュムレーション戦略比較</w:t>
      </w:r>
      <w:r w:rsidRPr="00364E2E">
        <w:rPr>
          <w:rFonts w:hint="eastAsia"/>
          <w:b/>
          <w:bCs/>
        </w:rPr>
        <w:t>（PWR）</w:t>
      </w:r>
      <w:r w:rsidRPr="00364E2E">
        <w:rPr>
          <w:b/>
          <w:bCs/>
        </w:rPr>
        <w:br/>
      </w:r>
      <w:r w:rsidR="003D5C35" w:rsidRPr="003D5C35">
        <w:rPr>
          <w:rFonts w:hint="eastAsia"/>
        </w:rPr>
        <w:t>退職期における様々な戦略の相対的な品質を評価する上で重要な比較指標は</w:t>
      </w:r>
      <w:r w:rsidR="002F248B">
        <w:rPr>
          <w:rFonts w:hint="eastAsia"/>
        </w:rPr>
        <w:t>，</w:t>
      </w:r>
      <w:r w:rsidR="003D5C35" w:rsidRPr="003D5C35">
        <w:rPr>
          <w:rFonts w:hint="eastAsia"/>
        </w:rPr>
        <w:t>上記セクション</w:t>
      </w:r>
      <w:r w:rsidR="003D5C35" w:rsidRPr="003D5C35">
        <w:t>2で述べた完全引出率（PWR）である</w:t>
      </w:r>
      <w:r w:rsidR="002F248B">
        <w:t>．</w:t>
      </w:r>
      <w:r w:rsidR="003D5C35" w:rsidRPr="003D5C35">
        <w:t>表2は</w:t>
      </w:r>
      <w:r w:rsidR="002F248B">
        <w:t>，</w:t>
      </w:r>
      <w:r w:rsidR="003D5C35" w:rsidRPr="003D5C35">
        <w:t>30年</w:t>
      </w:r>
      <w:r w:rsidR="002F248B">
        <w:t>，</w:t>
      </w:r>
      <w:r w:rsidR="003D5C35" w:rsidRPr="003D5C35">
        <w:t>20年</w:t>
      </w:r>
      <w:r w:rsidR="002F248B">
        <w:t>，</w:t>
      </w:r>
      <w:r w:rsidR="003D5C35" w:rsidRPr="003D5C35">
        <w:t>10年</w:t>
      </w:r>
      <w:r w:rsidR="002F248B">
        <w:t>，</w:t>
      </w:r>
      <w:r w:rsidR="003D5C35" w:rsidRPr="003D5C35">
        <w:t>5年</w:t>
      </w:r>
      <w:r w:rsidR="002F248B">
        <w:t>，</w:t>
      </w:r>
      <w:r w:rsidR="003D5C35" w:rsidRPr="003D5C35">
        <w:t>3年</w:t>
      </w:r>
      <w:r w:rsidR="002F248B">
        <w:t>，</w:t>
      </w:r>
      <w:r w:rsidR="003D5C35" w:rsidRPr="003D5C35">
        <w:t>2年という様々なデキュムレーション期間の様々なポートフォリオのPWR（これについてはSuarezetal,2015とClareetal,2017を参照）の統計値を表示している</w:t>
      </w:r>
      <w:r w:rsidR="002F248B">
        <w:t>．</w:t>
      </w:r>
      <w:r w:rsidR="003D5C35" w:rsidRPr="003D5C35">
        <w:rPr>
          <w:rFonts w:hint="eastAsia"/>
        </w:rPr>
        <w:t>通常の</w:t>
      </w:r>
      <w:r w:rsidR="003D5C35" w:rsidRPr="003D5C35">
        <w:t>20年や30年だけでなく</w:t>
      </w:r>
      <w:r w:rsidR="002F248B">
        <w:t>，</w:t>
      </w:r>
      <w:r w:rsidR="003D5C35" w:rsidRPr="003D5C35">
        <w:t>非常に短い期間を選んだ理由は</w:t>
      </w:r>
      <w:r w:rsidR="002F248B">
        <w:t>，</w:t>
      </w:r>
      <w:r w:rsidR="003D5C35" w:rsidRPr="003D5C35">
        <w:t>比較的短いグライドパス戦略の利点を評価するためです</w:t>
      </w:r>
      <w:r w:rsidR="002F248B">
        <w:t>．</w:t>
      </w:r>
      <w:r w:rsidR="003D5C35" w:rsidRPr="003D5C35">
        <w:t>債券の比率を高くすることが賢明な戦略である場合はあるのだろうか</w:t>
      </w:r>
      <w:r w:rsidR="002F248B">
        <w:t>．</w:t>
      </w:r>
      <w:r w:rsidR="003D5C35" w:rsidRPr="003D5C35">
        <w:t>以下に述べるように</w:t>
      </w:r>
      <w:r w:rsidR="002F248B">
        <w:t>，</w:t>
      </w:r>
      <w:r w:rsidR="003D5C35" w:rsidRPr="003D5C35">
        <w:t>その答えは「イエス」である</w:t>
      </w:r>
      <w:r w:rsidR="002F248B">
        <w:t>．</w:t>
      </w:r>
      <w:r w:rsidR="00FC39F9" w:rsidRPr="00364E2E">
        <w:rPr>
          <w:b/>
          <w:bCs/>
        </w:rPr>
        <w:br/>
      </w:r>
      <w:r w:rsidR="00FC39F9" w:rsidRPr="00364E2E">
        <w:rPr>
          <w:b/>
          <w:bCs/>
        </w:rPr>
        <w:br/>
      </w:r>
      <w:r w:rsidR="0045238F" w:rsidRPr="0045238F">
        <w:rPr>
          <w:rFonts w:hint="eastAsia"/>
        </w:rPr>
        <w:t>表</w:t>
      </w:r>
      <w:r w:rsidR="0045238F" w:rsidRPr="0045238F">
        <w:t>2の左側は</w:t>
      </w:r>
      <w:r w:rsidR="002F248B">
        <w:t>，</w:t>
      </w:r>
      <w:r w:rsidR="0045238F" w:rsidRPr="0045238F">
        <w:t>株式と債券のみを保有する標準的な投資ポートフォリオによるPWRの値</w:t>
      </w:r>
      <w:r w:rsidR="002F248B">
        <w:t>，</w:t>
      </w:r>
      <w:r w:rsidR="0045238F" w:rsidRPr="0045238F">
        <w:t>右側は</w:t>
      </w:r>
      <w:r w:rsidR="002F248B">
        <w:t>，</w:t>
      </w:r>
      <w:r w:rsidR="0045238F" w:rsidRPr="0045238F">
        <w:t>資産クラスにトレンドフォローを適用した</w:t>
      </w:r>
      <w:r w:rsidR="002F248B">
        <w:t>，</w:t>
      </w:r>
      <w:r w:rsidR="0045238F" w:rsidRPr="0045238F">
        <w:t>つまり「現金」を第3の資産として導入した場合の値である</w:t>
      </w:r>
      <w:r w:rsidR="002F248B">
        <w:t>．</w:t>
      </w:r>
      <w:r w:rsidR="0045238F" w:rsidRPr="0045238F">
        <w:t>当然</w:t>
      </w:r>
      <w:r w:rsidR="002F248B">
        <w:t>，</w:t>
      </w:r>
      <w:r w:rsidR="0045238F" w:rsidRPr="0045238F">
        <w:t>運用期間が短くなればなるほどPWRは上昇するが</w:t>
      </w:r>
      <w:r w:rsidR="002F248B">
        <w:t>，</w:t>
      </w:r>
      <w:r w:rsidR="0045238F" w:rsidRPr="0045238F">
        <w:t>これは直線的な関係ではなく</w:t>
      </w:r>
      <w:r w:rsidR="002F248B">
        <w:t>，</w:t>
      </w:r>
      <w:r w:rsidR="0045238F" w:rsidRPr="0045238F">
        <w:t>残り年数が少なくなればなるほどPWRは急激に上昇する</w:t>
      </w:r>
      <w:r w:rsidR="002F248B">
        <w:t>．</w:t>
      </w:r>
      <w:r w:rsidR="0045238F" w:rsidRPr="0045238F">
        <w:t>この単純な事実自体が</w:t>
      </w:r>
      <w:r w:rsidR="002F248B">
        <w:t>，</w:t>
      </w:r>
      <w:r w:rsidR="0045238F" w:rsidRPr="0045238F">
        <w:t>計画期間が5年以下に短縮された場合のグライドパス投資の役割を示唆している</w:t>
      </w:r>
      <w:r w:rsidR="002F248B">
        <w:t>．</w:t>
      </w:r>
      <w:r w:rsidR="0045238F">
        <w:br/>
      </w:r>
      <w:r w:rsidR="0045238F">
        <w:br/>
      </w:r>
      <w:r w:rsidR="00DE35F9" w:rsidRPr="00DE35F9">
        <w:t>30年のデキュミュレーション期間（Bengen,1994も参照）を基準期間として</w:t>
      </w:r>
      <w:r w:rsidR="002F248B">
        <w:t>，</w:t>
      </w:r>
      <w:r w:rsidR="00DE35F9" w:rsidRPr="00DE35F9">
        <w:t>すなわち表2の上段を使用すると</w:t>
      </w:r>
      <w:r w:rsidR="002F248B">
        <w:t>，</w:t>
      </w:r>
      <w:r w:rsidR="00DE35F9" w:rsidRPr="00DE35F9">
        <w:t>1925-2016年の期間において</w:t>
      </w:r>
      <w:r w:rsidR="002F248B">
        <w:t>，</w:t>
      </w:r>
      <w:r w:rsidR="00DE35F9" w:rsidRPr="00DE35F9">
        <w:t>米国の投資家が100％ロングのみ（すなわちトレンド調整なし）の株式ポートフォリオのPWR中央値は年率7.5％となり</w:t>
      </w:r>
      <w:r w:rsidR="002F248B">
        <w:t>，</w:t>
      </w:r>
      <w:r w:rsidR="00DE35F9" w:rsidRPr="00DE35F9">
        <w:t>最大値と最小値はそれぞれ12.8％と3.7％となったことがわかります</w:t>
      </w:r>
      <w:r w:rsidR="002F248B">
        <w:t>．</w:t>
      </w:r>
      <w:r w:rsidR="00DE35F9" w:rsidRPr="00DE35F9">
        <w:t>ここでの教訓は</w:t>
      </w:r>
      <w:r w:rsidR="002F248B">
        <w:t>，</w:t>
      </w:r>
      <w:r w:rsidR="00DE35F9" w:rsidRPr="00DE35F9">
        <w:t>1872年以降の期間についての我々の知見（Clareetal,2017）を補強するものであり</w:t>
      </w:r>
      <w:r w:rsidR="002F248B">
        <w:t>，</w:t>
      </w:r>
      <w:r w:rsidR="00DE35F9" w:rsidRPr="00DE35F9">
        <w:t>富が株式で主に保有されている場合</w:t>
      </w:r>
      <w:r w:rsidR="002F248B">
        <w:t>，</w:t>
      </w:r>
      <w:r w:rsidR="00DE35F9" w:rsidRPr="00DE35F9">
        <w:t>生まれた時の偶然が退職後</w:t>
      </w:r>
      <w:r w:rsidR="00DE35F9" w:rsidRPr="00DE35F9">
        <w:rPr>
          <w:rFonts w:hint="eastAsia"/>
        </w:rPr>
        <w:t>の生活に大きな影響を与えるということである</w:t>
      </w:r>
      <w:r w:rsidR="002F248B">
        <w:rPr>
          <w:rFonts w:hint="eastAsia"/>
        </w:rPr>
        <w:t>．</w:t>
      </w:r>
      <w:r w:rsidR="00DE35F9" w:rsidRPr="00DE35F9">
        <w:rPr>
          <w:rFonts w:hint="eastAsia"/>
        </w:rPr>
        <w:t>投資戦略別の</w:t>
      </w:r>
      <w:r w:rsidR="00DE35F9" w:rsidRPr="00DE35F9">
        <w:t>PWRの歴史は</w:t>
      </w:r>
      <w:r w:rsidR="002F248B">
        <w:t>，</w:t>
      </w:r>
      <w:r w:rsidR="00DE35F9" w:rsidRPr="00DE35F9">
        <w:t>図1を参照されたい</w:t>
      </w:r>
      <w:r w:rsidR="002F248B">
        <w:t>．</w:t>
      </w:r>
      <w:r w:rsidR="00DE35F9" w:rsidRPr="00DE35F9">
        <w:t>この100％株式ポートフォリオをトレンド調整した場合の同等の数値は</w:t>
      </w:r>
      <w:r w:rsidR="002F248B">
        <w:t>，</w:t>
      </w:r>
      <w:r w:rsidR="00DE35F9" w:rsidRPr="00DE35F9">
        <w:t>7.9％</w:t>
      </w:r>
      <w:r w:rsidR="002F248B">
        <w:t>，</w:t>
      </w:r>
      <w:r w:rsidR="00DE35F9" w:rsidRPr="00DE35F9">
        <w:t>12.3％</w:t>
      </w:r>
      <w:r w:rsidR="002F248B">
        <w:t>，</w:t>
      </w:r>
      <w:r w:rsidR="00DE35F9" w:rsidRPr="00DE35F9">
        <w:t>5.1％であり</w:t>
      </w:r>
      <w:r w:rsidR="002F248B">
        <w:t>，</w:t>
      </w:r>
      <w:r w:rsidR="00DE35F9" w:rsidRPr="00DE35F9">
        <w:t>不幸にも「間違った」時期に退職を開始した人のレフトテール経験は</w:t>
      </w:r>
      <w:r w:rsidR="002F248B">
        <w:t>，</w:t>
      </w:r>
      <w:r w:rsidR="00DE35F9" w:rsidRPr="00DE35F9">
        <w:t>5.1％に対して3.7％とはるかに良いことが示唆される</w:t>
      </w:r>
      <w:r w:rsidR="002F248B">
        <w:t>．</w:t>
      </w:r>
      <w:r w:rsidR="00DE35F9" w:rsidRPr="00DE35F9">
        <w:t>しかし</w:t>
      </w:r>
      <w:r w:rsidR="002F248B">
        <w:t>，</w:t>
      </w:r>
      <w:r w:rsidR="00DE35F9" w:rsidRPr="00DE35F9">
        <w:t>株式100%が極端であるなら</w:t>
      </w:r>
      <w:r w:rsidR="002F248B">
        <w:t>，</w:t>
      </w:r>
      <w:r w:rsidR="00DE35F9" w:rsidRPr="00DE35F9">
        <w:t>国債を導入するのはどうだろうか</w:t>
      </w:r>
      <w:r w:rsidR="002F248B">
        <w:t>．</w:t>
      </w:r>
      <w:r w:rsidR="00DE35F9" w:rsidRPr="00DE35F9">
        <w:t>より身近な60-40貯蓄ポートフォリオ（表2の上段）に目を移すと</w:t>
      </w:r>
      <w:r w:rsidR="002F248B">
        <w:t>，</w:t>
      </w:r>
      <w:r w:rsidR="00DE35F9" w:rsidRPr="00DE35F9">
        <w:t>PWRの中央値は年率6％弱</w:t>
      </w:r>
      <w:r w:rsidR="002F248B">
        <w:t>，</w:t>
      </w:r>
      <w:r w:rsidR="00DE35F9" w:rsidRPr="00DE35F9">
        <w:t>トレンド調整なしの</w:t>
      </w:r>
      <w:r w:rsidR="00DE35F9" w:rsidRPr="00DE35F9">
        <w:rPr>
          <w:rFonts w:hint="eastAsia"/>
        </w:rPr>
        <w:t>場合は</w:t>
      </w:r>
      <w:r w:rsidR="00DE35F9" w:rsidRPr="00DE35F9">
        <w:t>3.6％が最小値となるが</w:t>
      </w:r>
      <w:r w:rsidR="002F248B">
        <w:t>，</w:t>
      </w:r>
      <w:r w:rsidR="00DE35F9" w:rsidRPr="00DE35F9">
        <w:t>平滑化するとそれぞれ6.4％と4.4％に上昇する</w:t>
      </w:r>
      <w:r w:rsidR="002F248B">
        <w:t>．</w:t>
      </w:r>
      <w:r w:rsidR="00DE35F9" w:rsidRPr="00DE35F9">
        <w:t>資産リターンにトレンド調整を行うことで</w:t>
      </w:r>
      <w:r w:rsidR="002F248B">
        <w:t>，</w:t>
      </w:r>
      <w:r w:rsidR="00DE35F9" w:rsidRPr="00DE35F9">
        <w:t>PWRの分布は事実上右側にシフトしている（1925年以降の米国の経験については図2を参照）</w:t>
      </w:r>
      <w:r w:rsidR="002F248B">
        <w:t>．</w:t>
      </w:r>
      <w:r w:rsidR="00DE35F9" w:rsidRPr="00364E2E">
        <w:rPr>
          <w:b/>
          <w:bCs/>
        </w:rPr>
        <w:br/>
      </w:r>
      <w:r w:rsidR="00DE35F9" w:rsidRPr="00364E2E">
        <w:rPr>
          <w:b/>
          <w:bCs/>
        </w:rPr>
        <w:br/>
      </w:r>
      <w:r w:rsidR="00364E2E" w:rsidRPr="00364E2E">
        <w:t>1872年までの米国株式（Clareetal,2017）と1970年以降のスターリング・マルチアセット（Clareetal,2019）の分析でも</w:t>
      </w:r>
      <w:r w:rsidR="002F248B">
        <w:t>，</w:t>
      </w:r>
      <w:r w:rsidR="00364E2E" w:rsidRPr="00364E2E">
        <w:t>同様の右へのシフト</w:t>
      </w:r>
      <w:r w:rsidR="002F248B">
        <w:t>，</w:t>
      </w:r>
      <w:r w:rsidR="00364E2E" w:rsidRPr="00364E2E">
        <w:t>左テールの引き出し経験の向上が見られる</w:t>
      </w:r>
      <w:r w:rsidR="002F248B">
        <w:t>．</w:t>
      </w:r>
      <w:r w:rsidR="00364E2E" w:rsidRPr="00364E2E">
        <w:t>したがって</w:t>
      </w:r>
      <w:r w:rsidR="002F248B">
        <w:t>，</w:t>
      </w:r>
      <w:r w:rsidR="00364E2E" w:rsidRPr="00364E2E">
        <w:t>代表的な「中央値」の経験</w:t>
      </w:r>
      <w:r w:rsidR="002F248B">
        <w:t>，</w:t>
      </w:r>
      <w:r w:rsidR="00364E2E" w:rsidRPr="00364E2E">
        <w:t>そして重要なことに</w:t>
      </w:r>
      <w:r w:rsidR="002F248B">
        <w:t>，</w:t>
      </w:r>
      <w:r w:rsidR="00364E2E" w:rsidRPr="00364E2E">
        <w:t>下限の経験の両方について</w:t>
      </w:r>
      <w:r w:rsidR="002F248B">
        <w:t>，</w:t>
      </w:r>
      <w:r w:rsidR="00364E2E" w:rsidRPr="00364E2E">
        <w:t>一般的に撤退経験は</w:t>
      </w:r>
      <w:r w:rsidR="002F248B">
        <w:t>，</w:t>
      </w:r>
      <w:r w:rsidR="00364E2E" w:rsidRPr="00364E2E">
        <w:t>トレンドに従うポートフォリオ調整によって強化されるように思われるでしょう</w:t>
      </w:r>
      <w:r w:rsidR="002F248B">
        <w:t>．</w:t>
      </w:r>
      <w:r w:rsidR="00364E2E" w:rsidRPr="00364E2E">
        <w:rPr>
          <w:rFonts w:hint="eastAsia"/>
        </w:rPr>
        <w:t>ロングがスムージングされた経験に本当に「勝る」のは</w:t>
      </w:r>
      <w:r w:rsidR="002F248B">
        <w:rPr>
          <w:rFonts w:hint="eastAsia"/>
        </w:rPr>
        <w:t>，</w:t>
      </w:r>
      <w:r w:rsidR="00364E2E" w:rsidRPr="00364E2E">
        <w:t>100％株式で</w:t>
      </w:r>
      <w:r w:rsidR="002F248B">
        <w:t>，</w:t>
      </w:r>
      <w:r w:rsidR="00364E2E" w:rsidRPr="00364E2E">
        <w:t>可能な最大</w:t>
      </w:r>
      <w:r w:rsidR="002F248B">
        <w:t>，</w:t>
      </w:r>
      <w:r w:rsidR="00364E2E" w:rsidRPr="00364E2E">
        <w:t>極右テールの引き出しを比較しているときだけである</w:t>
      </w:r>
      <w:r w:rsidR="002F248B">
        <w:t>．</w:t>
      </w:r>
      <w:r w:rsidR="00364E2E" w:rsidRPr="00364E2E">
        <w:t>興味深いことに</w:t>
      </w:r>
      <w:r w:rsidR="002F248B">
        <w:t>，</w:t>
      </w:r>
      <w:proofErr w:type="spellStart"/>
      <w:r w:rsidR="00364E2E" w:rsidRPr="00364E2E">
        <w:t>Bengen</w:t>
      </w:r>
      <w:proofErr w:type="spellEnd"/>
      <w:r w:rsidR="00364E2E" w:rsidRPr="00364E2E">
        <w:t>(1994)などで言われている30年間の「4%」の持続的引き出し率は</w:t>
      </w:r>
      <w:r w:rsidR="002F248B">
        <w:t>，</w:t>
      </w:r>
      <w:r w:rsidR="00364E2E" w:rsidRPr="00364E2E">
        <w:t>表2の結果では支持されていない</w:t>
      </w:r>
      <w:r w:rsidR="002F248B">
        <w:t>．</w:t>
      </w:r>
      <w:r w:rsidR="00364E2E">
        <w:rPr>
          <w:b/>
          <w:bCs/>
        </w:rPr>
        <w:br/>
      </w:r>
      <w:r w:rsidR="00364E2E">
        <w:rPr>
          <w:b/>
          <w:bCs/>
        </w:rPr>
        <w:br/>
      </w:r>
      <w:r w:rsidR="004D54B9" w:rsidRPr="004D54B9">
        <w:rPr>
          <w:rFonts w:hint="eastAsia"/>
        </w:rPr>
        <w:t>標準的な株式投資と債券投資の引き出し経験の差は</w:t>
      </w:r>
      <w:r w:rsidR="002F248B">
        <w:rPr>
          <w:rFonts w:hint="eastAsia"/>
        </w:rPr>
        <w:t>，</w:t>
      </w:r>
      <w:r w:rsidR="004D54B9" w:rsidRPr="004D54B9">
        <w:t>PWRの長さが最大となったときに最も大きくなる</w:t>
      </w:r>
      <w:r w:rsidR="002F248B">
        <w:t>．</w:t>
      </w:r>
      <w:r w:rsidR="004D54B9" w:rsidRPr="004D54B9">
        <w:t>例えば</w:t>
      </w:r>
      <w:r w:rsidR="002F248B">
        <w:t>，</w:t>
      </w:r>
      <w:r w:rsidR="004D54B9" w:rsidRPr="004D54B9">
        <w:t>30年間のPWRの平均値は</w:t>
      </w:r>
      <w:r w:rsidR="002F248B">
        <w:t>，</w:t>
      </w:r>
      <w:r w:rsidR="004D54B9" w:rsidRPr="004D54B9">
        <w:t>100-0で7.5%</w:t>
      </w:r>
      <w:r w:rsidR="002F248B">
        <w:t>，</w:t>
      </w:r>
      <w:r w:rsidR="004D54B9" w:rsidRPr="004D54B9">
        <w:t>0-100で4.1%であるのに対し</w:t>
      </w:r>
      <w:r w:rsidR="002F248B">
        <w:t>，</w:t>
      </w:r>
      <w:r w:rsidR="004D54B9" w:rsidRPr="004D54B9">
        <w:t>2年間のPWRではそれぞれ51.6%</w:t>
      </w:r>
      <w:r w:rsidR="002F248B">
        <w:t>，</w:t>
      </w:r>
      <w:r w:rsidR="004D54B9" w:rsidRPr="004D54B9">
        <w:t>50.6%である</w:t>
      </w:r>
      <w:r w:rsidR="002F248B">
        <w:t>．</w:t>
      </w:r>
      <w:r w:rsidR="004D54B9" w:rsidRPr="004D54B9">
        <w:t>前者の場合</w:t>
      </w:r>
      <w:r w:rsidR="002F248B">
        <w:t>，</w:t>
      </w:r>
      <w:r w:rsidR="004D54B9" w:rsidRPr="004D54B9">
        <w:t>投資ポットの大きさが最大に近いと思われることを考えると</w:t>
      </w:r>
      <w:r w:rsidR="002F248B">
        <w:t>，</w:t>
      </w:r>
      <w:r w:rsidR="004D54B9" w:rsidRPr="004D54B9">
        <w:lastRenderedPageBreak/>
        <w:t>これは非常に大きな差である</w:t>
      </w:r>
      <w:r w:rsidR="002F248B">
        <w:t>．</w:t>
      </w:r>
      <w:r w:rsidR="004D54B9" w:rsidRPr="004D54B9">
        <w:t>さらに</w:t>
      </w:r>
      <w:r w:rsidR="002F248B">
        <w:t>，</w:t>
      </w:r>
      <w:r w:rsidR="004D54B9" w:rsidRPr="004D54B9">
        <w:t>0-100の最低PWRは2.4%であるのに対し</w:t>
      </w:r>
      <w:r w:rsidR="002F248B">
        <w:t>，</w:t>
      </w:r>
      <w:r w:rsidR="004D54B9" w:rsidRPr="004D54B9">
        <w:t>100-0では3.7%であり</w:t>
      </w:r>
      <w:r w:rsidR="002F248B">
        <w:t>，</w:t>
      </w:r>
      <w:r w:rsidR="004D54B9" w:rsidRPr="004D54B9">
        <w:t>非常に保守的な資産配分は</w:t>
      </w:r>
      <w:r w:rsidR="002F248B">
        <w:t>，</w:t>
      </w:r>
      <w:r w:rsidR="004D54B9" w:rsidRPr="004D54B9">
        <w:t>歴史的に見ても長期にわたって益と</w:t>
      </w:r>
      <w:r w:rsidR="004D54B9" w:rsidRPr="004D54B9">
        <w:rPr>
          <w:rFonts w:hint="eastAsia"/>
        </w:rPr>
        <w:t>なるよりも害となる可能性がある</w:t>
      </w:r>
      <w:r w:rsidR="002F248B">
        <w:rPr>
          <w:rFonts w:hint="eastAsia"/>
        </w:rPr>
        <w:t>．</w:t>
      </w:r>
      <w:r w:rsidR="004D54B9" w:rsidRPr="004D54B9">
        <w:rPr>
          <w:rFonts w:hint="eastAsia"/>
        </w:rPr>
        <w:t>リタイアメント・ジャーニーの特徴付けは</w:t>
      </w:r>
      <w:r w:rsidR="002F248B">
        <w:rPr>
          <w:rFonts w:hint="eastAsia"/>
        </w:rPr>
        <w:t>，</w:t>
      </w:r>
      <w:r w:rsidR="004D54B9" w:rsidRPr="004D54B9">
        <w:rPr>
          <w:rFonts w:hint="eastAsia"/>
        </w:rPr>
        <w:t>予想される長い減債期間において株式エクスポージャーの利点を強化するという点で</w:t>
      </w:r>
      <w:r w:rsidR="002F248B">
        <w:rPr>
          <w:rFonts w:hint="eastAsia"/>
        </w:rPr>
        <w:t>，</w:t>
      </w:r>
      <w:r w:rsidR="004D54B9" w:rsidRPr="004D54B9">
        <w:t>Estrada(2017b),</w:t>
      </w:r>
      <w:proofErr w:type="spellStart"/>
      <w:r w:rsidR="004D54B9" w:rsidRPr="004D54B9">
        <w:t>Blanchettetal</w:t>
      </w:r>
      <w:proofErr w:type="spellEnd"/>
      <w:r w:rsidR="004D54B9" w:rsidRPr="004D54B9">
        <w:t>(2016)と非常によく一致している</w:t>
      </w:r>
      <w:r w:rsidR="002F248B">
        <w:t>．</w:t>
      </w:r>
      <w:r w:rsidR="00364E2E">
        <w:rPr>
          <w:b/>
          <w:bCs/>
        </w:rPr>
        <w:br/>
      </w:r>
      <w:r w:rsidR="00DE35F9" w:rsidRPr="00364E2E">
        <w:rPr>
          <w:b/>
          <w:bCs/>
        </w:rPr>
        <w:br/>
      </w:r>
      <w:r w:rsidR="00D10692" w:rsidRPr="00D10692">
        <w:rPr>
          <w:rFonts w:hint="eastAsia"/>
        </w:rPr>
        <w:t>このような場合</w:t>
      </w:r>
      <w:r w:rsidR="002F248B">
        <w:rPr>
          <w:rFonts w:hint="eastAsia"/>
        </w:rPr>
        <w:t>，</w:t>
      </w:r>
      <w:r w:rsidR="00D10692" w:rsidRPr="00D10692">
        <w:rPr>
          <w:rFonts w:hint="eastAsia"/>
        </w:rPr>
        <w:t>株式配分の多いポートフォリオが</w:t>
      </w:r>
      <w:r w:rsidR="002F248B">
        <w:rPr>
          <w:rFonts w:hint="eastAsia"/>
        </w:rPr>
        <w:t>，</w:t>
      </w:r>
      <w:r w:rsidR="00D10692" w:rsidRPr="00D10692">
        <w:rPr>
          <w:rFonts w:hint="eastAsia"/>
        </w:rPr>
        <w:t>債券配分の多いポートフォリオを下回る可能性が高くなる</w:t>
      </w:r>
      <w:r w:rsidR="002F248B">
        <w:rPr>
          <w:rFonts w:hint="eastAsia"/>
        </w:rPr>
        <w:t>．</w:t>
      </w:r>
      <w:r w:rsidR="00D10692" w:rsidRPr="00D10692">
        <w:rPr>
          <w:rFonts w:hint="eastAsia"/>
        </w:rPr>
        <w:t>これは</w:t>
      </w:r>
      <w:r w:rsidR="002F248B">
        <w:rPr>
          <w:rFonts w:hint="eastAsia"/>
        </w:rPr>
        <w:t>，</w:t>
      </w:r>
      <w:r w:rsidR="00D10692" w:rsidRPr="00D10692">
        <w:rPr>
          <w:rFonts w:hint="eastAsia"/>
        </w:rPr>
        <w:t>第</w:t>
      </w:r>
      <w:r w:rsidR="00D10692" w:rsidRPr="00D10692">
        <w:t>4節と第5節で検討するグライドパス戦略のケースである</w:t>
      </w:r>
      <w:r w:rsidR="002F248B">
        <w:t>．</w:t>
      </w:r>
    </w:p>
    <w:p w14:paraId="737CA61A" w14:textId="77777777" w:rsidR="00D10692" w:rsidRDefault="00D10692" w:rsidP="00D10692">
      <w:pPr>
        <w:pStyle w:val="a2"/>
        <w:ind w:firstLineChars="0" w:firstLine="0"/>
      </w:pPr>
    </w:p>
    <w:p w14:paraId="42B0CA76" w14:textId="4CE39286" w:rsidR="00CA1042" w:rsidRPr="00AF45F4" w:rsidRDefault="00CA1042" w:rsidP="00A204A3">
      <w:pPr>
        <w:pStyle w:val="a2"/>
        <w:numPr>
          <w:ilvl w:val="0"/>
          <w:numId w:val="48"/>
        </w:numPr>
        <w:ind w:firstLineChars="0"/>
        <w:rPr>
          <w:rFonts w:hint="eastAsia"/>
          <w:b/>
          <w:bCs/>
        </w:rPr>
      </w:pPr>
      <w:r w:rsidRPr="00AF45F4">
        <w:rPr>
          <w:rFonts w:ascii="TimesNewRomanPS-BoldMT" w:hAnsi="TimesNewRomanPS-BoldMT" w:cs="TimesNewRomanPS-BoldMT"/>
          <w:b/>
          <w:bCs/>
          <w:kern w:val="0"/>
          <w:sz w:val="24"/>
          <w:szCs w:val="24"/>
        </w:rPr>
        <w:t>Absolute</w:t>
      </w:r>
      <w:r w:rsidR="00C91674">
        <w:rPr>
          <w:rFonts w:ascii="TimesNewRomanPS-BoldMT" w:hAnsi="TimesNewRomanPS-BoldMT" w:cs="TimesNewRomanPS-BoldMT"/>
          <w:b/>
          <w:bCs/>
          <w:kern w:val="0"/>
          <w:sz w:val="24"/>
          <w:szCs w:val="24"/>
        </w:rPr>
        <w:t xml:space="preserve"> </w:t>
      </w:r>
      <w:r w:rsidRPr="00AF45F4">
        <w:rPr>
          <w:rFonts w:ascii="TimesNewRomanPS-BoldMT" w:hAnsi="TimesNewRomanPS-BoldMT" w:cs="TimesNewRomanPS-BoldMT"/>
          <w:b/>
          <w:bCs/>
          <w:kern w:val="0"/>
          <w:sz w:val="24"/>
          <w:szCs w:val="24"/>
        </w:rPr>
        <w:t>Momentum:</w:t>
      </w:r>
      <w:r w:rsidRPr="00AF45F4">
        <w:rPr>
          <w:rFonts w:hint="eastAsia"/>
          <w:b/>
          <w:bCs/>
        </w:rPr>
        <w:t>：</w:t>
      </w:r>
      <w:r w:rsidRPr="00AF45F4">
        <w:rPr>
          <w:b/>
          <w:bCs/>
        </w:rPr>
        <w:t>PWRの分布がより集中することが望ましい</w:t>
      </w:r>
      <w:r w:rsidRPr="00AF45F4">
        <w:rPr>
          <w:b/>
          <w:bCs/>
        </w:rPr>
        <w:br/>
      </w:r>
      <w:r w:rsidR="00ED092F" w:rsidRPr="00ED092F">
        <w:rPr>
          <w:rFonts w:hint="eastAsia"/>
        </w:rPr>
        <w:t>表</w:t>
      </w:r>
      <w:r w:rsidR="00ED092F" w:rsidRPr="00ED092F">
        <w:t>2右側のパネルの絶対モメンタムの結果を見ると，フィルタを適用した銘柄のリターンが若干大きいため，PWRは一般に標準版より若干高くなっている</w:t>
      </w:r>
      <w:r w:rsidR="002F248B">
        <w:t>．</w:t>
      </w:r>
      <w:r w:rsidR="00ED092F" w:rsidRPr="00ED092F">
        <w:t>しかし</w:t>
      </w:r>
      <w:r w:rsidR="002F248B">
        <w:t>，</w:t>
      </w:r>
      <w:r w:rsidR="00ED092F" w:rsidRPr="00ED092F">
        <w:t>PWRのボラティリティはかなり低く</w:t>
      </w:r>
      <w:r w:rsidR="002F248B">
        <w:t>，</w:t>
      </w:r>
      <w:r w:rsidR="00ED092F" w:rsidRPr="00ED092F">
        <w:t>その結果</w:t>
      </w:r>
      <w:r w:rsidR="002F248B">
        <w:t>，</w:t>
      </w:r>
      <w:r w:rsidR="00ED092F" w:rsidRPr="00ED092F">
        <w:t>PWRの最小値は同等の標準ポートフォリオよりもかなり高くなることが分かる</w:t>
      </w:r>
      <w:r w:rsidR="002F248B">
        <w:t>．</w:t>
      </w:r>
      <w:r w:rsidR="00ED092F" w:rsidRPr="00ED092F">
        <w:t>これは</w:t>
      </w:r>
      <w:r w:rsidR="002F248B">
        <w:t>，</w:t>
      </w:r>
      <w:r w:rsidR="00ED092F" w:rsidRPr="00ED092F">
        <w:t>退職後のポートフォリオにとって非常に望ましい特性であり</w:t>
      </w:r>
      <w:r w:rsidR="002F248B">
        <w:t>，</w:t>
      </w:r>
      <w:r w:rsidR="00ED092F" w:rsidRPr="00ED092F">
        <w:t>特に株式のウェイトが高いポートフォリオに当てはまると思われる</w:t>
      </w:r>
      <w:r w:rsidR="002F248B">
        <w:t>．</w:t>
      </w:r>
      <w:r w:rsidR="00ED092F" w:rsidRPr="00ED092F">
        <w:t>退職後のポートフォリオでは</w:t>
      </w:r>
      <w:r w:rsidR="002F248B">
        <w:t>，</w:t>
      </w:r>
      <w:r w:rsidR="00ED092F" w:rsidRPr="00ED092F">
        <w:t>一定の生活水準を下回らないことが重要視されることから</w:t>
      </w:r>
      <w:r w:rsidR="002F248B">
        <w:t>，</w:t>
      </w:r>
      <w:r w:rsidR="00ED092F" w:rsidRPr="00ED092F">
        <w:t>これは有用な特性であ</w:t>
      </w:r>
      <w:r w:rsidR="00ED092F" w:rsidRPr="00ED092F">
        <w:rPr>
          <w:rFonts w:hint="eastAsia"/>
        </w:rPr>
        <w:t>ると言える</w:t>
      </w:r>
      <w:r w:rsidR="002F248B">
        <w:rPr>
          <w:rFonts w:hint="eastAsia"/>
        </w:rPr>
        <w:t>．</w:t>
      </w:r>
      <w:r w:rsidR="00ED092F" w:rsidRPr="00ED092F">
        <w:rPr>
          <w:rFonts w:hint="eastAsia"/>
        </w:rPr>
        <w:t>さらに</w:t>
      </w:r>
      <w:r w:rsidR="002F248B">
        <w:rPr>
          <w:rFonts w:hint="eastAsia"/>
        </w:rPr>
        <w:t>，</w:t>
      </w:r>
      <w:r w:rsidR="00ED092F" w:rsidRPr="00ED092F">
        <w:rPr>
          <w:rFonts w:hint="eastAsia"/>
        </w:rPr>
        <w:t>株式比率の高いポートフォリオが債券比率の高いポートフォリオを下回る確率が高くなるという証拠は</w:t>
      </w:r>
      <w:r w:rsidR="002F248B">
        <w:rPr>
          <w:rFonts w:hint="eastAsia"/>
        </w:rPr>
        <w:t>，</w:t>
      </w:r>
      <w:r w:rsidR="00ED092F" w:rsidRPr="00ED092F">
        <w:rPr>
          <w:rFonts w:hint="eastAsia"/>
        </w:rPr>
        <w:t>ほとんど見られなくなった</w:t>
      </w:r>
      <w:r w:rsidR="002F248B">
        <w:rPr>
          <w:rFonts w:hint="eastAsia"/>
        </w:rPr>
        <w:t>．</w:t>
      </w:r>
      <w:r w:rsidR="00ED092F" w:rsidRPr="00ED092F">
        <w:rPr>
          <w:rFonts w:hint="eastAsia"/>
        </w:rPr>
        <w:t>このことは</w:t>
      </w:r>
      <w:r w:rsidR="002F248B">
        <w:rPr>
          <w:rFonts w:hint="eastAsia"/>
        </w:rPr>
        <w:t>，</w:t>
      </w:r>
      <w:r w:rsidR="00ED092F" w:rsidRPr="00ED092F">
        <w:rPr>
          <w:rFonts w:hint="eastAsia"/>
        </w:rPr>
        <w:t>グライドパス戦略への移行の理論的根拠を本質的に冗長なものにしている</w:t>
      </w:r>
      <w:r w:rsidR="002F248B">
        <w:rPr>
          <w:rFonts w:hint="eastAsia"/>
        </w:rPr>
        <w:t>．</w:t>
      </w:r>
      <w:r w:rsidR="00ED092F" w:rsidRPr="00ED092F">
        <w:rPr>
          <w:rFonts w:hint="eastAsia"/>
        </w:rPr>
        <w:t>株式からより高い</w:t>
      </w:r>
      <w:r w:rsidR="00ED092F" w:rsidRPr="00ED092F">
        <w:t>PWRを引き出すことは可能であるが</w:t>
      </w:r>
      <w:r w:rsidR="002F248B">
        <w:t>，</w:t>
      </w:r>
      <w:r w:rsidR="00ED092F" w:rsidRPr="00ED092F">
        <w:t>ボラティリティは減少している</w:t>
      </w:r>
      <w:r w:rsidR="002F248B">
        <w:t>．</w:t>
      </w:r>
      <w:r w:rsidR="00AC0604">
        <w:br/>
      </w:r>
      <w:r w:rsidR="00AC0604">
        <w:br/>
      </w:r>
      <w:r w:rsidR="00AF45F4" w:rsidRPr="00AF45F4">
        <w:rPr>
          <w:rFonts w:hint="eastAsia"/>
        </w:rPr>
        <w:t>図</w:t>
      </w:r>
      <w:r w:rsidR="00AF45F4" w:rsidRPr="00AF45F4">
        <w:t>1は</w:t>
      </w:r>
      <w:r w:rsidR="002F248B">
        <w:t>，</w:t>
      </w:r>
      <w:r w:rsidR="00AF45F4" w:rsidRPr="00AF45F4">
        <w:t>株式100％</w:t>
      </w:r>
      <w:r w:rsidR="002F248B">
        <w:t>，</w:t>
      </w:r>
      <w:r w:rsidR="00AF45F4" w:rsidRPr="00AF45F4">
        <w:t>債券100％</w:t>
      </w:r>
      <w:r w:rsidR="002F248B">
        <w:t>，</w:t>
      </w:r>
      <w:r w:rsidR="00AF45F4" w:rsidRPr="00AF45F4">
        <w:t>伝統的な60対40のポートフォリオについて</w:t>
      </w:r>
      <w:r w:rsidR="002F248B">
        <w:t>，</w:t>
      </w:r>
      <w:r w:rsidR="00AF45F4" w:rsidRPr="00AF45F4">
        <w:t>標準的な投資とトレンドフォローの両方で</w:t>
      </w:r>
      <w:r w:rsidR="002F248B">
        <w:t>，</w:t>
      </w:r>
      <w:r w:rsidR="00AF45F4" w:rsidRPr="00AF45F4">
        <w:t>20年間のPWR値が時間的にどのように変化するかを示したものである</w:t>
      </w:r>
      <w:r w:rsidR="002F248B">
        <w:t>．</w:t>
      </w:r>
      <w:r w:rsidR="00AF45F4" w:rsidRPr="00AF45F4">
        <w:t>1980年頃からの脱退期には多少変化が見られるものの</w:t>
      </w:r>
      <w:r w:rsidR="002F248B">
        <w:t>，</w:t>
      </w:r>
      <w:r w:rsidR="00AF45F4" w:rsidRPr="00AF45F4">
        <w:t>長い間</w:t>
      </w:r>
      <w:r w:rsidR="002F248B">
        <w:t>，</w:t>
      </w:r>
      <w:r w:rsidR="00AF45F4" w:rsidRPr="00AF45F4">
        <w:t>株式のPWRは債券よりもはるかに高い値であった</w:t>
      </w:r>
      <w:r w:rsidR="002F248B">
        <w:t>．</w:t>
      </w:r>
      <w:r w:rsidR="00AF45F4" w:rsidRPr="00AF45F4">
        <w:t>金利が大幅に低下し始めたことで</w:t>
      </w:r>
      <w:r w:rsidR="002F248B">
        <w:t>，</w:t>
      </w:r>
      <w:r w:rsidR="00AF45F4" w:rsidRPr="00AF45F4">
        <w:t>債券のリターンはそれまでよりもはるかに高くなり</w:t>
      </w:r>
      <w:r w:rsidR="002F248B">
        <w:t>，</w:t>
      </w:r>
      <w:r w:rsidR="00AF45F4" w:rsidRPr="00AF45F4">
        <w:t>その結果</w:t>
      </w:r>
      <w:r w:rsidR="002F248B">
        <w:t>，</w:t>
      </w:r>
      <w:r w:rsidR="00AF45F4" w:rsidRPr="00AF45F4">
        <w:t>PWRも高くなった</w:t>
      </w:r>
      <w:r w:rsidR="002F248B">
        <w:t>．</w:t>
      </w:r>
      <w:r w:rsidR="00AF45F4" w:rsidRPr="00AF45F4">
        <w:rPr>
          <w:rFonts w:hint="eastAsia"/>
        </w:rPr>
        <w:t>標準的な債券の</w:t>
      </w:r>
      <w:r w:rsidR="00AF45F4" w:rsidRPr="00AF45F4">
        <w:t>PWRとトレンドフォローの債券のPWRは</w:t>
      </w:r>
      <w:r w:rsidR="002F248B">
        <w:t>，</w:t>
      </w:r>
      <w:r w:rsidR="00AF45F4" w:rsidRPr="00AF45F4">
        <w:t>全期間を通じてかなり一貫して互いに追従している</w:t>
      </w:r>
      <w:r w:rsidR="002F248B">
        <w:t>．</w:t>
      </w:r>
      <w:r w:rsidR="00AF45F4" w:rsidRPr="00AF45F4">
        <w:t>一方</w:t>
      </w:r>
      <w:r w:rsidR="002F248B">
        <w:t>，</w:t>
      </w:r>
      <w:r w:rsidR="00AF45F4" w:rsidRPr="00AF45F4">
        <w:t>株式のPWRは</w:t>
      </w:r>
      <w:r w:rsidR="002F248B">
        <w:t>，</w:t>
      </w:r>
      <w:r w:rsidR="00AF45F4" w:rsidRPr="00AF45F4">
        <w:t>標準的なPWRとトレンドフォローのPWRの間に</w:t>
      </w:r>
      <w:r w:rsidR="002F248B">
        <w:t>，</w:t>
      </w:r>
      <w:r w:rsidR="00AF45F4" w:rsidRPr="00AF45F4">
        <w:t>より大きな乖離があります</w:t>
      </w:r>
      <w:r w:rsidR="002F248B">
        <w:t>．</w:t>
      </w:r>
      <w:r w:rsidR="00AF45F4" w:rsidRPr="00AF45F4">
        <w:t>例えば</w:t>
      </w:r>
      <w:r w:rsidR="002F248B">
        <w:t>，</w:t>
      </w:r>
      <w:r w:rsidR="00AF45F4" w:rsidRPr="00AF45F4">
        <w:t>1920年代後半</w:t>
      </w:r>
      <w:r w:rsidR="002F248B">
        <w:t>，</w:t>
      </w:r>
      <w:r w:rsidR="00AF45F4" w:rsidRPr="00AF45F4">
        <w:t>1970年代前半</w:t>
      </w:r>
      <w:r w:rsidR="002F248B">
        <w:t>，</w:t>
      </w:r>
      <w:r w:rsidR="00AF45F4" w:rsidRPr="00AF45F4">
        <w:t>1990年代後半の開始時点を見ると</w:t>
      </w:r>
      <w:r w:rsidR="002F248B">
        <w:t>，</w:t>
      </w:r>
      <w:r w:rsidR="00AF45F4" w:rsidRPr="00AF45F4">
        <w:t>大きな差が生じている</w:t>
      </w:r>
      <w:r w:rsidR="002F248B">
        <w:t>．</w:t>
      </w:r>
      <w:r w:rsidR="00AF45F4" w:rsidRPr="00AF45F4">
        <w:t>一般的にプラスのリターンの期間は，1980年代後半など，標準的なアプローチで小さなアウトパフォームが見られることが多い</w:t>
      </w:r>
      <w:r w:rsidR="002F248B">
        <w:t>．</w:t>
      </w:r>
      <w:r w:rsidR="00F64FAD">
        <w:br/>
      </w:r>
      <w:r w:rsidR="00F64FAD">
        <w:br/>
      </w:r>
      <w:r w:rsidR="00FB47E4" w:rsidRPr="00FB47E4">
        <w:rPr>
          <w:rFonts w:hint="eastAsia"/>
        </w:rPr>
        <w:t>図</w:t>
      </w:r>
      <w:r w:rsidR="00FB47E4" w:rsidRPr="00FB47E4">
        <w:t>2は</w:t>
      </w:r>
      <w:r w:rsidR="002F248B">
        <w:t>，</w:t>
      </w:r>
      <w:r w:rsidR="00FB47E4" w:rsidRPr="00FB47E4">
        <w:t>図1と同じポートフォリオの組み合わせについて</w:t>
      </w:r>
      <w:r w:rsidR="002F248B">
        <w:t>，</w:t>
      </w:r>
      <w:r w:rsidR="00FB47E4" w:rsidRPr="00FB47E4">
        <w:t>20年PWRをモンテカルロ法で2万回シミュレーションしたときの度数分布を示しています</w:t>
      </w:r>
      <w:r w:rsidR="002F248B">
        <w:t>．</w:t>
      </w:r>
      <w:r w:rsidR="00FB47E4" w:rsidRPr="00FB47E4">
        <w:t>ポートフォリオが債券から株式に向かうにつれて</w:t>
      </w:r>
      <w:r w:rsidR="002F248B">
        <w:t>，</w:t>
      </w:r>
      <w:r w:rsidR="00FB47E4" w:rsidRPr="00FB47E4">
        <w:t>平均PWRは増加し</w:t>
      </w:r>
      <w:r w:rsidR="002F248B">
        <w:t>，</w:t>
      </w:r>
      <w:r w:rsidR="00FB47E4" w:rsidRPr="00FB47E4">
        <w:t>分布はより広がっていることがわかる</w:t>
      </w:r>
      <w:r w:rsidR="002F248B">
        <w:t>．</w:t>
      </w:r>
      <w:r w:rsidR="00FB47E4" w:rsidRPr="00FB47E4">
        <w:t>PWRの地平線が長いときに債券のウェイトを大きくすることは</w:t>
      </w:r>
      <w:r w:rsidR="002F248B">
        <w:t>，</w:t>
      </w:r>
      <w:r w:rsidR="00FB47E4" w:rsidRPr="00FB47E4">
        <w:t>良くない戦略であったことがわかる</w:t>
      </w:r>
      <w:r w:rsidR="002F248B">
        <w:t>．</w:t>
      </w:r>
      <w:r w:rsidR="00FB47E4" w:rsidRPr="00FB47E4">
        <w:t>他の多くのポートフォリオと同様に</w:t>
      </w:r>
      <w:r w:rsidR="002F248B">
        <w:t>，</w:t>
      </w:r>
      <w:r w:rsidR="00FB47E4" w:rsidRPr="00FB47E4">
        <w:t>低いPWRの結果を得る可能性はあるが</w:t>
      </w:r>
      <w:r w:rsidR="002F248B">
        <w:t>，</w:t>
      </w:r>
      <w:r w:rsidR="00FB47E4" w:rsidRPr="00FB47E4">
        <w:t>上値の重さはない</w:t>
      </w:r>
      <w:r w:rsidR="002F248B">
        <w:t>．</w:t>
      </w:r>
      <w:r w:rsidR="00FB47E4" w:rsidRPr="00FB47E4">
        <w:t>株式比率が高くなるにつれて</w:t>
      </w:r>
      <w:r w:rsidR="002F248B">
        <w:t>，</w:t>
      </w:r>
      <w:r w:rsidR="00FB47E4" w:rsidRPr="00FB47E4">
        <w:t>トレンド・フォロワーの手法に従うことで</w:t>
      </w:r>
      <w:r w:rsidR="002F248B">
        <w:t>，</w:t>
      </w:r>
      <w:r w:rsidR="00FB47E4" w:rsidRPr="00FB47E4">
        <w:t>PWRが低くなるリ</w:t>
      </w:r>
      <w:r w:rsidR="00FB47E4" w:rsidRPr="00FB47E4">
        <w:rPr>
          <w:rFonts w:hint="eastAsia"/>
        </w:rPr>
        <w:t>スクはかなり軽減されます</w:t>
      </w:r>
      <w:r w:rsidR="002F248B">
        <w:rPr>
          <w:rFonts w:hint="eastAsia"/>
        </w:rPr>
        <w:t>．</w:t>
      </w:r>
      <w:r w:rsidR="00FB47E4" w:rsidRPr="00FB47E4">
        <w:rPr>
          <w:rFonts w:hint="eastAsia"/>
        </w:rPr>
        <w:t>そのトレードオフは</w:t>
      </w:r>
      <w:r w:rsidR="002F248B">
        <w:rPr>
          <w:rFonts w:hint="eastAsia"/>
        </w:rPr>
        <w:t>，</w:t>
      </w:r>
      <w:r w:rsidR="00FB47E4" w:rsidRPr="00FB47E4">
        <w:rPr>
          <w:rFonts w:hint="eastAsia"/>
        </w:rPr>
        <w:t>標準的なポートフォリオと比較して</w:t>
      </w:r>
      <w:r w:rsidR="002F248B">
        <w:rPr>
          <w:rFonts w:hint="eastAsia"/>
        </w:rPr>
        <w:t>，</w:t>
      </w:r>
      <w:r w:rsidR="00FB47E4" w:rsidRPr="00FB47E4">
        <w:rPr>
          <w:rFonts w:hint="eastAsia"/>
        </w:rPr>
        <w:t>非常に高い</w:t>
      </w:r>
      <w:r w:rsidR="00FB47E4" w:rsidRPr="00FB47E4">
        <w:t>PWRの可能性を若干減少させることである</w:t>
      </w:r>
      <w:r w:rsidR="002F248B">
        <w:t>．</w:t>
      </w:r>
      <w:r w:rsidR="00F64FAD">
        <w:br/>
      </w:r>
      <w:r w:rsidR="00943C0F">
        <w:rPr>
          <w:b/>
          <w:bCs/>
        </w:rPr>
        <w:br/>
      </w:r>
      <w:r w:rsidR="00943C0F" w:rsidRPr="00943C0F">
        <w:rPr>
          <w:rFonts w:hint="eastAsia"/>
        </w:rPr>
        <w:t>比較として</w:t>
      </w:r>
      <w:r w:rsidR="002F248B">
        <w:rPr>
          <w:rFonts w:hint="eastAsia"/>
        </w:rPr>
        <w:t>，</w:t>
      </w:r>
      <w:r w:rsidR="00943C0F" w:rsidRPr="00943C0F">
        <w:rPr>
          <w:rFonts w:hint="eastAsia"/>
        </w:rPr>
        <w:t>図</w:t>
      </w:r>
      <w:r w:rsidR="00943C0F" w:rsidRPr="00943C0F">
        <w:t>3は</w:t>
      </w:r>
      <w:r w:rsidR="002F248B">
        <w:t>，</w:t>
      </w:r>
      <w:r w:rsidR="00943C0F" w:rsidRPr="00943C0F">
        <w:t>今度は3年間のPWRで</w:t>
      </w:r>
      <w:r w:rsidR="002F248B">
        <w:t>，</w:t>
      </w:r>
      <w:r w:rsidR="00943C0F" w:rsidRPr="00943C0F">
        <w:t>もう20,000回のモンテカルロ・シミュレーションを行った結果を示しています</w:t>
      </w:r>
      <w:r w:rsidR="002F248B">
        <w:t>．</w:t>
      </w:r>
      <w:r w:rsidR="00943C0F" w:rsidRPr="00943C0F">
        <w:t>先ほどの議論と同様に</w:t>
      </w:r>
      <w:r w:rsidR="002F248B">
        <w:t>，</w:t>
      </w:r>
      <w:r w:rsidR="00943C0F" w:rsidRPr="00943C0F">
        <w:t>高い株式加重ポートフォリオのアウトパフォームはまだ存在しますが</w:t>
      </w:r>
      <w:r w:rsidR="002F248B">
        <w:t>，</w:t>
      </w:r>
      <w:r w:rsidR="00943C0F" w:rsidRPr="00943C0F">
        <w:t>その差はあまり顕著ではありません</w:t>
      </w:r>
      <w:r w:rsidR="002F248B">
        <w:t>．</w:t>
      </w:r>
      <w:r w:rsidR="00943C0F" w:rsidRPr="00943C0F">
        <w:t>60-40</w:t>
      </w:r>
      <w:r w:rsidR="002F248B">
        <w:t>，</w:t>
      </w:r>
      <w:r w:rsidR="00943C0F" w:rsidRPr="00943C0F">
        <w:t>100-0スタンダード・ポートフォリオの左側のテールが長くなっていることに注目する</w:t>
      </w:r>
      <w:r w:rsidR="002F248B">
        <w:t>．</w:t>
      </w:r>
      <w:r w:rsidR="00943C0F" w:rsidRPr="00943C0F">
        <w:t>0-100ポートフォリオよりもPWRのリスクが高まる領域が明確に存在している</w:t>
      </w:r>
      <w:r w:rsidR="002F248B">
        <w:t>．</w:t>
      </w:r>
      <w:r w:rsidR="00943C0F" w:rsidRPr="00943C0F">
        <w:t>グライドパス戦略の前提は</w:t>
      </w:r>
      <w:r w:rsidR="002F248B">
        <w:t>，</w:t>
      </w:r>
      <w:r w:rsidR="00943C0F" w:rsidRPr="00943C0F">
        <w:t>こうした低いPWRの結果を回避することである</w:t>
      </w:r>
      <w:r w:rsidR="002F248B">
        <w:t>．</w:t>
      </w:r>
      <w:r w:rsidR="00943C0F" w:rsidRPr="00943C0F">
        <w:t>しかし</w:t>
      </w:r>
      <w:r w:rsidR="002F248B">
        <w:rPr>
          <w:rFonts w:hint="eastAsia"/>
        </w:rPr>
        <w:t>，</w:t>
      </w:r>
      <w:r w:rsidR="00943C0F" w:rsidRPr="00943C0F">
        <w:rPr>
          <w:rFonts w:hint="eastAsia"/>
        </w:rPr>
        <w:t>ト</w:t>
      </w:r>
      <w:r w:rsidR="00943C0F" w:rsidRPr="00943C0F">
        <w:rPr>
          <w:rFonts w:hint="eastAsia"/>
        </w:rPr>
        <w:lastRenderedPageBreak/>
        <w:t>レンド・フォローを採用した場合</w:t>
      </w:r>
      <w:r w:rsidR="002F248B">
        <w:rPr>
          <w:rFonts w:hint="eastAsia"/>
        </w:rPr>
        <w:t>，</w:t>
      </w:r>
      <w:r w:rsidR="00943C0F" w:rsidRPr="00943C0F">
        <w:rPr>
          <w:rFonts w:hint="eastAsia"/>
        </w:rPr>
        <w:t>劣悪な</w:t>
      </w:r>
      <w:r w:rsidR="00943C0F" w:rsidRPr="00943C0F">
        <w:t>PWRを観察する確率は大幅に減少し</w:t>
      </w:r>
      <w:r w:rsidR="002F248B">
        <w:t>，</w:t>
      </w:r>
      <w:r w:rsidR="00943C0F" w:rsidRPr="00943C0F">
        <w:t>60-40TFポートフォリオより保守的なものに移行する理由はほとんどない</w:t>
      </w:r>
      <w:r w:rsidR="002F248B">
        <w:t>．</w:t>
      </w:r>
      <w:r w:rsidR="00943C0F" w:rsidRPr="00943C0F">
        <w:t>トレンド・フォロー（またはリターンの類似のスムージング）は</w:t>
      </w:r>
      <w:r w:rsidR="002F248B">
        <w:t>，</w:t>
      </w:r>
      <w:r w:rsidR="00943C0F" w:rsidRPr="00943C0F">
        <w:t>シーケンス・リスクを低減し</w:t>
      </w:r>
      <w:r w:rsidR="002F248B">
        <w:t>，</w:t>
      </w:r>
      <w:r w:rsidR="00943C0F" w:rsidRPr="00943C0F">
        <w:t>資産減退の経験を向上させる鍵である</w:t>
      </w:r>
      <w:r w:rsidR="002F248B">
        <w:t>．</w:t>
      </w:r>
    </w:p>
    <w:p w14:paraId="16088D66" w14:textId="77777777" w:rsidR="00892480" w:rsidRDefault="00892480" w:rsidP="006A06F4">
      <w:pPr>
        <w:pStyle w:val="a2"/>
        <w:ind w:firstLineChars="0" w:firstLine="0"/>
      </w:pPr>
    </w:p>
    <w:p w14:paraId="3F9EF5FE" w14:textId="7486DB44" w:rsidR="006A06F4" w:rsidRPr="003862DE" w:rsidRDefault="003862DE" w:rsidP="003862DE">
      <w:pPr>
        <w:pStyle w:val="a2"/>
        <w:numPr>
          <w:ilvl w:val="0"/>
          <w:numId w:val="48"/>
        </w:numPr>
        <w:ind w:firstLineChars="0"/>
        <w:rPr>
          <w:rFonts w:hint="eastAsia"/>
          <w:b/>
          <w:bCs/>
        </w:rPr>
      </w:pPr>
      <w:r w:rsidRPr="003862DE">
        <w:rPr>
          <w:rFonts w:hint="eastAsia"/>
          <w:b/>
          <w:bCs/>
        </w:rPr>
        <w:t>アセットクラスとしてのクレジットの導入</w:t>
      </w:r>
      <w:r>
        <w:rPr>
          <w:b/>
          <w:bCs/>
        </w:rPr>
        <w:br/>
      </w:r>
      <w:r w:rsidR="00770422" w:rsidRPr="00770422">
        <w:rPr>
          <w:rFonts w:hint="eastAsia"/>
        </w:rPr>
        <w:t>次に</w:t>
      </w:r>
      <w:r w:rsidR="002F248B">
        <w:rPr>
          <w:rFonts w:hint="eastAsia"/>
        </w:rPr>
        <w:t>，</w:t>
      </w:r>
      <w:r w:rsidR="00770422" w:rsidRPr="00770422">
        <w:rPr>
          <w:rFonts w:hint="eastAsia"/>
        </w:rPr>
        <w:t>国債を社債に置き換えた場合</w:t>
      </w:r>
      <w:r w:rsidR="002F248B">
        <w:rPr>
          <w:rFonts w:hint="eastAsia"/>
        </w:rPr>
        <w:t>，</w:t>
      </w:r>
      <w:r w:rsidR="00770422" w:rsidRPr="00770422">
        <w:rPr>
          <w:rFonts w:hint="eastAsia"/>
        </w:rPr>
        <w:t>どうなるかを考えてみる</w:t>
      </w:r>
      <w:r w:rsidR="002F248B">
        <w:rPr>
          <w:rFonts w:hint="eastAsia"/>
        </w:rPr>
        <w:t>．</w:t>
      </w:r>
      <w:r w:rsidR="00770422" w:rsidRPr="00770422">
        <w:rPr>
          <w:rFonts w:hint="eastAsia"/>
        </w:rPr>
        <w:t>表</w:t>
      </w:r>
      <w:r w:rsidR="00770422" w:rsidRPr="00770422">
        <w:t>3は</w:t>
      </w:r>
      <w:r w:rsidR="002F248B">
        <w:t>，</w:t>
      </w:r>
      <w:r w:rsidR="00770422" w:rsidRPr="00770422">
        <w:t>株式と社債の組み合わせで</w:t>
      </w:r>
      <w:r w:rsidR="002F248B">
        <w:t>，</w:t>
      </w:r>
      <w:r w:rsidR="00770422" w:rsidRPr="00770422">
        <w:t>トレンドフォローを行った場合と行わなかった場合である</w:t>
      </w:r>
      <w:r w:rsidR="002F248B">
        <w:t>．</w:t>
      </w:r>
      <w:r w:rsidR="00770422" w:rsidRPr="00770422">
        <w:t>国債のリターンが2.48%であるのに対し</w:t>
      </w:r>
      <w:r w:rsidR="002F248B">
        <w:t>，</w:t>
      </w:r>
      <w:r w:rsidR="00770422" w:rsidRPr="00770422">
        <w:t>社債は2.95%で</w:t>
      </w:r>
      <w:r w:rsidR="002F248B">
        <w:t>，</w:t>
      </w:r>
      <w:r w:rsidR="00770422" w:rsidRPr="00770422">
        <w:t>ボラティリティも1%近く低くなっています</w:t>
      </w:r>
      <w:r w:rsidR="002F248B">
        <w:t>．</w:t>
      </w:r>
      <w:r w:rsidR="00770422" w:rsidRPr="00770422">
        <w:t>株式60％</w:t>
      </w:r>
      <w:r w:rsidR="002F248B">
        <w:t>，</w:t>
      </w:r>
      <w:r w:rsidR="00770422" w:rsidRPr="00770422">
        <w:t>社債40％の伝統的なポートフォリオ（60-40C）は</w:t>
      </w:r>
      <w:r w:rsidR="002F248B">
        <w:t>，</w:t>
      </w:r>
      <w:r w:rsidR="00770422" w:rsidRPr="00770422">
        <w:t>60-40よりも0.1%p.a.ほど高いリターンにとどまり</w:t>
      </w:r>
      <w:r w:rsidR="002F248B">
        <w:t>，</w:t>
      </w:r>
      <w:r w:rsidR="00770422" w:rsidRPr="00770422">
        <w:t>ボラティリティは若干高く</w:t>
      </w:r>
      <w:r w:rsidR="002F248B">
        <w:t>，</w:t>
      </w:r>
      <w:r w:rsidR="00770422" w:rsidRPr="00770422">
        <w:t>シャープ比は同じであった</w:t>
      </w:r>
      <w:r w:rsidR="002F248B">
        <w:t>．</w:t>
      </w:r>
      <w:r w:rsidR="00770422" w:rsidRPr="00770422">
        <w:t>同様のパターンがトレンド・フォロイング・バリアントを見たときにも現れ</w:t>
      </w:r>
      <w:r w:rsidR="002F248B">
        <w:t>，</w:t>
      </w:r>
      <w:r w:rsidR="00770422" w:rsidRPr="00770422">
        <w:t>6040CTFは60-40TFよりも約0.2%p.a.高いリターンを示したが</w:t>
      </w:r>
      <w:r w:rsidR="002F248B">
        <w:t>，</w:t>
      </w:r>
      <w:r w:rsidR="00770422" w:rsidRPr="00770422">
        <w:t>このときのボラティリティは非常に同じであった</w:t>
      </w:r>
      <w:r w:rsidR="002F248B">
        <w:t>．</w:t>
      </w:r>
      <w:r w:rsidR="00770422" w:rsidRPr="00770422">
        <w:t>シャープレシオと最大ドローダウンの点で</w:t>
      </w:r>
      <w:r w:rsidR="002F248B">
        <w:t>，</w:t>
      </w:r>
      <w:r w:rsidR="00770422" w:rsidRPr="00770422">
        <w:t>ポートフォリオ間の差はまだわずかである</w:t>
      </w:r>
      <w:r w:rsidR="002F248B">
        <w:t>．</w:t>
      </w:r>
      <w:r w:rsidR="00B843E0">
        <w:br/>
      </w:r>
      <w:r w:rsidR="00B843E0">
        <w:br/>
      </w:r>
      <w:r w:rsidR="002A612E" w:rsidRPr="002A612E">
        <w:rPr>
          <w:rFonts w:hint="eastAsia"/>
        </w:rPr>
        <w:t>表</w:t>
      </w:r>
      <w:r w:rsidR="002A612E" w:rsidRPr="002A612E">
        <w:t>4は表2を再現したものであるが</w:t>
      </w:r>
      <w:r w:rsidR="002F248B">
        <w:t>，</w:t>
      </w:r>
      <w:r w:rsidR="002A612E" w:rsidRPr="002A612E">
        <w:t>今回は社債についてである</w:t>
      </w:r>
      <w:r w:rsidR="002F248B">
        <w:t>．</w:t>
      </w:r>
      <w:r w:rsidR="002A612E" w:rsidRPr="002A612E">
        <w:t>株式</w:t>
      </w:r>
      <w:r w:rsidR="002F248B">
        <w:t>，</w:t>
      </w:r>
      <w:r w:rsidR="002A612E" w:rsidRPr="002A612E">
        <w:t>債券</w:t>
      </w:r>
      <w:r w:rsidR="002F248B">
        <w:t>，</w:t>
      </w:r>
      <w:r w:rsidR="002A612E" w:rsidRPr="002A612E">
        <w:t>PWRの関係は</w:t>
      </w:r>
      <w:r w:rsidR="002F248B">
        <w:t>，</w:t>
      </w:r>
      <w:r w:rsidR="002A612E" w:rsidRPr="002A612E">
        <w:t>前回とほぼ同じである</w:t>
      </w:r>
      <w:r w:rsidR="002F248B">
        <w:t>．</w:t>
      </w:r>
      <w:r w:rsidR="002A612E" w:rsidRPr="002A612E">
        <w:t>公社債を用いると</w:t>
      </w:r>
      <w:r w:rsidR="002F248B">
        <w:t>，</w:t>
      </w:r>
      <w:r w:rsidR="002A612E" w:rsidRPr="002A612E">
        <w:t>PWRは若干高くなるが</w:t>
      </w:r>
      <w:r w:rsidR="002F248B">
        <w:t>，</w:t>
      </w:r>
      <w:r w:rsidR="002A612E" w:rsidRPr="002A612E">
        <w:t>その額は比較的小さい</w:t>
      </w:r>
      <w:r w:rsidR="002F248B">
        <w:t>．</w:t>
      </w:r>
      <w:r w:rsidR="002A612E" w:rsidRPr="002A612E">
        <w:t>例えば</w:t>
      </w:r>
      <w:r w:rsidR="002F248B">
        <w:t>，</w:t>
      </w:r>
      <w:r w:rsidR="002A612E" w:rsidRPr="002A612E">
        <w:t>60-40ポートフォリオの30年PWRの平均は6.2%であるのに対し</w:t>
      </w:r>
      <w:r w:rsidR="002F248B">
        <w:t>，</w:t>
      </w:r>
      <w:r w:rsidR="002A612E" w:rsidRPr="002A612E">
        <w:t>60-40Cでは6.3%である</w:t>
      </w:r>
      <w:r w:rsidR="002F248B">
        <w:t>．</w:t>
      </w:r>
      <w:r w:rsidR="002A612E" w:rsidRPr="002A612E">
        <w:t>トレンド・フォロー型でも60-40TFで6.6％</w:t>
      </w:r>
      <w:r w:rsidR="002F248B">
        <w:t>，</w:t>
      </w:r>
      <w:r w:rsidR="002A612E" w:rsidRPr="002A612E">
        <w:t>60-40CTFで6.7％とその差は小さいままである</w:t>
      </w:r>
      <w:r w:rsidR="002F248B">
        <w:t>．</w:t>
      </w:r>
      <w:r w:rsidR="002A612E" w:rsidRPr="002A612E">
        <w:t>したがって</w:t>
      </w:r>
      <w:r w:rsidR="002F248B">
        <w:t>，</w:t>
      </w:r>
      <w:r w:rsidR="002A612E" w:rsidRPr="002A612E">
        <w:t>ある期間においてより高いPWRを達成するためには</w:t>
      </w:r>
      <w:r w:rsidR="002F248B">
        <w:t>，</w:t>
      </w:r>
      <w:r w:rsidR="002A612E" w:rsidRPr="002A612E">
        <w:t>より高い株式ウエイトにシフトする必要があ</w:t>
      </w:r>
      <w:r w:rsidR="002A612E" w:rsidRPr="002A612E">
        <w:rPr>
          <w:rFonts w:hint="eastAsia"/>
        </w:rPr>
        <w:t>ることが分かる</w:t>
      </w:r>
      <w:r w:rsidR="002F248B">
        <w:rPr>
          <w:rFonts w:hint="eastAsia"/>
        </w:rPr>
        <w:t>．</w:t>
      </w:r>
      <w:r w:rsidR="002A612E" w:rsidRPr="002A612E">
        <w:rPr>
          <w:rFonts w:hint="eastAsia"/>
        </w:rPr>
        <w:t>トレンド・フォローの適用は</w:t>
      </w:r>
      <w:r w:rsidR="002F248B">
        <w:rPr>
          <w:rFonts w:hint="eastAsia"/>
        </w:rPr>
        <w:t>，</w:t>
      </w:r>
      <w:r w:rsidR="002A612E" w:rsidRPr="002A612E">
        <w:rPr>
          <w:rFonts w:hint="eastAsia"/>
        </w:rPr>
        <w:t>銘柄のアップサイドをあまり犠牲にすることなく</w:t>
      </w:r>
      <w:r w:rsidR="002F248B">
        <w:rPr>
          <w:rFonts w:hint="eastAsia"/>
        </w:rPr>
        <w:t>，</w:t>
      </w:r>
      <w:r w:rsidR="002A612E" w:rsidRPr="002A612E">
        <w:rPr>
          <w:rFonts w:hint="eastAsia"/>
        </w:rPr>
        <w:t>最も低い</w:t>
      </w:r>
      <w:r w:rsidR="002A612E" w:rsidRPr="002A612E">
        <w:t>PWRの結果を回避する立派な仕事である</w:t>
      </w:r>
      <w:r w:rsidR="002F248B">
        <w:t>．</w:t>
      </w:r>
    </w:p>
    <w:p w14:paraId="5B73F5F7" w14:textId="77777777" w:rsidR="00A51306" w:rsidRDefault="00A51306" w:rsidP="002A3481">
      <w:pPr>
        <w:pStyle w:val="a2"/>
        <w:ind w:firstLineChars="0" w:firstLine="0"/>
      </w:pPr>
    </w:p>
    <w:p w14:paraId="470F5101" w14:textId="3F87B2F7" w:rsidR="002A3481" w:rsidRDefault="00C91674" w:rsidP="00973FEA">
      <w:pPr>
        <w:pStyle w:val="1"/>
        <w:rPr>
          <w:rFonts w:hint="eastAsia"/>
        </w:rPr>
      </w:pPr>
      <w:r w:rsidRPr="00C91674">
        <w:t xml:space="preserve">Glidepath Investing and Perfect Withdrawal </w:t>
      </w:r>
      <w:proofErr w:type="spellStart"/>
      <w:r w:rsidRPr="00C91674">
        <w:t>Rates:What</w:t>
      </w:r>
      <w:proofErr w:type="spellEnd"/>
      <w:r w:rsidRPr="00C91674">
        <w:t xml:space="preserve"> Should be the Role of ‘</w:t>
      </w:r>
      <w:proofErr w:type="spellStart"/>
      <w:r w:rsidRPr="00C91674">
        <w:t>Derisking</w:t>
      </w:r>
      <w:proofErr w:type="spellEnd"/>
      <w:r w:rsidRPr="00C91674">
        <w:t>’?</w:t>
      </w:r>
    </w:p>
    <w:p w14:paraId="19B7F022" w14:textId="699B5040" w:rsidR="00A51306" w:rsidRDefault="00973FEA" w:rsidP="00D12110">
      <w:pPr>
        <w:pStyle w:val="a2"/>
      </w:pPr>
      <w:r w:rsidRPr="00973FEA">
        <w:rPr>
          <w:rFonts w:hint="eastAsia"/>
        </w:rPr>
        <w:t>人生の歩みとともにポートフォリオの構成は変えるべき？いわゆるターゲットデイトファンド（</w:t>
      </w:r>
      <w:r w:rsidRPr="00973FEA">
        <w:t>TDF）や機械的な「グライドパス」アプローチによるリスク回避は</w:t>
      </w:r>
      <w:r w:rsidR="002F248B">
        <w:t>，</w:t>
      </w:r>
      <w:r w:rsidRPr="00973FEA">
        <w:t>退職を控えた人たちや退職後の生活において</w:t>
      </w:r>
      <w:r w:rsidR="002F248B">
        <w:t>，</w:t>
      </w:r>
      <w:r w:rsidRPr="00973FEA">
        <w:t>一般的に受け入れられている手法である</w:t>
      </w:r>
      <w:r w:rsidR="002F248B">
        <w:t>．</w:t>
      </w:r>
      <w:r w:rsidRPr="00973FEA">
        <w:t>しかし</w:t>
      </w:r>
      <w:r w:rsidR="002F248B">
        <w:t>，</w:t>
      </w:r>
      <w:r w:rsidRPr="00973FEA">
        <w:t>分散投資の文献では</w:t>
      </w:r>
      <w:r w:rsidR="002F248B">
        <w:t>，</w:t>
      </w:r>
      <w:r w:rsidRPr="00973FEA">
        <w:t>ここでの議論にとって重要な問題</w:t>
      </w:r>
      <w:r w:rsidR="002F248B">
        <w:t>，</w:t>
      </w:r>
      <w:r w:rsidRPr="00973FEA">
        <w:t>すなわち</w:t>
      </w:r>
      <w:r w:rsidR="002F248B">
        <w:t>，</w:t>
      </w:r>
      <w:r w:rsidRPr="00973FEA">
        <w:t>投資家が現役時代に退職基金に定期的に拠出し</w:t>
      </w:r>
      <w:r w:rsidR="002F248B">
        <w:t>，</w:t>
      </w:r>
      <w:r w:rsidRPr="00973FEA">
        <w:t>あるいは退職後に定期的に取り崩していることを無視する傾向がある</w:t>
      </w:r>
      <w:r w:rsidR="002F248B">
        <w:t>．</w:t>
      </w:r>
      <w:r w:rsidRPr="00973FEA">
        <w:t>したがって</w:t>
      </w:r>
      <w:r w:rsidR="002F248B">
        <w:t>，</w:t>
      </w:r>
      <w:r w:rsidRPr="00973FEA">
        <w:t>退職時に蓄積される資本は</w:t>
      </w:r>
      <w:r w:rsidR="002F248B">
        <w:t>，</w:t>
      </w:r>
      <w:r w:rsidRPr="00973FEA">
        <w:t>資産配分と拠出の規模とタイミングの両方の関数である</w:t>
      </w:r>
      <w:r w:rsidR="002F248B">
        <w:t>．</w:t>
      </w:r>
      <w:r w:rsidRPr="00973FEA">
        <w:t>Shiller</w:t>
      </w:r>
      <w:r w:rsidRPr="00973FEA">
        <w:rPr>
          <w:rFonts w:hint="eastAsia"/>
        </w:rPr>
        <w:t>（</w:t>
      </w:r>
      <w:r w:rsidRPr="00973FEA">
        <w:t>2005）は</w:t>
      </w:r>
      <w:r w:rsidR="002F248B">
        <w:t>，</w:t>
      </w:r>
      <w:r w:rsidRPr="00973FEA">
        <w:t>ライフサイクル戦略をとる投資家が</w:t>
      </w:r>
      <w:r w:rsidR="002F248B">
        <w:t>，</w:t>
      </w:r>
      <w:r w:rsidRPr="00973FEA">
        <w:t>若くて貯蓄が少ないときには株式へのエクスポージャーを大きくし</w:t>
      </w:r>
      <w:r w:rsidR="002F248B">
        <w:t>，</w:t>
      </w:r>
      <w:r w:rsidRPr="00973FEA">
        <w:t>年を取って貯蓄が多くなったときには株式へのエクスポージャーを小さくすることを選択することを初めて強調した</w:t>
      </w:r>
      <w:r w:rsidR="002F248B">
        <w:t>．</w:t>
      </w:r>
      <w:r w:rsidRPr="00973FEA">
        <w:t>彼は</w:t>
      </w:r>
      <w:r w:rsidR="002F248B">
        <w:t>，</w:t>
      </w:r>
      <w:r w:rsidRPr="00973FEA">
        <w:t>このアプローチの賢明さをシミュレーションによって評価し</w:t>
      </w:r>
      <w:r w:rsidR="002F248B">
        <w:t>，</w:t>
      </w:r>
      <w:r w:rsidRPr="00973FEA">
        <w:t>ライフサイクル戦略は保守的で</w:t>
      </w:r>
      <w:r w:rsidR="002F248B">
        <w:t>，</w:t>
      </w:r>
      <w:r w:rsidRPr="00973FEA">
        <w:t>通常</w:t>
      </w:r>
      <w:r w:rsidR="002F248B">
        <w:t>，</w:t>
      </w:r>
      <w:r w:rsidRPr="00973FEA">
        <w:t>株式に完全に投資したポートフォリオを下回ることを明らかにし</w:t>
      </w:r>
      <w:r w:rsidR="002F248B">
        <w:t>，</w:t>
      </w:r>
      <w:r w:rsidRPr="00973FEA">
        <w:t>これらの戦略は退職後の生活を支える投資家にとって最適でない可能性があると結論付けている</w:t>
      </w:r>
      <w:r w:rsidR="002F248B">
        <w:t>．</w:t>
      </w:r>
    </w:p>
    <w:p w14:paraId="5EDFDB39" w14:textId="77777777" w:rsidR="00754018" w:rsidRDefault="00754018" w:rsidP="00754018">
      <w:pPr>
        <w:pStyle w:val="a2"/>
        <w:ind w:firstLineChars="0" w:firstLine="0"/>
        <w:rPr>
          <w:rFonts w:hint="eastAsia"/>
        </w:rPr>
      </w:pPr>
    </w:p>
    <w:p w14:paraId="04C38DAE" w14:textId="7831F317" w:rsidR="00AB2A48" w:rsidRDefault="00754018" w:rsidP="00754018">
      <w:pPr>
        <w:pStyle w:val="a2"/>
      </w:pPr>
      <w:proofErr w:type="spellStart"/>
      <w:r>
        <w:t>BasuandDrew</w:t>
      </w:r>
      <w:proofErr w:type="spellEnd"/>
      <w:r>
        <w:t>(2009)は</w:t>
      </w:r>
      <w:r w:rsidR="002F248B">
        <w:t>，</w:t>
      </w:r>
      <w:r>
        <w:t>いくつかのライフサイクル戦略とそのミラー（ライフサイクル戦略と同じ期間</w:t>
      </w:r>
      <w:r w:rsidR="002F248B">
        <w:t>，</w:t>
      </w:r>
      <w:r>
        <w:t>株式</w:t>
      </w:r>
      <w:r w:rsidR="002F248B">
        <w:t>，</w:t>
      </w:r>
      <w:r>
        <w:t>債券</w:t>
      </w:r>
      <w:r w:rsidR="002F248B">
        <w:t>，</w:t>
      </w:r>
      <w:r>
        <w:t>現金に投資したまま</w:t>
      </w:r>
      <w:r w:rsidR="002F248B">
        <w:t>，</w:t>
      </w:r>
      <w:r>
        <w:t>より積極的でない戦略からより積極的な戦略へ</w:t>
      </w:r>
      <w:r w:rsidR="002F248B">
        <w:t>，</w:t>
      </w:r>
      <w:r>
        <w:t>逆方向に進化する戦略）について考察している</w:t>
      </w:r>
      <w:r w:rsidR="002F248B">
        <w:t>．</w:t>
      </w:r>
      <w:r>
        <w:t>彼らは</w:t>
      </w:r>
      <w:r w:rsidR="002F248B">
        <w:t>，</w:t>
      </w:r>
      <w:r>
        <w:t>投資家は時間とともに攻撃性が低下するのではなく</w:t>
      </w:r>
      <w:r w:rsidR="002F248B">
        <w:t>，</w:t>
      </w:r>
      <w:r>
        <w:t>むしろ上昇するはずであることを見出している</w:t>
      </w:r>
      <w:r w:rsidR="002F248B">
        <w:t>．</w:t>
      </w:r>
      <w:r>
        <w:rPr>
          <w:rFonts w:hint="eastAsia"/>
        </w:rPr>
        <w:t>定期的な貢献が富の蓄積に果たす重要な役割を考慮したライフサイクル戦略の妥当性を評価する文献は</w:t>
      </w:r>
      <w:r w:rsidR="002F248B">
        <w:rPr>
          <w:rFonts w:hint="eastAsia"/>
        </w:rPr>
        <w:t>，</w:t>
      </w:r>
      <w:r>
        <w:rPr>
          <w:rFonts w:hint="eastAsia"/>
        </w:rPr>
        <w:t>数が少ない上に</w:t>
      </w:r>
      <w:r w:rsidR="002F248B">
        <w:rPr>
          <w:rFonts w:hint="eastAsia"/>
        </w:rPr>
        <w:t>，</w:t>
      </w:r>
      <w:r>
        <w:rPr>
          <w:rFonts w:hint="eastAsia"/>
        </w:rPr>
        <w:t>最近のものであり</w:t>
      </w:r>
      <w:r w:rsidR="002F248B">
        <w:rPr>
          <w:rFonts w:hint="eastAsia"/>
        </w:rPr>
        <w:t>，</w:t>
      </w:r>
      <w:r>
        <w:rPr>
          <w:rFonts w:hint="eastAsia"/>
        </w:rPr>
        <w:t>そのほとんどが米国のデータに限られている</w:t>
      </w:r>
      <w:r w:rsidR="002F248B">
        <w:rPr>
          <w:rFonts w:hint="eastAsia"/>
        </w:rPr>
        <w:t>．</w:t>
      </w:r>
      <w:r>
        <w:t>Shiller（2005）</w:t>
      </w:r>
      <w:r w:rsidR="002F248B">
        <w:t>，</w:t>
      </w:r>
      <w:proofErr w:type="spellStart"/>
      <w:r>
        <w:t>BasuandDrew</w:t>
      </w:r>
      <w:proofErr w:type="spellEnd"/>
      <w:r>
        <w:t>（2009）</w:t>
      </w:r>
      <w:r w:rsidR="002F248B">
        <w:t>，</w:t>
      </w:r>
      <w:proofErr w:type="spellStart"/>
      <w:r>
        <w:t>AyresandNalebuff</w:t>
      </w:r>
      <w:proofErr w:type="spellEnd"/>
      <w:r>
        <w:t>（2010）</w:t>
      </w:r>
      <w:r w:rsidR="002F248B">
        <w:t>，</w:t>
      </w:r>
      <w:proofErr w:type="spellStart"/>
      <w:r>
        <w:t>Basu</w:t>
      </w:r>
      <w:proofErr w:type="spellEnd"/>
      <w:r w:rsidR="002F248B">
        <w:t>，</w:t>
      </w:r>
      <w:r>
        <w:t>Byrne</w:t>
      </w:r>
      <w:r w:rsidR="002F248B">
        <w:t>，</w:t>
      </w:r>
      <w:proofErr w:type="spellStart"/>
      <w:r>
        <w:t>andDrew</w:t>
      </w:r>
      <w:proofErr w:type="spellEnd"/>
      <w:r>
        <w:t>（2011）</w:t>
      </w:r>
      <w:r w:rsidR="002F248B">
        <w:t>，</w:t>
      </w:r>
      <w:r>
        <w:t>Arnott（2012）などがそうである</w:t>
      </w:r>
      <w:r w:rsidR="002F248B">
        <w:t>．</w:t>
      </w:r>
    </w:p>
    <w:p w14:paraId="0846DFFE" w14:textId="77777777" w:rsidR="00AB2A48" w:rsidRDefault="00AB2A48" w:rsidP="00D12110">
      <w:pPr>
        <w:pStyle w:val="a2"/>
      </w:pPr>
    </w:p>
    <w:p w14:paraId="3B5E2832" w14:textId="544F68D1" w:rsidR="00AB2A48" w:rsidRDefault="001D4DE2" w:rsidP="001D4DE2">
      <w:pPr>
        <w:pStyle w:val="a2"/>
      </w:pPr>
      <w:r>
        <w:rPr>
          <w:rFonts w:hint="eastAsia"/>
        </w:rPr>
        <w:lastRenderedPageBreak/>
        <w:t>では</w:t>
      </w:r>
      <w:r w:rsidR="002F248B">
        <w:rPr>
          <w:rFonts w:hint="eastAsia"/>
        </w:rPr>
        <w:t>，</w:t>
      </w:r>
      <w:r>
        <w:rPr>
          <w:rFonts w:hint="eastAsia"/>
        </w:rPr>
        <w:t>老後を迎えるにあたって</w:t>
      </w:r>
      <w:r w:rsidR="002F248B">
        <w:rPr>
          <w:rFonts w:hint="eastAsia"/>
        </w:rPr>
        <w:t>，</w:t>
      </w:r>
      <w:r>
        <w:rPr>
          <w:rFonts w:hint="eastAsia"/>
        </w:rPr>
        <w:t>あるいは老後を迎えるにあたっても</w:t>
      </w:r>
      <w:r w:rsidR="002F248B">
        <w:rPr>
          <w:rFonts w:hint="eastAsia"/>
        </w:rPr>
        <w:t>，</w:t>
      </w:r>
      <w:r>
        <w:rPr>
          <w:rFonts w:hint="eastAsia"/>
        </w:rPr>
        <w:t>ポートフォリオ構築は「リスクの低減」に傾くべきなのだろうか</w:t>
      </w:r>
      <w:r w:rsidR="002F248B">
        <w:rPr>
          <w:rFonts w:hint="eastAsia"/>
        </w:rPr>
        <w:t>．</w:t>
      </w:r>
      <w:r>
        <w:rPr>
          <w:rFonts w:hint="eastAsia"/>
        </w:rPr>
        <w:t>最良の投資戦略についてコンセンサスは得られていないが</w:t>
      </w:r>
      <w:r w:rsidR="002F248B">
        <w:rPr>
          <w:rFonts w:hint="eastAsia"/>
        </w:rPr>
        <w:t>，</w:t>
      </w:r>
      <w:r>
        <w:rPr>
          <w:rFonts w:hint="eastAsia"/>
        </w:rPr>
        <w:t>現在の議論では</w:t>
      </w:r>
      <w:r w:rsidR="002F248B">
        <w:rPr>
          <w:rFonts w:hint="eastAsia"/>
        </w:rPr>
        <w:t>，</w:t>
      </w:r>
      <w:r>
        <w:rPr>
          <w:rFonts w:hint="eastAsia"/>
        </w:rPr>
        <w:t>一般的なターゲット・デート・ファンドやライフサイクル・ファンドの蓄積段階での利点に疑問が投げかけられている</w:t>
      </w:r>
      <w:r w:rsidR="002F248B">
        <w:rPr>
          <w:rFonts w:hint="eastAsia"/>
        </w:rPr>
        <w:t>．</w:t>
      </w:r>
      <w:r>
        <w:rPr>
          <w:rFonts w:hint="eastAsia"/>
        </w:rPr>
        <w:t>同様に</w:t>
      </w:r>
      <w:r w:rsidR="002F248B">
        <w:rPr>
          <w:rFonts w:hint="eastAsia"/>
        </w:rPr>
        <w:t>，</w:t>
      </w:r>
      <w:r>
        <w:t>Blanchett（2007）は</w:t>
      </w:r>
      <w:r w:rsidR="002F248B">
        <w:t>，</w:t>
      </w:r>
      <w:r>
        <w:t>退職時に株式への配分を減らす様々な投資経路と固定資産配分を比較している</w:t>
      </w:r>
      <w:r w:rsidR="002F248B">
        <w:t>．</w:t>
      </w:r>
      <w:r>
        <w:rPr>
          <w:rFonts w:hint="eastAsia"/>
        </w:rPr>
        <w:t>その結果</w:t>
      </w:r>
      <w:r w:rsidR="002F248B">
        <w:rPr>
          <w:rFonts w:hint="eastAsia"/>
        </w:rPr>
        <w:t>，</w:t>
      </w:r>
      <w:r>
        <w:rPr>
          <w:rFonts w:hint="eastAsia"/>
        </w:rPr>
        <w:t>退職後に株式投資を減らす傾向のある資産配分と比較して</w:t>
      </w:r>
      <w:r w:rsidR="002F248B">
        <w:rPr>
          <w:rFonts w:hint="eastAsia"/>
        </w:rPr>
        <w:t>，</w:t>
      </w:r>
      <w:r>
        <w:rPr>
          <w:rFonts w:hint="eastAsia"/>
        </w:rPr>
        <w:t>固定資産配分が優れた結果をもたらすことが分かった</w:t>
      </w:r>
      <w:r w:rsidR="002F248B">
        <w:rPr>
          <w:rFonts w:hint="eastAsia"/>
        </w:rPr>
        <w:t>．</w:t>
      </w:r>
      <w:proofErr w:type="spellStart"/>
      <w:r>
        <w:t>Arnott,Sherrerd,andWu</w:t>
      </w:r>
      <w:proofErr w:type="spellEnd"/>
      <w:r>
        <w:t>(2013)は</w:t>
      </w:r>
      <w:r w:rsidR="002F248B">
        <w:t>，</w:t>
      </w:r>
      <w:r>
        <w:t>ターゲットデートファンドのグライドパスを逆手にとって株式の比率を高めることで</w:t>
      </w:r>
      <w:r w:rsidR="002F248B">
        <w:t>，</w:t>
      </w:r>
      <w:r>
        <w:t>投資家の最終的な資産水準がより高くなると論じている</w:t>
      </w:r>
      <w:r w:rsidR="002F248B">
        <w:t>．</w:t>
      </w:r>
      <w:r>
        <w:t>彼らは</w:t>
      </w:r>
      <w:r w:rsidR="002F248B">
        <w:t>，</w:t>
      </w:r>
      <w:r>
        <w:t>富の分布の左テールにおいてさえ</w:t>
      </w:r>
      <w:r w:rsidR="002F248B">
        <w:t>，</w:t>
      </w:r>
      <w:r>
        <w:t>従来のライフサイクル・アプローチよりも高い富のレベルをもたらしている</w:t>
      </w:r>
      <w:r w:rsidR="002F248B">
        <w:t>．</w:t>
      </w:r>
    </w:p>
    <w:p w14:paraId="3B1357F9" w14:textId="77777777" w:rsidR="008918C7" w:rsidRDefault="008918C7" w:rsidP="001D4DE2">
      <w:pPr>
        <w:pStyle w:val="a2"/>
      </w:pPr>
    </w:p>
    <w:p w14:paraId="025396A3" w14:textId="780EDAD7" w:rsidR="008918C7" w:rsidRDefault="00D1200A" w:rsidP="00D1200A">
      <w:pPr>
        <w:pStyle w:val="a2"/>
        <w:rPr>
          <w:rFonts w:hint="eastAsia"/>
        </w:rPr>
      </w:pPr>
      <w:r>
        <w:t>Estrada(2014)は</w:t>
      </w:r>
      <w:r w:rsidR="002F248B">
        <w:t>，</w:t>
      </w:r>
      <w:r>
        <w:t>19カ国におけるライフサイクル投資家のグライドパスに関する包括的な研究を行い</w:t>
      </w:r>
      <w:r w:rsidR="002F248B">
        <w:t>，</w:t>
      </w:r>
      <w:r>
        <w:t>逆張り戦略は</w:t>
      </w:r>
      <w:r w:rsidR="002F248B">
        <w:t>，</w:t>
      </w:r>
      <w:r>
        <w:t>より高い不確実性を伴うものの</w:t>
      </w:r>
      <w:r w:rsidR="002F248B">
        <w:t>，</w:t>
      </w:r>
      <w:r>
        <w:t>より高い上昇ポテンシャルとより限定的な下降ポテンシャルを提供することを発見している</w:t>
      </w:r>
      <w:r w:rsidR="002F248B">
        <w:t>．</w:t>
      </w:r>
      <w:r>
        <w:t>Arnott(2012)もこのケースを論じている</w:t>
      </w:r>
      <w:r w:rsidR="002F248B">
        <w:t>．</w:t>
      </w:r>
      <w:r>
        <w:t>この論文では</w:t>
      </w:r>
      <w:r w:rsidR="002F248B">
        <w:t>，</w:t>
      </w:r>
      <w:r>
        <w:t>ターゲット・デイト・ファンドの戦略とは逆の戦略をとった方が</w:t>
      </w:r>
      <w:r w:rsidR="002F248B">
        <w:t>，</w:t>
      </w:r>
      <w:r>
        <w:t>投資家はより良い結果を得られると論じている</w:t>
      </w:r>
      <w:r w:rsidR="002F248B">
        <w:t>．</w:t>
      </w:r>
      <w:r>
        <w:t>実際</w:t>
      </w:r>
      <w:r w:rsidR="002F248B">
        <w:t>，</w:t>
      </w:r>
      <w:r>
        <w:t>彼は</w:t>
      </w:r>
      <w:r w:rsidR="002F248B">
        <w:t>，</w:t>
      </w:r>
      <w:r>
        <w:t>投資家が退職時に蓄積される資本に焦点を当てるならば</w:t>
      </w:r>
      <w:r w:rsidR="002F248B">
        <w:t>，</w:t>
      </w:r>
      <w:r>
        <w:t>ポートフォリオをより保守的にするのではな</w:t>
      </w:r>
      <w:r>
        <w:rPr>
          <w:rFonts w:hint="eastAsia"/>
        </w:rPr>
        <w:t>く</w:t>
      </w:r>
      <w:r w:rsidR="002F248B">
        <w:rPr>
          <w:rFonts w:hint="eastAsia"/>
        </w:rPr>
        <w:t>，</w:t>
      </w:r>
      <w:r>
        <w:t>Shiller(2005)のように</w:t>
      </w:r>
      <w:r w:rsidR="002F248B">
        <w:t>，</w:t>
      </w:r>
      <w:r>
        <w:t>退職が近づくにつれてポートフォリオをより積極的にするべきだと主張している</w:t>
      </w:r>
      <w:r w:rsidR="002F248B">
        <w:t>．</w:t>
      </w:r>
      <w:r>
        <w:rPr>
          <w:rFonts w:hint="eastAsia"/>
        </w:rPr>
        <w:t>この直感に反する提言は</w:t>
      </w:r>
      <w:r w:rsidR="002F248B">
        <w:rPr>
          <w:rFonts w:hint="eastAsia"/>
        </w:rPr>
        <w:t>，</w:t>
      </w:r>
      <w:r>
        <w:t>Shiller(2005)が最初に強調した</w:t>
      </w:r>
      <w:r w:rsidR="002F248B">
        <w:t>，</w:t>
      </w:r>
      <w:r>
        <w:t>かなり明白だが見落とされがちな事実からきている</w:t>
      </w:r>
      <w:r w:rsidR="002F248B">
        <w:t>．</w:t>
      </w:r>
      <w:r>
        <w:t>ターゲット・デイト・ファンドは，投資家が株式に接する機会が，蓄積された資金が大きくない初期には多く，蓄積された資金が大きくなる後期には少なくなる</w:t>
      </w:r>
      <w:r w:rsidR="002F248B">
        <w:t>．</w:t>
      </w:r>
      <w:r>
        <w:t>言い換えれば，これらのファンドは，ポートフォリオが小さいときには積極的で，大きいときには保守的であり，これは，資本蓄積の観点からは最適とは言えないように思われる</w:t>
      </w:r>
      <w:r w:rsidR="002F248B">
        <w:t>．</w:t>
      </w:r>
    </w:p>
    <w:p w14:paraId="0211A15D" w14:textId="77777777" w:rsidR="00973FEA" w:rsidRDefault="00973FEA" w:rsidP="00D12110">
      <w:pPr>
        <w:pStyle w:val="a2"/>
        <w:rPr>
          <w:rFonts w:hint="eastAsia"/>
        </w:rPr>
      </w:pPr>
    </w:p>
    <w:p w14:paraId="231E7D27" w14:textId="1F4CEEFB" w:rsidR="00A51306" w:rsidRDefault="009D5E5C" w:rsidP="00D12110">
      <w:pPr>
        <w:pStyle w:val="a2"/>
      </w:pPr>
      <w:r w:rsidRPr="009D5E5C">
        <w:rPr>
          <w:rFonts w:hint="eastAsia"/>
        </w:rPr>
        <w:t>長期的な貯蓄手段としての人気が高まっているにもかかわらず</w:t>
      </w:r>
      <w:r w:rsidR="002F248B">
        <w:rPr>
          <w:rFonts w:hint="eastAsia"/>
        </w:rPr>
        <w:t>，</w:t>
      </w:r>
      <w:r w:rsidRPr="009D5E5C">
        <w:rPr>
          <w:rFonts w:hint="eastAsia"/>
        </w:rPr>
        <w:t>従来のターゲットデイトファンドが本質的に危険であるという考え方は</w:t>
      </w:r>
      <w:r w:rsidR="002F248B">
        <w:rPr>
          <w:rFonts w:hint="eastAsia"/>
        </w:rPr>
        <w:t>，</w:t>
      </w:r>
      <w:r w:rsidRPr="009D5E5C">
        <w:t>Ezraら（2009年）</w:t>
      </w:r>
      <w:r w:rsidR="002F248B">
        <w:t>，</w:t>
      </w:r>
      <w:r w:rsidRPr="009D5E5C">
        <w:t>より最近では</w:t>
      </w:r>
      <w:proofErr w:type="spellStart"/>
      <w:r w:rsidRPr="009D5E5C">
        <w:t>CaponandAkant</w:t>
      </w:r>
      <w:proofErr w:type="spellEnd"/>
      <w:r w:rsidRPr="009D5E5C">
        <w:t>（2016年）によって取り上げられており</w:t>
      </w:r>
      <w:r w:rsidR="002F248B">
        <w:t>，</w:t>
      </w:r>
      <w:r w:rsidRPr="009D5E5C">
        <w:t>大金融危機が2010年のターゲットデイトファンドに大打撃を与え</w:t>
      </w:r>
      <w:r w:rsidR="002F248B">
        <w:t>，</w:t>
      </w:r>
      <w:r w:rsidRPr="009D5E5C">
        <w:t>米国の3大ファンドは2008年にそれぞれ約30％以上損失したと指摘している：この不幸な出来事は</w:t>
      </w:r>
      <w:r w:rsidR="002F248B">
        <w:t>，</w:t>
      </w:r>
      <w:r w:rsidRPr="009D5E5C">
        <w:t>上記のようにシーケンスリスク</w:t>
      </w:r>
      <w:r w:rsidR="002F248B">
        <w:t>，</w:t>
      </w:r>
      <w:r w:rsidRPr="009D5E5C">
        <w:t>すなわち</w:t>
      </w:r>
      <w:r w:rsidR="002F248B">
        <w:t>，</w:t>
      </w:r>
      <w:r w:rsidRPr="009D5E5C">
        <w:t>投資ポートフォリオの（悲惨ではないにしても）悪いリターンがちょうど長期貯蓄者に</w:t>
      </w:r>
      <w:r w:rsidRPr="009D5E5C">
        <w:rPr>
          <w:rFonts w:hint="eastAsia"/>
        </w:rPr>
        <w:t>とって最悪の時期（すなわち退職直前）に発生するということを反映したものだ</w:t>
      </w:r>
      <w:r w:rsidR="002F248B">
        <w:rPr>
          <w:rFonts w:hint="eastAsia"/>
        </w:rPr>
        <w:t>．</w:t>
      </w:r>
      <w:proofErr w:type="spellStart"/>
      <w:r w:rsidRPr="009D5E5C">
        <w:t>CaponeandAkant</w:t>
      </w:r>
      <w:proofErr w:type="spellEnd"/>
      <w:r w:rsidRPr="009D5E5C">
        <w:t>(2016)は</w:t>
      </w:r>
      <w:r w:rsidR="002F248B">
        <w:t>，</w:t>
      </w:r>
      <w:r w:rsidRPr="009D5E5C">
        <w:t>「株式が多すぎる」ことと</w:t>
      </w:r>
      <w:r w:rsidR="002F248B">
        <w:t>，</w:t>
      </w:r>
      <w:r w:rsidRPr="009D5E5C">
        <w:t>リスクプレミアのソース間の分散が十分でないことが根本的な問題であるとし</w:t>
      </w:r>
      <w:r w:rsidR="002F248B">
        <w:t>，</w:t>
      </w:r>
      <w:r w:rsidRPr="009D5E5C">
        <w:t>彼らのマルチアセットトレンドフォロー戦略を従来のターゲットデートファンド戦略に統合することを提案している</w:t>
      </w:r>
      <w:r w:rsidR="002F248B">
        <w:t>．</w:t>
      </w:r>
      <w:r w:rsidRPr="009D5E5C">
        <w:t>彼らの論文のタイトルにはトレンドフォローが登場するが</w:t>
      </w:r>
      <w:r w:rsidR="002F248B">
        <w:t>，</w:t>
      </w:r>
      <w:r w:rsidRPr="009D5E5C">
        <w:t>彼らはトレンドフォロー</w:t>
      </w:r>
      <w:r w:rsidR="002F248B">
        <w:t>，</w:t>
      </w:r>
      <w:r w:rsidRPr="009D5E5C">
        <w:t>「スムージング」手法を提唱しているのではなく</w:t>
      </w:r>
      <w:r w:rsidR="002F248B">
        <w:t>，</w:t>
      </w:r>
      <w:r w:rsidRPr="009D5E5C">
        <w:t>既存のターゲットデイトファンドソリューション（つまり</w:t>
      </w:r>
      <w:r w:rsidR="002F248B">
        <w:t>，</w:t>
      </w:r>
      <w:r w:rsidRPr="009D5E5C">
        <w:t>たまた</w:t>
      </w:r>
      <w:r w:rsidRPr="009D5E5C">
        <w:rPr>
          <w:rFonts w:hint="eastAsia"/>
        </w:rPr>
        <w:t>ま従来のトレンドフォローの</w:t>
      </w:r>
      <w:r w:rsidRPr="009D5E5C">
        <w:t>CTA（</w:t>
      </w:r>
      <w:proofErr w:type="spellStart"/>
      <w:r w:rsidRPr="009D5E5C">
        <w:t>CommodityTradeAdvisors</w:t>
      </w:r>
      <w:proofErr w:type="spellEnd"/>
      <w:r w:rsidRPr="009D5E5C">
        <w:t>）ファンドである追加の分散資産）に彼らのマルチアセットトレンドフォロー投資のソリューション（「ファンド」）を追加しているのである</w:t>
      </w:r>
      <w:r w:rsidR="002F248B">
        <w:t>．</w:t>
      </w:r>
      <w:r w:rsidRPr="009D5E5C">
        <w:t>しかし</w:t>
      </w:r>
      <w:r w:rsidR="002F248B">
        <w:t>，</w:t>
      </w:r>
      <w:r w:rsidRPr="009D5E5C">
        <w:t>これはシーケンスリスクという根本的な問題</w:t>
      </w:r>
      <w:r w:rsidR="002F248B">
        <w:t>，</w:t>
      </w:r>
      <w:r w:rsidRPr="009D5E5C">
        <w:t>つまり「誤った」タイミングで大きなドローダウンが発生する可能性を解決するものではない</w:t>
      </w:r>
      <w:r w:rsidR="002F248B">
        <w:t>．</w:t>
      </w:r>
      <w:r w:rsidRPr="009D5E5C">
        <w:t>彼らは</w:t>
      </w:r>
      <w:r w:rsidR="002F248B">
        <w:t>，</w:t>
      </w:r>
      <w:r w:rsidRPr="009D5E5C">
        <w:t>従来のターゲットデイトファンドの配分に</w:t>
      </w:r>
      <w:r w:rsidR="002F248B">
        <w:t>，</w:t>
      </w:r>
      <w:r w:rsidRPr="009D5E5C">
        <w:t>彼らのCTAという形でポートフォリオ価値の15%までを追加しているが</w:t>
      </w:r>
      <w:r w:rsidR="002F248B">
        <w:t>，</w:t>
      </w:r>
      <w:r w:rsidRPr="009D5E5C">
        <w:t>それでも債券の配分は</w:t>
      </w:r>
      <w:r w:rsidR="002F248B">
        <w:t>，</w:t>
      </w:r>
      <w:r w:rsidRPr="009D5E5C">
        <w:t>次の（予測できない）金利</w:t>
      </w:r>
      <w:r w:rsidRPr="009D5E5C">
        <w:rPr>
          <w:rFonts w:hint="eastAsia"/>
        </w:rPr>
        <w:t>の上昇の周期的変化に対して脆弱なままである</w:t>
      </w:r>
      <w:r w:rsidR="002F248B">
        <w:rPr>
          <w:rFonts w:hint="eastAsia"/>
        </w:rPr>
        <w:t>．</w:t>
      </w:r>
    </w:p>
    <w:p w14:paraId="1C7D1193" w14:textId="77777777" w:rsidR="000D198E" w:rsidRDefault="000D198E" w:rsidP="00D12110">
      <w:pPr>
        <w:pStyle w:val="a2"/>
      </w:pPr>
    </w:p>
    <w:p w14:paraId="01893B85" w14:textId="7391B983" w:rsidR="000D198E" w:rsidRDefault="00B709E3" w:rsidP="00D12110">
      <w:pPr>
        <w:pStyle w:val="a2"/>
      </w:pPr>
      <w:r w:rsidRPr="00B709E3">
        <w:rPr>
          <w:rFonts w:hint="eastAsia"/>
        </w:rPr>
        <w:t>しかし</w:t>
      </w:r>
      <w:r w:rsidR="002F248B">
        <w:rPr>
          <w:rFonts w:hint="eastAsia"/>
        </w:rPr>
        <w:t>，</w:t>
      </w:r>
      <w:r w:rsidRPr="00B709E3">
        <w:rPr>
          <w:rFonts w:hint="eastAsia"/>
        </w:rPr>
        <w:t>最大損失が従来のターゲットデイトファンドと比較して大幅に減少していることを認めたことは</w:t>
      </w:r>
      <w:r w:rsidR="002F248B">
        <w:rPr>
          <w:rFonts w:hint="eastAsia"/>
        </w:rPr>
        <w:t>，</w:t>
      </w:r>
      <w:r w:rsidRPr="00B709E3">
        <w:rPr>
          <w:rFonts w:hint="eastAsia"/>
        </w:rPr>
        <w:t>シーケンスリスクへの対応として正しい方向への一歩と言える</w:t>
      </w:r>
      <w:r w:rsidR="002F248B">
        <w:rPr>
          <w:rFonts w:hint="eastAsia"/>
        </w:rPr>
        <w:t>．</w:t>
      </w:r>
      <w:r w:rsidRPr="00B709E3">
        <w:rPr>
          <w:rFonts w:hint="eastAsia"/>
        </w:rPr>
        <w:t>この論文の後半や他の場所での我々の提案を見越して</w:t>
      </w:r>
      <w:r w:rsidR="002F248B">
        <w:rPr>
          <w:rFonts w:hint="eastAsia"/>
        </w:rPr>
        <w:t>，</w:t>
      </w:r>
      <w:r w:rsidRPr="00B709E3">
        <w:rPr>
          <w:rFonts w:hint="eastAsia"/>
        </w:rPr>
        <w:t>我々は</w:t>
      </w:r>
      <w:r w:rsidR="002F248B">
        <w:rPr>
          <w:rFonts w:hint="eastAsia"/>
        </w:rPr>
        <w:t>，</w:t>
      </w:r>
      <w:r w:rsidRPr="00B709E3">
        <w:rPr>
          <w:rFonts w:hint="eastAsia"/>
        </w:rPr>
        <w:t>そうでなければ長いだけの従来のターゲットデイトファンドの配分に</w:t>
      </w:r>
      <w:r w:rsidRPr="00B709E3">
        <w:t>CTAコンポーネントを追加するだけではなく</w:t>
      </w:r>
      <w:r w:rsidR="002F248B">
        <w:t>，</w:t>
      </w:r>
      <w:r w:rsidRPr="00B709E3">
        <w:t>すべての資産クラスをトレンドフォローによる平滑化の対象とする（Faber,2007,Clareetal,2016参照）ことを提唱するものである</w:t>
      </w:r>
      <w:r w:rsidR="002F248B">
        <w:t>．</w:t>
      </w:r>
      <w:r w:rsidRPr="00B709E3">
        <w:t>実際</w:t>
      </w:r>
      <w:r w:rsidR="002F248B">
        <w:t>，</w:t>
      </w:r>
      <w:proofErr w:type="spellStart"/>
      <w:r w:rsidRPr="00B709E3">
        <w:t>CaponeandAkant</w:t>
      </w:r>
      <w:proofErr w:type="spellEnd"/>
      <w:r w:rsidRPr="00B709E3">
        <w:t>(2016)も提唱しているように</w:t>
      </w:r>
      <w:r w:rsidR="002F248B">
        <w:t>，</w:t>
      </w:r>
      <w:r w:rsidRPr="00B709E3">
        <w:t>Faber(2007)や</w:t>
      </w:r>
      <w:proofErr w:type="spellStart"/>
      <w:r w:rsidRPr="00B709E3">
        <w:t>Clareetal</w:t>
      </w:r>
      <w:proofErr w:type="spellEnd"/>
      <w:r w:rsidRPr="00B709E3">
        <w:t>(2016)が幅広い資産クラスで証明しているように</w:t>
      </w:r>
      <w:r w:rsidR="002F248B">
        <w:t>，</w:t>
      </w:r>
      <w:r w:rsidRPr="00B709E3">
        <w:t>スムージングへの追加的なメ</w:t>
      </w:r>
      <w:r w:rsidRPr="00B709E3">
        <w:lastRenderedPageBreak/>
        <w:t>リットはトレンドフォローによる（リスク調整と絶対の）長い余分のパフォーマンスである</w:t>
      </w:r>
      <w:r w:rsidR="002F248B">
        <w:t>．</w:t>
      </w:r>
    </w:p>
    <w:p w14:paraId="569AB01B" w14:textId="77777777" w:rsidR="000D198E" w:rsidRDefault="000D198E" w:rsidP="00D12110">
      <w:pPr>
        <w:pStyle w:val="a2"/>
      </w:pPr>
    </w:p>
    <w:p w14:paraId="77741E69" w14:textId="102119FF" w:rsidR="000D198E" w:rsidRDefault="00F3334D" w:rsidP="00F3334D">
      <w:pPr>
        <w:pStyle w:val="a2"/>
      </w:pPr>
      <w:r>
        <w:rPr>
          <w:rFonts w:hint="eastAsia"/>
        </w:rPr>
        <w:t>現実的には</w:t>
      </w:r>
      <w:r w:rsidR="002F248B">
        <w:rPr>
          <w:rFonts w:hint="eastAsia"/>
        </w:rPr>
        <w:t>，</w:t>
      </w:r>
      <w:proofErr w:type="spellStart"/>
      <w:r>
        <w:t>Bengen</w:t>
      </w:r>
      <w:proofErr w:type="spellEnd"/>
      <w:r>
        <w:t>(1994)は</w:t>
      </w:r>
      <w:r w:rsidR="002F248B">
        <w:t>，</w:t>
      </w:r>
      <w:r>
        <w:t>将来の市場リターンが過去に見られたような行動をとるならば</w:t>
      </w:r>
      <w:r w:rsidR="002F248B">
        <w:t>，</w:t>
      </w:r>
      <w:r>
        <w:t>退職後のポートフォリオは</w:t>
      </w:r>
      <w:r w:rsidR="002F248B">
        <w:t>，</w:t>
      </w:r>
      <w:r>
        <w:t>50～75％の株式への配分を保持すべきであるとアドバイスしている</w:t>
      </w:r>
      <w:r w:rsidR="002F248B">
        <w:t>．</w:t>
      </w:r>
      <w:proofErr w:type="spellStart"/>
      <w:r>
        <w:t>MilevskyandHuang</w:t>
      </w:r>
      <w:proofErr w:type="spellEnd"/>
      <w:r>
        <w:t>(2011)と</w:t>
      </w:r>
      <w:proofErr w:type="spellStart"/>
      <w:r>
        <w:t>Ameriks,Veres,andWarshawsky</w:t>
      </w:r>
      <w:proofErr w:type="spellEnd"/>
      <w:r>
        <w:t>(2001)は</w:t>
      </w:r>
      <w:r w:rsidR="002F248B">
        <w:t>，</w:t>
      </w:r>
      <w:r>
        <w:t>退職後のポートフォリオでかなりの株式配分を保持する必要性をシミュレーションで実証している</w:t>
      </w:r>
      <w:r w:rsidR="002F248B">
        <w:t>．</w:t>
      </w:r>
      <w:proofErr w:type="spellStart"/>
      <w:r>
        <w:t>Cooley,Hubbard,andWalz</w:t>
      </w:r>
      <w:proofErr w:type="spellEnd"/>
      <w:r>
        <w:t>(2011)は</w:t>
      </w:r>
      <w:r w:rsidR="002F248B">
        <w:t>，</w:t>
      </w:r>
      <w:r>
        <w:t>退職後のポートフォリオの少</w:t>
      </w:r>
      <w:r>
        <w:rPr>
          <w:rFonts w:hint="eastAsia"/>
        </w:rPr>
        <w:t>なくとも</w:t>
      </w:r>
      <w:r>
        <w:t>50％を株式に投資すべきであると提案しており</w:t>
      </w:r>
      <w:r w:rsidR="002F248B">
        <w:t>，</w:t>
      </w:r>
      <w:r>
        <w:t>株式への傾斜が強くなるほど</w:t>
      </w:r>
      <w:r w:rsidR="002F248B">
        <w:t>，</w:t>
      </w:r>
      <w:r>
        <w:t>ファンドの持続可能性が高まるという調査結果を示している</w:t>
      </w:r>
      <w:r w:rsidR="002F248B">
        <w:t>．</w:t>
      </w:r>
      <w:r>
        <w:rPr>
          <w:rFonts w:hint="eastAsia"/>
        </w:rPr>
        <w:t>彼らは</w:t>
      </w:r>
      <w:r w:rsidR="002F248B">
        <w:rPr>
          <w:rFonts w:hint="eastAsia"/>
        </w:rPr>
        <w:t>，</w:t>
      </w:r>
      <w:r>
        <w:rPr>
          <w:rFonts w:hint="eastAsia"/>
        </w:rPr>
        <w:t>債券の存在は</w:t>
      </w:r>
      <w:r w:rsidR="002F248B">
        <w:rPr>
          <w:rFonts w:hint="eastAsia"/>
        </w:rPr>
        <w:t>，</w:t>
      </w:r>
      <w:r>
        <w:rPr>
          <w:rFonts w:hint="eastAsia"/>
        </w:rPr>
        <w:t>主にポートフォリオのボラティリティを抑制し</w:t>
      </w:r>
      <w:r w:rsidR="002F248B">
        <w:rPr>
          <w:rFonts w:hint="eastAsia"/>
        </w:rPr>
        <w:t>，</w:t>
      </w:r>
      <w:r>
        <w:rPr>
          <w:rFonts w:hint="eastAsia"/>
        </w:rPr>
        <w:t>投資家の生活費を賄うための流動性を提供するものであると説明している</w:t>
      </w:r>
      <w:r w:rsidR="002F248B">
        <w:rPr>
          <w:rFonts w:hint="eastAsia"/>
        </w:rPr>
        <w:t>．</w:t>
      </w:r>
    </w:p>
    <w:p w14:paraId="4ACFAF37" w14:textId="77777777" w:rsidR="00F41CA3" w:rsidRDefault="00F41CA3" w:rsidP="00F3334D">
      <w:pPr>
        <w:pStyle w:val="a2"/>
      </w:pPr>
    </w:p>
    <w:p w14:paraId="3352852E" w14:textId="7EC249BD" w:rsidR="00F41CA3" w:rsidRDefault="00E12875" w:rsidP="00E12875">
      <w:pPr>
        <w:pStyle w:val="a2"/>
      </w:pPr>
      <w:r>
        <w:rPr>
          <w:rFonts w:hint="eastAsia"/>
        </w:rPr>
        <w:t>ライフサイクル戦略は</w:t>
      </w:r>
      <w:r w:rsidR="002F248B">
        <w:rPr>
          <w:rFonts w:hint="eastAsia"/>
        </w:rPr>
        <w:t>，</w:t>
      </w:r>
      <w:r>
        <w:rPr>
          <w:rFonts w:hint="eastAsia"/>
        </w:rPr>
        <w:t>当初は株式への配分を多く持ち</w:t>
      </w:r>
      <w:r w:rsidR="002F248B">
        <w:rPr>
          <w:rFonts w:hint="eastAsia"/>
        </w:rPr>
        <w:t>，</w:t>
      </w:r>
      <w:r>
        <w:rPr>
          <w:rFonts w:hint="eastAsia"/>
        </w:rPr>
        <w:t>年齢が上がるにつれて債券や現金など変動の少ない資産に移行するものである</w:t>
      </w:r>
      <w:r w:rsidR="002F248B">
        <w:rPr>
          <w:rFonts w:hint="eastAsia"/>
        </w:rPr>
        <w:t>．</w:t>
      </w:r>
      <w:r>
        <w:rPr>
          <w:rFonts w:hint="eastAsia"/>
        </w:rPr>
        <w:t>これは</w:t>
      </w:r>
      <w:r w:rsidR="002F248B">
        <w:rPr>
          <w:rFonts w:hint="eastAsia"/>
        </w:rPr>
        <w:t>，</w:t>
      </w:r>
      <w:r>
        <w:rPr>
          <w:rFonts w:hint="eastAsia"/>
        </w:rPr>
        <w:t>多くの雇用主がスポンサーとなっている退職金制度や個人の退職金制度におけるデフォルトの投資オプションである（</w:t>
      </w:r>
      <w:r>
        <w:t>CharlsonandLutton,2012を参照）</w:t>
      </w:r>
      <w:r w:rsidR="002F248B">
        <w:t>．</w:t>
      </w:r>
      <w:r>
        <w:rPr>
          <w:rFonts w:hint="eastAsia"/>
        </w:rPr>
        <w:t>オーストラリアでは</w:t>
      </w:r>
      <w:r w:rsidR="002F248B">
        <w:rPr>
          <w:rFonts w:hint="eastAsia"/>
        </w:rPr>
        <w:t>，</w:t>
      </w:r>
      <w:r>
        <w:rPr>
          <w:rFonts w:hint="eastAsia"/>
        </w:rPr>
        <w:t>ライフサイクル・ファンドが急速に増加しており</w:t>
      </w:r>
      <w:r w:rsidR="002F248B">
        <w:rPr>
          <w:rFonts w:hint="eastAsia"/>
        </w:rPr>
        <w:t>，</w:t>
      </w:r>
      <w:r>
        <w:rPr>
          <w:rFonts w:hint="eastAsia"/>
        </w:rPr>
        <w:t>今後</w:t>
      </w:r>
      <w:r>
        <w:t>10年で米国に追いつくか追い抜くと予想されている（OECD,2016）</w:t>
      </w:r>
      <w:r w:rsidR="002F248B">
        <w:t>．</w:t>
      </w:r>
      <w:r>
        <w:t>米国では</w:t>
      </w:r>
      <w:r w:rsidR="002F248B">
        <w:t>，</w:t>
      </w:r>
      <w:r>
        <w:t>プランスポンサーは</w:t>
      </w:r>
      <w:r w:rsidR="002F248B">
        <w:t>，</w:t>
      </w:r>
      <w:r>
        <w:t>加入者が退職後に向けて貯蓄するためのソリューションとして</w:t>
      </w:r>
      <w:r w:rsidR="002F248B">
        <w:t>，</w:t>
      </w:r>
      <w:r>
        <w:t>ターゲット・デート・ファンド（TDF）に群がっている</w:t>
      </w:r>
      <w:r w:rsidR="002F248B">
        <w:t>．</w:t>
      </w:r>
      <w:r>
        <w:t>規制当局がTDFを適格デフォルト投資選択肢（QDIA）に指定したことで</w:t>
      </w:r>
      <w:r w:rsidR="002F248B">
        <w:t>，</w:t>
      </w:r>
      <w:r>
        <w:t>DCプラン全体においてこの種の貯蓄手段への大幅かつ継続的な資金流入が促されています</w:t>
      </w:r>
      <w:r w:rsidR="002F248B">
        <w:t>．</w:t>
      </w:r>
      <w:r>
        <w:rPr>
          <w:rFonts w:hint="eastAsia"/>
        </w:rPr>
        <w:t>カランアソシエイツ</w:t>
      </w:r>
      <w:r>
        <w:t>DCインデックスは</w:t>
      </w:r>
      <w:r w:rsidR="002F248B">
        <w:t>，</w:t>
      </w:r>
      <w:r>
        <w:t>TDFの普及と活用が進んでいることを裏付けています</w:t>
      </w:r>
      <w:r w:rsidR="002F248B">
        <w:t>．</w:t>
      </w:r>
      <w:r>
        <w:t>2015年第3四半期時点で</w:t>
      </w:r>
      <w:r w:rsidR="002F248B">
        <w:t>，</w:t>
      </w:r>
      <w:r>
        <w:t>カランは</w:t>
      </w:r>
      <w:r w:rsidR="002F248B">
        <w:t>，</w:t>
      </w:r>
      <w:r>
        <w:t>追跡している米国DCプランの88％がTDFを含み</w:t>
      </w:r>
      <w:r w:rsidR="002F248B">
        <w:t>，</w:t>
      </w:r>
      <w:r>
        <w:t>TDFへの平均配分は30％であると推定しています</w:t>
      </w:r>
      <w:r w:rsidR="002F248B">
        <w:t>．</w:t>
      </w:r>
      <w:r>
        <w:t>また</w:t>
      </w:r>
      <w:r w:rsidR="002F248B">
        <w:t>，</w:t>
      </w:r>
      <w:r>
        <w:t>2015年第3四半期には</w:t>
      </w:r>
      <w:r w:rsidR="002F248B">
        <w:t>，</w:t>
      </w:r>
      <w:r>
        <w:t>DCプランへの新規キャッシュフローの61％がTDFに配分されていたと推定されます</w:t>
      </w:r>
      <w:r w:rsidR="002F248B">
        <w:t>．</w:t>
      </w:r>
      <w:r>
        <w:t>TDFは最も人気のあるDC投資手段となっていますが</w:t>
      </w:r>
      <w:r w:rsidR="002F248B">
        <w:t>，</w:t>
      </w:r>
      <w:r>
        <w:t>退職後の成果をより確実に最大化するためには</w:t>
      </w:r>
      <w:r w:rsidR="002F248B">
        <w:t>，</w:t>
      </w:r>
      <w:r>
        <w:t>いくつかの欠点に対処する必要があると考えています</w:t>
      </w:r>
      <w:r w:rsidR="002F248B">
        <w:t>．</w:t>
      </w:r>
    </w:p>
    <w:p w14:paraId="521E8A29" w14:textId="77777777" w:rsidR="00F41CA3" w:rsidRDefault="00F41CA3" w:rsidP="00F3334D">
      <w:pPr>
        <w:pStyle w:val="a2"/>
      </w:pPr>
    </w:p>
    <w:p w14:paraId="41B33A89" w14:textId="22905E78" w:rsidR="00F41CA3" w:rsidRDefault="00AF37C5" w:rsidP="00F3334D">
      <w:pPr>
        <w:pStyle w:val="a2"/>
        <w:rPr>
          <w:rFonts w:hint="eastAsia"/>
        </w:rPr>
      </w:pPr>
      <w:r w:rsidRPr="00AF37C5">
        <w:rPr>
          <w:rFonts w:hint="eastAsia"/>
        </w:rPr>
        <w:t>ライフサイクル・アプローチは</w:t>
      </w:r>
      <w:r w:rsidR="002F248B">
        <w:rPr>
          <w:rFonts w:hint="eastAsia"/>
        </w:rPr>
        <w:t>，</w:t>
      </w:r>
      <w:r w:rsidRPr="00AF37C5">
        <w:rPr>
          <w:rFonts w:hint="eastAsia"/>
        </w:rPr>
        <w:t>分散投資の不足を回避し</w:t>
      </w:r>
      <w:r w:rsidR="002F248B">
        <w:rPr>
          <w:rFonts w:hint="eastAsia"/>
        </w:rPr>
        <w:t>，</w:t>
      </w:r>
      <w:r w:rsidRPr="00AF37C5">
        <w:rPr>
          <w:rFonts w:hint="eastAsia"/>
        </w:rPr>
        <w:t>年齢にそぐわない投資選択を避けることを目的として実施されるものである</w:t>
      </w:r>
      <w:r w:rsidR="002F248B">
        <w:rPr>
          <w:rFonts w:hint="eastAsia"/>
        </w:rPr>
        <w:t>．</w:t>
      </w:r>
      <w:r w:rsidRPr="00AF37C5">
        <w:rPr>
          <w:rFonts w:hint="eastAsia"/>
        </w:rPr>
        <w:t>しかし</w:t>
      </w:r>
      <w:r w:rsidR="002F248B">
        <w:rPr>
          <w:rFonts w:hint="eastAsia"/>
        </w:rPr>
        <w:t>，</w:t>
      </w:r>
      <w:r w:rsidRPr="00AF37C5">
        <w:rPr>
          <w:rFonts w:hint="eastAsia"/>
        </w:rPr>
        <w:t>年齢だけを基準にした場合</w:t>
      </w:r>
      <w:r w:rsidR="002F248B">
        <w:rPr>
          <w:rFonts w:hint="eastAsia"/>
        </w:rPr>
        <w:t>，</w:t>
      </w:r>
      <w:r w:rsidRPr="00AF37C5">
        <w:rPr>
          <w:rFonts w:hint="eastAsia"/>
        </w:rPr>
        <w:t>あらかじめ決められた軌道で投資を行うことの妥当性は</w:t>
      </w:r>
      <w:r w:rsidR="002F248B">
        <w:rPr>
          <w:rFonts w:hint="eastAsia"/>
        </w:rPr>
        <w:t>，</w:t>
      </w:r>
      <w:r w:rsidRPr="00AF37C5">
        <w:rPr>
          <w:rFonts w:hint="eastAsia"/>
        </w:rPr>
        <w:t>単純化されていると思われる</w:t>
      </w:r>
      <w:r w:rsidR="002F248B">
        <w:rPr>
          <w:rFonts w:hint="eastAsia"/>
        </w:rPr>
        <w:t>．</w:t>
      </w:r>
      <w:r w:rsidRPr="00AF37C5">
        <w:rPr>
          <w:rFonts w:hint="eastAsia"/>
        </w:rPr>
        <w:t>資産配分の決定には</w:t>
      </w:r>
      <w:r w:rsidR="002F248B">
        <w:rPr>
          <w:rFonts w:hint="eastAsia"/>
        </w:rPr>
        <w:t>，</w:t>
      </w:r>
      <w:r w:rsidRPr="00AF37C5">
        <w:rPr>
          <w:rFonts w:hint="eastAsia"/>
        </w:rPr>
        <w:t>口座残高</w:t>
      </w:r>
      <w:r w:rsidR="002F248B">
        <w:rPr>
          <w:rFonts w:hint="eastAsia"/>
        </w:rPr>
        <w:t>，</w:t>
      </w:r>
      <w:r w:rsidRPr="00AF37C5">
        <w:rPr>
          <w:rFonts w:hint="eastAsia"/>
        </w:rPr>
        <w:t>性別</w:t>
      </w:r>
      <w:r w:rsidR="002F248B">
        <w:rPr>
          <w:rFonts w:hint="eastAsia"/>
        </w:rPr>
        <w:t>，</w:t>
      </w:r>
      <w:r w:rsidRPr="00AF37C5">
        <w:rPr>
          <w:rFonts w:hint="eastAsia"/>
        </w:rPr>
        <w:t>配偶者の有無</w:t>
      </w:r>
      <w:r w:rsidR="002F248B">
        <w:rPr>
          <w:rFonts w:hint="eastAsia"/>
        </w:rPr>
        <w:t>，</w:t>
      </w:r>
      <w:r w:rsidRPr="00AF37C5">
        <w:rPr>
          <w:rFonts w:hint="eastAsia"/>
        </w:rPr>
        <w:t>退職後の収入の見込み</w:t>
      </w:r>
      <w:r w:rsidR="002F248B">
        <w:rPr>
          <w:rFonts w:hint="eastAsia"/>
        </w:rPr>
        <w:t>，</w:t>
      </w:r>
      <w:r w:rsidRPr="00AF37C5">
        <w:rPr>
          <w:rFonts w:hint="eastAsia"/>
        </w:rPr>
        <w:t>余命の改善などの重要な要因が影響する</w:t>
      </w:r>
      <w:r w:rsidR="002F248B">
        <w:rPr>
          <w:rFonts w:hint="eastAsia"/>
        </w:rPr>
        <w:t>．</w:t>
      </w:r>
      <w:r w:rsidRPr="00AF37C5">
        <w:rPr>
          <w:rFonts w:hint="eastAsia"/>
        </w:rPr>
        <w:t>この議論から明らかなように</w:t>
      </w:r>
      <w:r w:rsidR="002F248B">
        <w:rPr>
          <w:rFonts w:hint="eastAsia"/>
        </w:rPr>
        <w:t>，</w:t>
      </w:r>
      <w:r w:rsidRPr="00AF37C5">
        <w:rPr>
          <w:rFonts w:hint="eastAsia"/>
        </w:rPr>
        <w:t>退職に向けた</w:t>
      </w:r>
      <w:r w:rsidR="002F248B">
        <w:rPr>
          <w:rFonts w:hint="eastAsia"/>
        </w:rPr>
        <w:t>，</w:t>
      </w:r>
      <w:r w:rsidRPr="00AF37C5">
        <w:rPr>
          <w:rFonts w:hint="eastAsia"/>
        </w:rPr>
        <w:t>あるいは退職中のリスク回避について</w:t>
      </w:r>
      <w:r w:rsidR="002F248B">
        <w:rPr>
          <w:rFonts w:hint="eastAsia"/>
        </w:rPr>
        <w:t>，</w:t>
      </w:r>
      <w:r w:rsidRPr="00AF37C5">
        <w:rPr>
          <w:rFonts w:hint="eastAsia"/>
        </w:rPr>
        <w:t>まだコンセンサスが得られていないのである</w:t>
      </w:r>
      <w:r w:rsidR="002F248B">
        <w:rPr>
          <w:rFonts w:hint="eastAsia"/>
        </w:rPr>
        <w:t>．</w:t>
      </w:r>
    </w:p>
    <w:p w14:paraId="1E3CE816" w14:textId="77777777" w:rsidR="000D198E" w:rsidRDefault="000D198E" w:rsidP="00CC204E">
      <w:pPr>
        <w:pStyle w:val="a2"/>
        <w:ind w:firstLineChars="0" w:firstLine="0"/>
      </w:pPr>
    </w:p>
    <w:p w14:paraId="5D7D406A" w14:textId="694F1F5A" w:rsidR="00CC204E" w:rsidRDefault="00CC204E" w:rsidP="00CC204E">
      <w:pPr>
        <w:pStyle w:val="1"/>
      </w:pPr>
      <w:r w:rsidRPr="00CC204E">
        <w:t>Glidepath</w:t>
      </w:r>
      <w:r w:rsidR="001C7F90">
        <w:t xml:space="preserve"> </w:t>
      </w:r>
      <w:r w:rsidRPr="00CC204E">
        <w:t>Investing</w:t>
      </w:r>
      <w:r w:rsidR="001C7F90">
        <w:t xml:space="preserve"> </w:t>
      </w:r>
      <w:r w:rsidRPr="00CC204E">
        <w:t>and</w:t>
      </w:r>
      <w:r w:rsidR="001C7F90">
        <w:t xml:space="preserve"> </w:t>
      </w:r>
      <w:r w:rsidRPr="00CC204E">
        <w:t>Withdrawal</w:t>
      </w:r>
      <w:r w:rsidR="001C7F90">
        <w:t xml:space="preserve"> </w:t>
      </w:r>
      <w:r w:rsidRPr="00CC204E">
        <w:t>Rates</w:t>
      </w:r>
    </w:p>
    <w:p w14:paraId="2BA8D2B4" w14:textId="6A0C31CC" w:rsidR="00CC204E" w:rsidRPr="00CC204E" w:rsidRDefault="00051735" w:rsidP="00CC204E">
      <w:pPr>
        <w:pStyle w:val="a2"/>
        <w:rPr>
          <w:rFonts w:hint="eastAsia"/>
        </w:rPr>
      </w:pPr>
      <w:r w:rsidRPr="00051735">
        <w:rPr>
          <w:rFonts w:hint="eastAsia"/>
        </w:rPr>
        <w:t>上記</w:t>
      </w:r>
      <w:r w:rsidRPr="00051735">
        <w:t>3節で見たように</w:t>
      </w:r>
      <w:r w:rsidR="002F248B">
        <w:t>，</w:t>
      </w:r>
      <w:r w:rsidRPr="00051735">
        <w:t>減退期における様々な戦略の相対的な質を評価する上で有用な比較指標は</w:t>
      </w:r>
      <w:r w:rsidR="002F248B">
        <w:t>，</w:t>
      </w:r>
      <w:r w:rsidRPr="00051735">
        <w:t>Suarezら（2015）やClareら（2017）が論じたPWR（</w:t>
      </w:r>
      <w:proofErr w:type="spellStart"/>
      <w:r w:rsidRPr="00051735">
        <w:t>PerfectWithdrawalRate</w:t>
      </w:r>
      <w:proofErr w:type="spellEnd"/>
      <w:r w:rsidRPr="00051735">
        <w:t>）である</w:t>
      </w:r>
      <w:r w:rsidR="002F248B">
        <w:t>．</w:t>
      </w:r>
    </w:p>
    <w:p w14:paraId="42398C9C" w14:textId="77777777" w:rsidR="00CC204E" w:rsidRDefault="00CC204E" w:rsidP="00D12110">
      <w:pPr>
        <w:pStyle w:val="a2"/>
      </w:pPr>
    </w:p>
    <w:p w14:paraId="392A008E" w14:textId="26218493" w:rsidR="000B03BD" w:rsidRDefault="000B03BD" w:rsidP="00D12110">
      <w:pPr>
        <w:pStyle w:val="a2"/>
        <w:rPr>
          <w:rFonts w:hint="eastAsia"/>
        </w:rPr>
      </w:pPr>
      <w:r w:rsidRPr="000B03BD">
        <w:rPr>
          <w:rFonts w:hint="eastAsia"/>
        </w:rPr>
        <w:t>表</w:t>
      </w:r>
      <w:r w:rsidRPr="000B03BD">
        <w:t>5-7では</w:t>
      </w:r>
      <w:r w:rsidR="002F248B">
        <w:t>，</w:t>
      </w:r>
      <w:r w:rsidRPr="000B03BD">
        <w:t>株式100％</w:t>
      </w:r>
      <w:r w:rsidR="002F248B">
        <w:t>，</w:t>
      </w:r>
      <w:r w:rsidRPr="000B03BD">
        <w:t>債券100％</w:t>
      </w:r>
      <w:r w:rsidR="002F248B">
        <w:t>，</w:t>
      </w:r>
      <w:r w:rsidRPr="000B03BD">
        <w:t>60-40％ポートフォリオの引き出し率の分布について</w:t>
      </w:r>
      <w:r w:rsidR="002F248B">
        <w:t>，</w:t>
      </w:r>
      <w:r w:rsidRPr="000B03BD">
        <w:t>より詳細に検証した</w:t>
      </w:r>
      <w:r w:rsidR="002F248B">
        <w:t>．</w:t>
      </w:r>
      <w:r w:rsidRPr="000B03BD">
        <w:t>表5の中央値を見ると</w:t>
      </w:r>
      <w:r w:rsidR="002F248B">
        <w:t>，</w:t>
      </w:r>
      <w:r w:rsidRPr="000B03BD">
        <w:t>100%株式ポートフォリオは60-40ポートフォリオよりも高いPWRを提供し</w:t>
      </w:r>
      <w:r w:rsidR="002F248B">
        <w:t>，</w:t>
      </w:r>
      <w:r w:rsidRPr="000B03BD">
        <w:t>その結果</w:t>
      </w:r>
      <w:r w:rsidR="002F248B">
        <w:t>，</w:t>
      </w:r>
      <w:r w:rsidRPr="000B03BD">
        <w:t>100%債券ポートフォリオよりも高い値を提供していることがわかる</w:t>
      </w:r>
      <w:r w:rsidR="002F248B">
        <w:t>．</w:t>
      </w:r>
      <w:r w:rsidRPr="000B03BD">
        <w:t>しかし</w:t>
      </w:r>
      <w:r w:rsidR="002F248B">
        <w:t>，</w:t>
      </w:r>
      <w:r w:rsidRPr="000B03BD">
        <w:t>最小値の列を見ると</w:t>
      </w:r>
      <w:r w:rsidR="002F248B">
        <w:t>，</w:t>
      </w:r>
      <w:r w:rsidRPr="000B03BD">
        <w:t>別の姿が浮かび上がってくる</w:t>
      </w:r>
      <w:r w:rsidR="002F248B">
        <w:t>．</w:t>
      </w:r>
      <w:r w:rsidRPr="000B03BD">
        <w:t>60-40は23年目から株式100%よりも高いPWRを示し</w:t>
      </w:r>
      <w:r w:rsidR="002F248B">
        <w:t>，</w:t>
      </w:r>
      <w:r w:rsidRPr="000B03BD">
        <w:t>これはデキュムレーション期間が短くなるにつれて持続している</w:t>
      </w:r>
      <w:r w:rsidR="002F248B">
        <w:t>．</w:t>
      </w:r>
      <w:r w:rsidRPr="000B03BD">
        <w:t>また</w:t>
      </w:r>
      <w:r w:rsidR="002F248B">
        <w:t>，</w:t>
      </w:r>
      <w:r w:rsidRPr="000B03BD">
        <w:t>12年目からは</w:t>
      </w:r>
      <w:r w:rsidR="002F248B">
        <w:t>，</w:t>
      </w:r>
      <w:r w:rsidRPr="000B03BD">
        <w:t>100%債券ポートフォリオの方が60-40よりもPWRが高いことがわかる</w:t>
      </w:r>
      <w:r w:rsidR="002F248B">
        <w:t>．</w:t>
      </w:r>
      <w:r w:rsidRPr="000B03BD">
        <w:t>しかし</w:t>
      </w:r>
      <w:r w:rsidR="002F248B">
        <w:t>，</w:t>
      </w:r>
      <w:r w:rsidRPr="000B03BD">
        <w:t>これは一貫性がなく</w:t>
      </w:r>
      <w:r w:rsidR="002F248B">
        <w:t>，</w:t>
      </w:r>
      <w:r w:rsidRPr="000B03BD">
        <w:t>8年から5年まで60-40の方が高い値となっている</w:t>
      </w:r>
      <w:r w:rsidR="002F248B">
        <w:t>．</w:t>
      </w:r>
    </w:p>
    <w:p w14:paraId="4731341B" w14:textId="77777777" w:rsidR="00CC204E" w:rsidRDefault="00CC204E" w:rsidP="00D12110">
      <w:pPr>
        <w:pStyle w:val="a2"/>
      </w:pPr>
    </w:p>
    <w:p w14:paraId="79521FB2" w14:textId="47081725" w:rsidR="00CC204E" w:rsidRDefault="00103802" w:rsidP="00103802">
      <w:pPr>
        <w:pStyle w:val="a2"/>
      </w:pPr>
      <w:r>
        <w:rPr>
          <w:rFonts w:hint="eastAsia"/>
        </w:rPr>
        <w:t>表</w:t>
      </w:r>
      <w:r>
        <w:t>6は</w:t>
      </w:r>
      <w:r w:rsidR="002F248B">
        <w:t>，</w:t>
      </w:r>
      <w:r>
        <w:t>同じ結果であるが</w:t>
      </w:r>
      <w:r w:rsidR="002F248B">
        <w:t>，</w:t>
      </w:r>
      <w:r>
        <w:t>今回は各アセットクラスにトレンドフォローを適用したものである</w:t>
      </w:r>
      <w:r w:rsidR="002F248B">
        <w:t>．</w:t>
      </w:r>
      <w:r>
        <w:t>標準的な結</w:t>
      </w:r>
      <w:r>
        <w:lastRenderedPageBreak/>
        <w:t>果と比較して</w:t>
      </w:r>
      <w:r w:rsidR="002F248B">
        <w:t>，</w:t>
      </w:r>
      <w:r>
        <w:t>100%株式TFの平均最大PWRは約40bps低く</w:t>
      </w:r>
      <w:r w:rsidR="002F248B">
        <w:t>，</w:t>
      </w:r>
      <w:r>
        <w:t>60-40TFと100%債券TFはほぼ同じであることに注意してください</w:t>
      </w:r>
      <w:r w:rsidR="002F248B">
        <w:t>．</w:t>
      </w:r>
      <w:r>
        <w:rPr>
          <w:rFonts w:hint="eastAsia"/>
        </w:rPr>
        <w:t>しかし，平均中央値は</w:t>
      </w:r>
      <w:r>
        <w:t>100%株式TFで約25bps高く，これは他の2つのポートフォリオでも同様である</w:t>
      </w:r>
      <w:r w:rsidR="002F248B">
        <w:t>．</w:t>
      </w:r>
      <w:r>
        <w:t>最小値の欄で最も大きな違いが見られる</w:t>
      </w:r>
      <w:r w:rsidR="002F248B">
        <w:t>．</w:t>
      </w:r>
      <w:r>
        <w:t>30年株式100%PWRは5.13%であるのに対し</w:t>
      </w:r>
      <w:r w:rsidR="002F248B">
        <w:t>，</w:t>
      </w:r>
      <w:r>
        <w:t>標準的な同等ポートフォリオはわずか3.69%である</w:t>
      </w:r>
      <w:r w:rsidR="002F248B">
        <w:t>．</w:t>
      </w:r>
      <w:r>
        <w:t>すべての年限で大きな差が見られる</w:t>
      </w:r>
      <w:r w:rsidR="002F248B">
        <w:t>．</w:t>
      </w:r>
      <w:r>
        <w:t>100%公社債の場合</w:t>
      </w:r>
      <w:r w:rsidR="002F248B">
        <w:t>，</w:t>
      </w:r>
      <w:r>
        <w:t>標準とトレンドフォローの間の変動が非常に少ないため</w:t>
      </w:r>
      <w:r w:rsidR="002F248B">
        <w:t>，</w:t>
      </w:r>
      <w:r>
        <w:t>60-40TFはこれら2つの組み合わせを反映しています</w:t>
      </w:r>
      <w:r w:rsidR="002F248B">
        <w:t>．</w:t>
      </w:r>
      <w:r>
        <w:t>表6で最小値を比較すると</w:t>
      </w:r>
      <w:r w:rsidR="002F248B">
        <w:t>，</w:t>
      </w:r>
      <w:r>
        <w:t>60-40TFは表5より約14年後の9年目に初めて株式100%を超え</w:t>
      </w:r>
      <w:r w:rsidR="002F248B">
        <w:t>，</w:t>
      </w:r>
      <w:r>
        <w:t>3年目を除く残りのすべての年でも上回っている</w:t>
      </w:r>
      <w:r w:rsidR="002F248B">
        <w:t>．</w:t>
      </w:r>
      <w:r>
        <w:rPr>
          <w:rFonts w:hint="eastAsia"/>
        </w:rPr>
        <w:t>債券</w:t>
      </w:r>
      <w:r>
        <w:t>100%TFの最小値は60-40TFの最小値を超えることはなく</w:t>
      </w:r>
      <w:r w:rsidR="002F248B">
        <w:t>，</w:t>
      </w:r>
      <w:r>
        <w:t>実際に株式100%TFを超えるのは5年目だけである</w:t>
      </w:r>
      <w:r w:rsidR="002F248B">
        <w:t>．</w:t>
      </w:r>
      <w:r>
        <w:t>このことは</w:t>
      </w:r>
      <w:r w:rsidR="002F248B">
        <w:t>，</w:t>
      </w:r>
      <w:r>
        <w:t>投資という観点から見ると</w:t>
      </w:r>
      <w:r w:rsidR="002F248B">
        <w:t>，</w:t>
      </w:r>
      <w:r>
        <w:t>グライドパス戦略を取りたい投資家は</w:t>
      </w:r>
      <w:r w:rsidR="002F248B">
        <w:t>，</w:t>
      </w:r>
      <w:r>
        <w:t>トレンドフォローのアプローチを取ることによって</w:t>
      </w:r>
      <w:r w:rsidR="002F248B">
        <w:t>，</w:t>
      </w:r>
      <w:r>
        <w:t>より長く株式に留まることができ</w:t>
      </w:r>
      <w:r w:rsidR="002F248B">
        <w:t>，</w:t>
      </w:r>
      <w:r>
        <w:t>その結果</w:t>
      </w:r>
      <w:r w:rsidR="002F248B">
        <w:t>，</w:t>
      </w:r>
      <w:r>
        <w:t>より高いリターンを得る可能性がある一方で</w:t>
      </w:r>
      <w:r w:rsidR="002F248B">
        <w:t>，</w:t>
      </w:r>
      <w:r>
        <w:t>非常に悪い結果のリスクも減らすことができるということを意味している</w:t>
      </w:r>
      <w:r w:rsidR="002F248B">
        <w:t>．</w:t>
      </w:r>
    </w:p>
    <w:p w14:paraId="25FE7FD1" w14:textId="77777777" w:rsidR="00263599" w:rsidRDefault="00263599" w:rsidP="00103802">
      <w:pPr>
        <w:pStyle w:val="a2"/>
      </w:pPr>
    </w:p>
    <w:p w14:paraId="5DBC3853" w14:textId="0CDDD219" w:rsidR="0090375E" w:rsidRDefault="0090375E" w:rsidP="0090375E">
      <w:pPr>
        <w:pStyle w:val="a2"/>
      </w:pPr>
      <w:r>
        <w:rPr>
          <w:rFonts w:hint="eastAsia"/>
        </w:rPr>
        <w:t>図</w:t>
      </w:r>
      <w:r>
        <w:t>4は</w:t>
      </w:r>
      <w:r w:rsidR="002F248B">
        <w:t>，</w:t>
      </w:r>
      <w:r>
        <w:t>残存年数ごとに</w:t>
      </w:r>
      <w:r w:rsidR="002F248B">
        <w:t>，</w:t>
      </w:r>
      <w:r>
        <w:t>後知恵で最小PWRが最も高くなるような株式への資産配分を示したものである</w:t>
      </w:r>
      <w:r w:rsidR="002F248B">
        <w:t>．</w:t>
      </w:r>
    </w:p>
    <w:p w14:paraId="7D473F42" w14:textId="07F3F807" w:rsidR="00263599" w:rsidRDefault="0090375E" w:rsidP="0090375E">
      <w:pPr>
        <w:pStyle w:val="a2"/>
      </w:pPr>
      <w:r>
        <w:rPr>
          <w:rFonts w:hint="eastAsia"/>
        </w:rPr>
        <w:t>これは事実上</w:t>
      </w:r>
      <w:r w:rsidR="002F248B">
        <w:rPr>
          <w:rFonts w:hint="eastAsia"/>
        </w:rPr>
        <w:t>，</w:t>
      </w:r>
      <w:r>
        <w:rPr>
          <w:rFonts w:hint="eastAsia"/>
        </w:rPr>
        <w:t>最も保守的な投資家にとって理想的な資産配分であり</w:t>
      </w:r>
      <w:r w:rsidR="002F248B">
        <w:rPr>
          <w:rFonts w:hint="eastAsia"/>
        </w:rPr>
        <w:t>，</w:t>
      </w:r>
      <w:r>
        <w:rPr>
          <w:rFonts w:hint="eastAsia"/>
        </w:rPr>
        <w:t>どのような場合でも最も悪い結果をもたらさないものであったからである</w:t>
      </w:r>
      <w:r w:rsidR="002F248B">
        <w:rPr>
          <w:rFonts w:hint="eastAsia"/>
        </w:rPr>
        <w:t>．</w:t>
      </w:r>
      <w:r>
        <w:rPr>
          <w:rFonts w:hint="eastAsia"/>
        </w:rPr>
        <w:t>まず注目すべきは</w:t>
      </w:r>
      <w:r w:rsidR="002F248B">
        <w:rPr>
          <w:rFonts w:hint="eastAsia"/>
        </w:rPr>
        <w:t>，</w:t>
      </w:r>
      <w:r>
        <w:rPr>
          <w:rFonts w:hint="eastAsia"/>
        </w:rPr>
        <w:t>退職までの期間が長い場合</w:t>
      </w:r>
      <w:r w:rsidR="002F248B">
        <w:rPr>
          <w:rFonts w:hint="eastAsia"/>
        </w:rPr>
        <w:t>，</w:t>
      </w:r>
      <w:r>
        <w:rPr>
          <w:rFonts w:hint="eastAsia"/>
        </w:rPr>
        <w:t>債券に大きく投資することは最適とは言い難いという点である</w:t>
      </w:r>
      <w:r w:rsidR="002F248B">
        <w:rPr>
          <w:rFonts w:hint="eastAsia"/>
        </w:rPr>
        <w:t>．</w:t>
      </w:r>
      <w:r>
        <w:rPr>
          <w:rFonts w:hint="eastAsia"/>
        </w:rPr>
        <w:t>最も保守的な標準ポートフォリオでは</w:t>
      </w:r>
      <w:r w:rsidR="002F248B">
        <w:rPr>
          <w:rFonts w:hint="eastAsia"/>
        </w:rPr>
        <w:t>，</w:t>
      </w:r>
      <w:r>
        <w:rPr>
          <w:rFonts w:hint="eastAsia"/>
        </w:rPr>
        <w:t>残り</w:t>
      </w:r>
      <w:r>
        <w:t>30年の時点で株式の比率は85％程度であったが</w:t>
      </w:r>
      <w:r w:rsidR="002F248B">
        <w:t>，</w:t>
      </w:r>
      <w:r>
        <w:t>残り20年になると70％程度に低下する</w:t>
      </w:r>
      <w:r w:rsidR="002F248B">
        <w:t>．</w:t>
      </w:r>
      <w:r>
        <w:rPr>
          <w:rFonts w:hint="eastAsia"/>
        </w:rPr>
        <w:t>この後</w:t>
      </w:r>
      <w:r w:rsidR="002F248B">
        <w:rPr>
          <w:rFonts w:hint="eastAsia"/>
        </w:rPr>
        <w:t>，</w:t>
      </w:r>
      <w:r>
        <w:rPr>
          <w:rFonts w:hint="eastAsia"/>
        </w:rPr>
        <w:t>株式から債券への移行はより劇的になり</w:t>
      </w:r>
      <w:r w:rsidR="002F248B">
        <w:rPr>
          <w:rFonts w:hint="eastAsia"/>
        </w:rPr>
        <w:t>，</w:t>
      </w:r>
      <w:r>
        <w:rPr>
          <w:rFonts w:hint="eastAsia"/>
        </w:rPr>
        <w:t>また</w:t>
      </w:r>
      <w:r w:rsidR="002F248B">
        <w:rPr>
          <w:rFonts w:hint="eastAsia"/>
        </w:rPr>
        <w:t>，</w:t>
      </w:r>
      <w:r>
        <w:rPr>
          <w:rFonts w:hint="eastAsia"/>
        </w:rPr>
        <w:t>この</w:t>
      </w:r>
      <w:r>
        <w:t>10年間は移行がかなりスムーズにいかなくなることがわかる</w:t>
      </w:r>
      <w:r w:rsidR="002F248B">
        <w:t>．</w:t>
      </w:r>
      <w:r>
        <w:t>トレンド・フォローの場合</w:t>
      </w:r>
      <w:r w:rsidR="002F248B">
        <w:t>，</w:t>
      </w:r>
      <w:r>
        <w:t>最悪のシナリオの最適ポートフォリオは</w:t>
      </w:r>
      <w:r w:rsidR="002F248B">
        <w:t>，</w:t>
      </w:r>
      <w:r>
        <w:t>13年目を除けば10年目までずっと100%のままであることがわかります</w:t>
      </w:r>
      <w:r w:rsidR="002F248B">
        <w:t>．</w:t>
      </w:r>
      <w:r>
        <w:t>株式のリターンが高いことを考えると</w:t>
      </w:r>
      <w:r w:rsidR="002F248B">
        <w:t>，</w:t>
      </w:r>
      <w:r>
        <w:t>これは非常に有利に見える</w:t>
      </w:r>
      <w:r w:rsidR="002F248B">
        <w:t>．</w:t>
      </w:r>
      <w:r>
        <w:t>また</w:t>
      </w:r>
      <w:r w:rsidR="002F248B">
        <w:t>，</w:t>
      </w:r>
      <w:r>
        <w:t>10年目からは</w:t>
      </w:r>
      <w:r w:rsidR="002F248B">
        <w:t>，</w:t>
      </w:r>
      <w:r>
        <w:t>やや不安定な推移となるが</w:t>
      </w:r>
      <w:r w:rsidR="002F248B">
        <w:t>，</w:t>
      </w:r>
      <w:r>
        <w:t>65-70%程度の株式への移行が妥当なところであろう</w:t>
      </w:r>
      <w:r w:rsidR="002F248B">
        <w:t>．</w:t>
      </w:r>
      <w:r>
        <w:t>これは</w:t>
      </w:r>
      <w:r w:rsidR="002F248B">
        <w:t>，</w:t>
      </w:r>
      <w:r>
        <w:t>ほぼ債券のみで運用する標準的なアプローチよりもはるかに高い割合である</w:t>
      </w:r>
      <w:r w:rsidR="002F248B">
        <w:t>．</w:t>
      </w:r>
    </w:p>
    <w:p w14:paraId="46DB179E" w14:textId="77777777" w:rsidR="00A77067" w:rsidRDefault="00A77067" w:rsidP="0090375E">
      <w:pPr>
        <w:pStyle w:val="a2"/>
      </w:pPr>
    </w:p>
    <w:p w14:paraId="6C03AB3F" w14:textId="29071330" w:rsidR="00A77067" w:rsidRDefault="00A77067" w:rsidP="0090375E">
      <w:pPr>
        <w:pStyle w:val="a2"/>
      </w:pPr>
      <w:r w:rsidRPr="00A77067">
        <w:rPr>
          <w:rFonts w:hint="eastAsia"/>
        </w:rPr>
        <w:t>より滑らかなグライドパスを提供するために</w:t>
      </w:r>
      <w:r w:rsidR="002F248B">
        <w:rPr>
          <w:rFonts w:hint="eastAsia"/>
        </w:rPr>
        <w:t>，</w:t>
      </w:r>
      <w:r w:rsidRPr="00A77067">
        <w:rPr>
          <w:rFonts w:hint="eastAsia"/>
        </w:rPr>
        <w:t>また</w:t>
      </w:r>
      <w:r w:rsidR="002F248B">
        <w:rPr>
          <w:rFonts w:hint="eastAsia"/>
        </w:rPr>
        <w:t>，</w:t>
      </w:r>
      <w:r w:rsidRPr="00A77067">
        <w:rPr>
          <w:rFonts w:hint="eastAsia"/>
        </w:rPr>
        <w:t>様々なリスク許容度の投資家に対応するために</w:t>
      </w:r>
      <w:r w:rsidR="002F248B">
        <w:rPr>
          <w:rFonts w:hint="eastAsia"/>
        </w:rPr>
        <w:t>，</w:t>
      </w:r>
      <w:r w:rsidRPr="00A77067">
        <w:rPr>
          <w:rFonts w:hint="eastAsia"/>
        </w:rPr>
        <w:t>モンテカルロ・シミュレーションに注目した</w:t>
      </w:r>
      <w:r w:rsidR="002F248B">
        <w:rPr>
          <w:rFonts w:hint="eastAsia"/>
        </w:rPr>
        <w:t>．</w:t>
      </w:r>
      <w:r w:rsidRPr="00A77067">
        <w:t>1%刻みで株式から債券に移行する 101 のポートフォリオを作成し</w:t>
      </w:r>
      <w:r w:rsidR="002F248B">
        <w:t>，</w:t>
      </w:r>
      <w:r w:rsidRPr="00A77067">
        <w:t>それぞれについて 10 万回のシミュレーションを行い</w:t>
      </w:r>
      <w:r w:rsidR="002F248B">
        <w:t>，</w:t>
      </w:r>
      <w:r w:rsidRPr="00A77067">
        <w:t>各ケースでの PWR を計算した</w:t>
      </w:r>
      <w:r w:rsidR="002F248B">
        <w:t>．</w:t>
      </w:r>
      <w:r w:rsidRPr="00A77067">
        <w:t>各資産配分について</w:t>
      </w:r>
      <w:r w:rsidR="002F248B">
        <w:t>，</w:t>
      </w:r>
      <w:r w:rsidRPr="00A77067">
        <w:t>以下の PWR のパーセンタイルを算出した</w:t>
      </w:r>
      <w:r w:rsidR="002F248B">
        <w:t>．</w:t>
      </w:r>
      <w:r w:rsidRPr="00A77067">
        <w:t>1 位</w:t>
      </w:r>
      <w:r w:rsidR="002F248B">
        <w:t>，</w:t>
      </w:r>
      <w:r w:rsidRPr="00A77067">
        <w:t>5 位</w:t>
      </w:r>
      <w:r w:rsidR="002F248B">
        <w:t>，</w:t>
      </w:r>
      <w:r w:rsidRPr="00A77067">
        <w:t>10 位</w:t>
      </w:r>
      <w:r w:rsidR="002F248B">
        <w:t>，</w:t>
      </w:r>
      <w:r w:rsidRPr="00A77067">
        <w:t>25 位</w:t>
      </w:r>
      <w:r w:rsidR="002F248B">
        <w:t>，</w:t>
      </w:r>
      <w:r w:rsidRPr="00A77067">
        <w:t>50 位である</w:t>
      </w:r>
      <w:r w:rsidR="002F248B">
        <w:t>．</w:t>
      </w:r>
      <w:r w:rsidRPr="00A77067">
        <w:t>そして</w:t>
      </w:r>
      <w:r w:rsidR="002F248B">
        <w:t>，</w:t>
      </w:r>
      <w:r w:rsidRPr="00A77067">
        <w:t>各パーセンタイルでどの配分が最も高い値を与えるかを調べ</w:t>
      </w:r>
      <w:r w:rsidR="002F248B">
        <w:t>，</w:t>
      </w:r>
      <w:r w:rsidRPr="00A77067">
        <w:t>これがグライドパスの基礎となる</w:t>
      </w:r>
      <w:r w:rsidR="002F248B">
        <w:t>．</w:t>
      </w:r>
      <w:r w:rsidRPr="00A77067">
        <w:t>このように</w:t>
      </w:r>
      <w:r w:rsidR="002F248B">
        <w:rPr>
          <w:rFonts w:hint="eastAsia"/>
        </w:rPr>
        <w:t>，</w:t>
      </w:r>
      <w:r w:rsidRPr="00A77067">
        <w:t>1%パーセンタイルは</w:t>
      </w:r>
      <w:r w:rsidR="002F248B">
        <w:t>，</w:t>
      </w:r>
      <w:r w:rsidRPr="00A77067">
        <w:t>PWR が低くなる確率が 1%である最適な資産配分を計算するという点で</w:t>
      </w:r>
      <w:r w:rsidR="002F248B">
        <w:t>，</w:t>
      </w:r>
      <w:r w:rsidRPr="00A77067">
        <w:t>多くの点で 1%VaR 計算と似ている</w:t>
      </w:r>
      <w:r w:rsidR="002F248B">
        <w:t>．</w:t>
      </w:r>
      <w:r w:rsidRPr="00A77067">
        <w:t>リスク回避度の低い投資家は</w:t>
      </w:r>
      <w:r w:rsidR="002F248B">
        <w:t>，</w:t>
      </w:r>
      <w:r w:rsidRPr="00A77067">
        <w:t>パーセンタイル値を上げ</w:t>
      </w:r>
      <w:r w:rsidR="002F248B">
        <w:t>，</w:t>
      </w:r>
      <w:r w:rsidRPr="00A77067">
        <w:t>別のグライドパスを採用することになる</w:t>
      </w:r>
      <w:r w:rsidR="002F248B">
        <w:t>．</w:t>
      </w:r>
    </w:p>
    <w:p w14:paraId="5EBEE3E1" w14:textId="77777777" w:rsidR="00A77067" w:rsidRDefault="00A77067" w:rsidP="0090375E">
      <w:pPr>
        <w:pStyle w:val="a2"/>
      </w:pPr>
    </w:p>
    <w:p w14:paraId="5B07DC09" w14:textId="04690007" w:rsidR="007A4E53" w:rsidRDefault="007A4E53" w:rsidP="007A4E53">
      <w:pPr>
        <w:pStyle w:val="a2"/>
      </w:pPr>
      <w:r>
        <w:rPr>
          <w:rFonts w:hint="eastAsia"/>
        </w:rPr>
        <w:t>図</w:t>
      </w:r>
      <w:r>
        <w:t>5は</w:t>
      </w:r>
      <w:r w:rsidR="002F248B">
        <w:t>，</w:t>
      </w:r>
      <w:r>
        <w:t>標準的な株式と債券のアロケーションの近似的なグライドパスを</w:t>
      </w:r>
      <w:r w:rsidR="002F248B">
        <w:t>，</w:t>
      </w:r>
      <w:r>
        <w:t>株式への投資比率で表したものである</w:t>
      </w:r>
      <w:r w:rsidR="002F248B">
        <w:t>．</w:t>
      </w:r>
      <w:r>
        <w:t>まず</w:t>
      </w:r>
      <w:r w:rsidR="002F248B">
        <w:t>，</w:t>
      </w:r>
      <w:r>
        <w:t>30 年間の PWR では</w:t>
      </w:r>
      <w:r w:rsidR="002F248B">
        <w:t>，</w:t>
      </w:r>
      <w:r>
        <w:t>株式の比率が図 4 よりもずっと低くなっていることがわかる</w:t>
      </w:r>
      <w:r w:rsidR="002F248B">
        <w:t>．</w:t>
      </w:r>
      <w:r>
        <w:t>これは，債券のリターンが，リターン・シーケンスの最後の30年間で，最初よりもずっと高くなったためである</w:t>
      </w:r>
      <w:r w:rsidR="002F248B">
        <w:t>．</w:t>
      </w:r>
      <w:r>
        <w:t>その結果</w:t>
      </w:r>
      <w:r w:rsidR="002F248B">
        <w:t>，</w:t>
      </w:r>
      <w:r>
        <w:t>多くのPWRの計算では</w:t>
      </w:r>
      <w:r w:rsidR="002F248B">
        <w:t>，</w:t>
      </w:r>
      <w:r>
        <w:t>すでに大量のデキュムレーションが発生している終盤に不釣り合いに現れ</w:t>
      </w:r>
      <w:r w:rsidR="002F248B">
        <w:t>，</w:t>
      </w:r>
      <w:r>
        <w:t>その結果</w:t>
      </w:r>
      <w:r w:rsidR="002F248B">
        <w:t>，</w:t>
      </w:r>
      <w:r>
        <w:t>ほとんど影響を与えなかったのである</w:t>
      </w:r>
      <w:r w:rsidR="002F248B">
        <w:t>．</w:t>
      </w:r>
      <w:r>
        <w:t>モンテカルロ・シミュレーションの場合は</w:t>
      </w:r>
      <w:r w:rsidR="002F248B">
        <w:t>，</w:t>
      </w:r>
      <w:r>
        <w:t>ランダムに分散するよう</w:t>
      </w:r>
      <w:r>
        <w:rPr>
          <w:rFonts w:hint="eastAsia"/>
        </w:rPr>
        <w:t>になったので</w:t>
      </w:r>
      <w:r w:rsidR="002F248B">
        <w:rPr>
          <w:rFonts w:hint="eastAsia"/>
        </w:rPr>
        <w:t>，</w:t>
      </w:r>
      <w:r>
        <w:rPr>
          <w:rFonts w:hint="eastAsia"/>
        </w:rPr>
        <w:t>結果への影響も大きくなっています</w:t>
      </w:r>
      <w:r w:rsidR="002F248B">
        <w:rPr>
          <w:rFonts w:hint="eastAsia"/>
        </w:rPr>
        <w:t>．</w:t>
      </w:r>
      <w:r>
        <w:rPr>
          <w:rFonts w:hint="eastAsia"/>
        </w:rPr>
        <w:t>それはともかくとして</w:t>
      </w:r>
      <w:r w:rsidR="002F248B">
        <w:rPr>
          <w:rFonts w:hint="eastAsia"/>
        </w:rPr>
        <w:t>，</w:t>
      </w:r>
      <w:r>
        <w:rPr>
          <w:rFonts w:hint="eastAsia"/>
        </w:rPr>
        <w:t>株式から債券への移行は</w:t>
      </w:r>
      <w:r w:rsidR="002F248B">
        <w:rPr>
          <w:rFonts w:hint="eastAsia"/>
        </w:rPr>
        <w:t>，</w:t>
      </w:r>
      <w:r>
        <w:t>30年から20年までは比較的直線的であったが</w:t>
      </w:r>
      <w:r w:rsidR="002F248B">
        <w:t>，</w:t>
      </w:r>
      <w:r>
        <w:t>その後そのペースが加速し</w:t>
      </w:r>
      <w:r w:rsidR="002F248B">
        <w:t>，</w:t>
      </w:r>
      <w:r>
        <w:t>特にこの10年間はその傾向が顕著である</w:t>
      </w:r>
      <w:r w:rsidR="002F248B">
        <w:t>．</w:t>
      </w:r>
      <w:r>
        <w:rPr>
          <w:rFonts w:hint="eastAsia"/>
        </w:rPr>
        <w:t>リスク回避度の低下とともに株式への配分比率が上昇していることがわかる</w:t>
      </w:r>
      <w:r w:rsidR="002F248B">
        <w:rPr>
          <w:rFonts w:hint="eastAsia"/>
        </w:rPr>
        <w:t>．</w:t>
      </w:r>
      <w:r>
        <w:t>1 パーセンタイルでは</w:t>
      </w:r>
      <w:r w:rsidR="002F248B">
        <w:t>，</w:t>
      </w:r>
      <w:r>
        <w:t>株式は 35%程度で始まり</w:t>
      </w:r>
      <w:r w:rsidR="002F248B">
        <w:t>，</w:t>
      </w:r>
      <w:r>
        <w:t>15%程度で終わるが</w:t>
      </w:r>
      <w:r w:rsidR="002F248B">
        <w:t>，</w:t>
      </w:r>
      <w:r>
        <w:t>25 パーセンタイルでは</w:t>
      </w:r>
      <w:r w:rsidR="002F248B">
        <w:t>，</w:t>
      </w:r>
      <w:r>
        <w:t>当初は 80%を超えていたが</w:t>
      </w:r>
      <w:r w:rsidR="002F248B">
        <w:t>，</w:t>
      </w:r>
      <w:r>
        <w:t>40%弱に減少している</w:t>
      </w:r>
      <w:r w:rsidR="002F248B">
        <w:t>．</w:t>
      </w:r>
      <w:r>
        <w:t>50 パーセンタイルは</w:t>
      </w:r>
      <w:r w:rsidR="002F248B">
        <w:t>，</w:t>
      </w:r>
      <w:r>
        <w:t>ほぼずっと株式100%で推移している</w:t>
      </w:r>
      <w:r w:rsidR="002F248B">
        <w:t>．</w:t>
      </w:r>
    </w:p>
    <w:p w14:paraId="79F81213" w14:textId="77777777" w:rsidR="007A4E53" w:rsidRDefault="007A4E53" w:rsidP="0090375E">
      <w:pPr>
        <w:pStyle w:val="a2"/>
      </w:pPr>
    </w:p>
    <w:p w14:paraId="3DA9E736" w14:textId="30A33113" w:rsidR="00A37512" w:rsidRDefault="003A2DEA" w:rsidP="0090375E">
      <w:pPr>
        <w:pStyle w:val="a2"/>
      </w:pPr>
      <w:r w:rsidRPr="003A2DEA">
        <w:rPr>
          <w:rFonts w:hint="eastAsia"/>
        </w:rPr>
        <w:lastRenderedPageBreak/>
        <w:t>図</w:t>
      </w:r>
      <w:r w:rsidRPr="003A2DEA">
        <w:t>6は</w:t>
      </w:r>
      <w:r w:rsidR="002F248B">
        <w:t>，</w:t>
      </w:r>
      <w:r w:rsidRPr="003A2DEA">
        <w:t>同じグライドパスを</w:t>
      </w:r>
      <w:r w:rsidR="002F248B">
        <w:t>，</w:t>
      </w:r>
      <w:r w:rsidRPr="003A2DEA">
        <w:t>今度は株式と債券について</w:t>
      </w:r>
      <w:r w:rsidR="002F248B">
        <w:t>，</w:t>
      </w:r>
      <w:r w:rsidRPr="003A2DEA">
        <w:t>トレンド・フォローを適用して表示したものである</w:t>
      </w:r>
      <w:r w:rsidR="002F248B">
        <w:t>．</w:t>
      </w:r>
      <w:r w:rsidRPr="003A2DEA">
        <w:t>先ほどの結果と同様に</w:t>
      </w:r>
      <w:r w:rsidR="002F248B">
        <w:t>，</w:t>
      </w:r>
      <w:r w:rsidRPr="003A2DEA">
        <w:t>株式で運用される割合が非常に高くなっている</w:t>
      </w:r>
      <w:r w:rsidR="002F248B">
        <w:t>．</w:t>
      </w:r>
      <w:r w:rsidRPr="003A2DEA">
        <w:t>1 パーセンタイルのグライドパスは 80% 以上で始まり，約 40% で終了する</w:t>
      </w:r>
      <w:r w:rsidR="002F248B">
        <w:t>．</w:t>
      </w:r>
      <w:r w:rsidRPr="003A2DEA">
        <w:t>これは，標準的なポートフォ リオが 30 年目に開始するよりも高い</w:t>
      </w:r>
      <w:r w:rsidR="002F248B">
        <w:t>．</w:t>
      </w:r>
      <w:r w:rsidRPr="003A2DEA">
        <w:t>他のすべてのパーセンタイルは，株式100%で開始し，ここ数年で債券への切り替えが加速して，同様のパターンで下降している</w:t>
      </w:r>
      <w:r w:rsidR="002F248B">
        <w:t>．</w:t>
      </w:r>
      <w:r w:rsidRPr="003A2DEA">
        <w:t>25 パーセンタイル・グライドパスの場合</w:t>
      </w:r>
      <w:r w:rsidR="002F248B">
        <w:t>，</w:t>
      </w:r>
      <w:r w:rsidRPr="003A2DEA">
        <w:t>これは 7 年目あたりから始まっ</w:t>
      </w:r>
      <w:r w:rsidRPr="003A2DEA">
        <w:rPr>
          <w:rFonts w:hint="eastAsia"/>
        </w:rPr>
        <w:t>ている</w:t>
      </w:r>
      <w:r w:rsidR="002F248B">
        <w:rPr>
          <w:rFonts w:hint="eastAsia"/>
        </w:rPr>
        <w:t>．</w:t>
      </w:r>
      <w:r w:rsidRPr="003A2DEA">
        <w:rPr>
          <w:rFonts w:hint="eastAsia"/>
        </w:rPr>
        <w:t>また，</w:t>
      </w:r>
      <w:r w:rsidRPr="003A2DEA">
        <w:t>50 パーセンタイルは断固として株式 100%である</w:t>
      </w:r>
      <w:r w:rsidR="002F248B">
        <w:t>．</w:t>
      </w:r>
    </w:p>
    <w:p w14:paraId="4FA83CD8" w14:textId="77777777" w:rsidR="001614E7" w:rsidRDefault="001614E7" w:rsidP="0090375E">
      <w:pPr>
        <w:pStyle w:val="a2"/>
      </w:pPr>
    </w:p>
    <w:p w14:paraId="34DCF500" w14:textId="688D8CBA" w:rsidR="001614E7" w:rsidRDefault="00712031" w:rsidP="00712031">
      <w:pPr>
        <w:pStyle w:val="a2"/>
      </w:pPr>
      <w:r>
        <w:rPr>
          <w:rFonts w:hint="eastAsia"/>
        </w:rPr>
        <w:t>表</w:t>
      </w:r>
      <w:r>
        <w:t>7は</w:t>
      </w:r>
      <w:r w:rsidR="002F248B">
        <w:t>，</w:t>
      </w:r>
      <w:r>
        <w:t>グライドパスの違いによる効果を</w:t>
      </w:r>
      <w:r w:rsidR="002F248B">
        <w:t>，</w:t>
      </w:r>
      <w:r>
        <w:t>獲得したPWRの観点から示したものである</w:t>
      </w:r>
      <w:r w:rsidR="002F248B">
        <w:t>．</w:t>
      </w:r>
      <w:r>
        <w:t>1 パーセンタイル 1 パーセンタイルの場合</w:t>
      </w:r>
      <w:r w:rsidR="002F248B">
        <w:t>，</w:t>
      </w:r>
      <w:r>
        <w:t>トレンド・フォローの PWR は 4.17%であるのに対し</w:t>
      </w:r>
      <w:r w:rsidR="002F248B">
        <w:t>，</w:t>
      </w:r>
      <w:r>
        <w:t>標準的なアプローチではわずか 3.01%である</w:t>
      </w:r>
      <w:r w:rsidR="002F248B">
        <w:t>．</w:t>
      </w:r>
      <w:r>
        <w:t>標準的なアプローチではわずか3.01%です</w:t>
      </w:r>
      <w:r w:rsidR="002F248B">
        <w:t>．</w:t>
      </w:r>
      <w:r>
        <w:t>これは</w:t>
      </w:r>
      <w:r w:rsidR="002F248B">
        <w:t>，</w:t>
      </w:r>
      <w:r>
        <w:t>前者の場合</w:t>
      </w:r>
      <w:r w:rsidR="002F248B">
        <w:t>，</w:t>
      </w:r>
      <w:r>
        <w:t>事実上38%高い退職所得に相当する</w:t>
      </w:r>
      <w:r w:rsidR="002F248B">
        <w:t>．</w:t>
      </w:r>
      <w:r>
        <w:t>に相当する</w:t>
      </w:r>
      <w:r w:rsidR="002F248B">
        <w:t>．</w:t>
      </w:r>
      <w:r>
        <w:t>すべてのパーセンタイルと解約期間において</w:t>
      </w:r>
      <w:r w:rsidR="002F248B">
        <w:t>，</w:t>
      </w:r>
      <w:r>
        <w:t>大きな差がある</w:t>
      </w:r>
      <w:r w:rsidR="002F248B">
        <w:t>．</w:t>
      </w:r>
      <w:r>
        <w:t>が短くなり</w:t>
      </w:r>
      <w:r w:rsidR="002F248B">
        <w:t>，</w:t>
      </w:r>
      <w:r>
        <w:t>リスク許容度が上がるまで</w:t>
      </w:r>
      <w:r w:rsidR="002F248B">
        <w:t>，</w:t>
      </w:r>
      <w:r>
        <w:t>かなりの差がある</w:t>
      </w:r>
      <w:r w:rsidR="002F248B">
        <w:t>．</w:t>
      </w:r>
      <w:r>
        <w:rPr>
          <w:rFonts w:hint="eastAsia"/>
        </w:rPr>
        <w:t>トレンド・フォローは</w:t>
      </w:r>
      <w:r>
        <w:t xml:space="preserve"> は</w:t>
      </w:r>
      <w:r w:rsidR="002F248B">
        <w:t>，</w:t>
      </w:r>
      <w:r>
        <w:t>株式に投資できるポートフォリオの割合を増やし</w:t>
      </w:r>
      <w:r w:rsidR="002F248B">
        <w:t>，</w:t>
      </w:r>
      <w:r>
        <w:t>より高いリターンを得ることができる</w:t>
      </w:r>
      <w:r w:rsidR="002F248B">
        <w:t>．</w:t>
      </w:r>
    </w:p>
    <w:p w14:paraId="43A4E4B3" w14:textId="77777777" w:rsidR="001614E7" w:rsidRDefault="001614E7" w:rsidP="004F36A8">
      <w:pPr>
        <w:pStyle w:val="a2"/>
        <w:ind w:firstLineChars="0" w:firstLine="0"/>
      </w:pPr>
    </w:p>
    <w:p w14:paraId="3A1CEE18" w14:textId="69C2FAD6" w:rsidR="004F36A8" w:rsidRDefault="004F36A8" w:rsidP="004F36A8">
      <w:pPr>
        <w:pStyle w:val="1"/>
      </w:pPr>
      <w:r w:rsidRPr="004F36A8">
        <w:t>Concluding Comments and Discussion</w:t>
      </w:r>
    </w:p>
    <w:p w14:paraId="7B22DAFA" w14:textId="77777777" w:rsidR="00CF6DF7" w:rsidRDefault="00CF6DF7" w:rsidP="00CF6DF7">
      <w:pPr>
        <w:pStyle w:val="a2"/>
      </w:pPr>
      <w:r>
        <w:rPr>
          <w:rFonts w:hint="eastAsia"/>
        </w:rPr>
        <w:t>絶対的なモメンタムまたはトレンドフォローを適用することで</w:t>
      </w:r>
    </w:p>
    <w:p w14:paraId="2C45FD87" w14:textId="142044DE" w:rsidR="004F36A8" w:rsidRPr="004F36A8" w:rsidRDefault="00CF6DF7" w:rsidP="00CF6DF7">
      <w:pPr>
        <w:pStyle w:val="a2"/>
        <w:rPr>
          <w:rFonts w:hint="eastAsia"/>
        </w:rPr>
      </w:pPr>
      <w:r>
        <w:rPr>
          <w:rFonts w:hint="eastAsia"/>
        </w:rPr>
        <w:t>ドローダウン退職ポートフォリオの資産にオーバーレイを適用すると</w:t>
      </w:r>
      <w:r w:rsidR="002F248B">
        <w:rPr>
          <w:rFonts w:hint="eastAsia"/>
        </w:rPr>
        <w:t>，</w:t>
      </w:r>
      <w:r>
        <w:rPr>
          <w:rFonts w:hint="eastAsia"/>
        </w:rPr>
        <w:t>資産クラス</w:t>
      </w:r>
      <w:r w:rsidR="002F248B">
        <w:rPr>
          <w:rFonts w:hint="eastAsia"/>
        </w:rPr>
        <w:t>，</w:t>
      </w:r>
      <w:r>
        <w:rPr>
          <w:rFonts w:hint="eastAsia"/>
        </w:rPr>
        <w:t>国</w:t>
      </w:r>
      <w:r w:rsidR="002F248B">
        <w:rPr>
          <w:rFonts w:hint="eastAsia"/>
        </w:rPr>
        <w:t>，</w:t>
      </w:r>
      <w:r>
        <w:rPr>
          <w:rFonts w:hint="eastAsia"/>
        </w:rPr>
        <w:t>歴史的期間にわたって最大ドローダウンが減少し（</w:t>
      </w:r>
      <w:r>
        <w:t>Clare et al, 2017 and 2019, Faber 2007参照）</w:t>
      </w:r>
      <w:r w:rsidR="002F248B">
        <w:t>，</w:t>
      </w:r>
      <w:r>
        <w:t>シーケンスリスクを低減し</w:t>
      </w:r>
      <w:r w:rsidR="002F248B">
        <w:t>，</w:t>
      </w:r>
      <w:r>
        <w:t>退職後の旅を改善する可能性があるが</w:t>
      </w:r>
      <w:r w:rsidR="002F248B">
        <w:t>，</w:t>
      </w:r>
      <w:r>
        <w:t>同様の目的を達成するためにデリバティブを使ってはどうだろうか</w:t>
      </w:r>
      <w:r w:rsidR="002F248B">
        <w:t>．</w:t>
      </w:r>
      <w:r>
        <w:t>しかし</w:t>
      </w:r>
      <w:r w:rsidR="002F248B">
        <w:t>，</w:t>
      </w:r>
      <w:r>
        <w:t>AQRが強調するように</w:t>
      </w:r>
      <w:r w:rsidR="002F248B">
        <w:t>，</w:t>
      </w:r>
      <w:r>
        <w:t>"残念ながら</w:t>
      </w:r>
      <w:r w:rsidR="002F248B">
        <w:t>，</w:t>
      </w:r>
      <w:r>
        <w:t>典型的な使用例では</w:t>
      </w:r>
      <w:r w:rsidR="002F248B">
        <w:t>，</w:t>
      </w:r>
      <w:r>
        <w:t>プットオプションは</w:t>
      </w:r>
      <w:r w:rsidR="002F248B">
        <w:t>，</w:t>
      </w:r>
      <w:r>
        <w:t>原資産へのエクスポージャーを静的に減らすという単純な</w:t>
      </w:r>
      <w:proofErr w:type="spellStart"/>
      <w:r>
        <w:t>lternative</w:t>
      </w:r>
      <w:proofErr w:type="spellEnd"/>
      <w:r>
        <w:t>に対してドローダウン</w:t>
      </w:r>
      <w:r>
        <w:rPr>
          <w:rFonts w:hint="eastAsia"/>
        </w:rPr>
        <w:t>を減らすのにかなり非効率的です</w:t>
      </w:r>
      <w:r w:rsidR="002F248B">
        <w:rPr>
          <w:rFonts w:hint="eastAsia"/>
        </w:rPr>
        <w:t>．</w:t>
      </w:r>
      <w:r>
        <w:t>" (</w:t>
      </w:r>
      <w:proofErr w:type="spellStart"/>
      <w:r>
        <w:t>Israelov</w:t>
      </w:r>
      <w:proofErr w:type="spellEnd"/>
      <w:r>
        <w:t>, 2017, p1,)と述べている</w:t>
      </w:r>
      <w:r w:rsidR="002F248B">
        <w:t>．</w:t>
      </w:r>
    </w:p>
    <w:p w14:paraId="3073C099" w14:textId="77777777" w:rsidR="004F36A8" w:rsidRDefault="004F36A8" w:rsidP="0090375E">
      <w:pPr>
        <w:pStyle w:val="a2"/>
      </w:pPr>
    </w:p>
    <w:p w14:paraId="3C3FE10A" w14:textId="34228022" w:rsidR="00466BE0" w:rsidRDefault="00466BE0" w:rsidP="00466BE0">
      <w:pPr>
        <w:pStyle w:val="a2"/>
      </w:pPr>
      <w:r>
        <w:rPr>
          <w:rFonts w:hint="eastAsia"/>
        </w:rPr>
        <w:t>基本的に</w:t>
      </w:r>
      <w:r w:rsidR="002F248B">
        <w:rPr>
          <w:rFonts w:hint="eastAsia"/>
        </w:rPr>
        <w:t>，</w:t>
      </w:r>
      <w:r>
        <w:rPr>
          <w:rFonts w:hint="eastAsia"/>
        </w:rPr>
        <w:t>株式の場合</w:t>
      </w:r>
      <w:r w:rsidR="002F248B">
        <w:rPr>
          <w:rFonts w:hint="eastAsia"/>
        </w:rPr>
        <w:t>，</w:t>
      </w:r>
      <w:r>
        <w:rPr>
          <w:rFonts w:hint="eastAsia"/>
        </w:rPr>
        <w:t>オプションの購入とその満期が</w:t>
      </w:r>
      <w:r w:rsidR="002F248B">
        <w:rPr>
          <w:rFonts w:hint="eastAsia"/>
        </w:rPr>
        <w:t>，</w:t>
      </w:r>
      <w:r>
        <w:rPr>
          <w:rFonts w:hint="eastAsia"/>
        </w:rPr>
        <w:t>長さのはっきりしない株式</w:t>
      </w:r>
      <w:r>
        <w:t xml:space="preserve"> のドローダウンとぴったり重なるタイミングでなければ</w:t>
      </w:r>
      <w:r w:rsidR="002F248B">
        <w:t>，</w:t>
      </w:r>
      <w:r>
        <w:t>ダウンサイドをほとんど防 ぐことができず</w:t>
      </w:r>
      <w:r w:rsidR="002F248B">
        <w:t>，</w:t>
      </w:r>
      <w:r>
        <w:t>ドローダウンと単位期待収益あたりのボラティリティを下げるどころか</w:t>
      </w:r>
      <w:r w:rsidR="002F248B">
        <w:t>，</w:t>
      </w:r>
      <w:r>
        <w:t xml:space="preserve"> 逆に悪化させてしまうことさえあるのです</w:t>
      </w:r>
      <w:r w:rsidR="002F248B">
        <w:t>．</w:t>
      </w:r>
    </w:p>
    <w:p w14:paraId="79A90383" w14:textId="77777777" w:rsidR="00466BE0" w:rsidRDefault="00466BE0" w:rsidP="00466BE0">
      <w:pPr>
        <w:pStyle w:val="a2"/>
      </w:pPr>
    </w:p>
    <w:p w14:paraId="0705C360" w14:textId="3E40C0E3" w:rsidR="004F36A8" w:rsidRPr="004F36A8" w:rsidRDefault="00466BE0" w:rsidP="00466BE0">
      <w:pPr>
        <w:pStyle w:val="a2"/>
        <w:rPr>
          <w:rFonts w:hint="eastAsia"/>
        </w:rPr>
      </w:pPr>
      <w:r>
        <w:t>S&amp;P500株式ポートフォリオと組み合わせた保護プットの購入は</w:t>
      </w:r>
      <w:r w:rsidR="002F248B">
        <w:t>，</w:t>
      </w:r>
      <w:r>
        <w:t>効果的なテールヘッジとなるか？</w:t>
      </w:r>
      <w:proofErr w:type="spellStart"/>
      <w:r>
        <w:t>Israelov</w:t>
      </w:r>
      <w:proofErr w:type="spellEnd"/>
      <w:r>
        <w:t>（2017）は</w:t>
      </w:r>
      <w:r w:rsidR="002F248B">
        <w:t>，</w:t>
      </w:r>
      <w:r>
        <w:t>プット・オプションで保護されているポートフォリオは</w:t>
      </w:r>
      <w:r w:rsidR="002F248B">
        <w:t>，</w:t>
      </w:r>
      <w:r>
        <w:t>代わりにリスクを減らすために単に株式エクスポージャーを減らしたポートフォリオよりも</w:t>
      </w:r>
      <w:r w:rsidR="002F248B">
        <w:t>，</w:t>
      </w:r>
      <w:r>
        <w:t>期待リターンの単位当たりのピーク・トータル・ドローダウンの特性が悪化することを示している</w:t>
      </w:r>
      <w:r w:rsidR="002F248B">
        <w:t>．</w:t>
      </w:r>
    </w:p>
    <w:p w14:paraId="3F7CF12B" w14:textId="77777777" w:rsidR="00A37512" w:rsidRDefault="00A37512" w:rsidP="0090375E">
      <w:pPr>
        <w:pStyle w:val="a2"/>
      </w:pPr>
    </w:p>
    <w:p w14:paraId="18CFBE68" w14:textId="29481D52" w:rsidR="00933A26" w:rsidRDefault="00933A26" w:rsidP="0090375E">
      <w:pPr>
        <w:pStyle w:val="a2"/>
      </w:pPr>
      <w:r w:rsidRPr="00933A26">
        <w:rPr>
          <w:rFonts w:hint="eastAsia"/>
        </w:rPr>
        <w:t>したがって</w:t>
      </w:r>
      <w:r w:rsidR="002F248B">
        <w:rPr>
          <w:rFonts w:hint="eastAsia"/>
        </w:rPr>
        <w:t>，</w:t>
      </w:r>
      <w:r w:rsidRPr="00933A26">
        <w:rPr>
          <w:rFonts w:hint="eastAsia"/>
        </w:rPr>
        <w:t>リスク資産と現金の間でポートフォリオの配分を変更する（いわゆる「売却」）と</w:t>
      </w:r>
      <w:r w:rsidR="002F248B">
        <w:rPr>
          <w:rFonts w:hint="eastAsia"/>
        </w:rPr>
        <w:t>，</w:t>
      </w:r>
      <w:r w:rsidRPr="00933A26">
        <w:rPr>
          <w:rFonts w:hint="eastAsia"/>
        </w:rPr>
        <w:t>ドローダウンがオプションの満期サイクルと一致しない限り</w:t>
      </w:r>
      <w:r w:rsidR="002F248B">
        <w:rPr>
          <w:rFonts w:hint="eastAsia"/>
        </w:rPr>
        <w:t>，</w:t>
      </w:r>
      <w:r w:rsidRPr="00933A26">
        <w:rPr>
          <w:rFonts w:hint="eastAsia"/>
        </w:rPr>
        <w:t>プットのプロテクションを購入するよりも良い結果が得られることになります</w:t>
      </w:r>
      <w:r w:rsidR="002F248B">
        <w:rPr>
          <w:rFonts w:hint="eastAsia"/>
        </w:rPr>
        <w:t>．</w:t>
      </w:r>
      <w:r w:rsidRPr="00933A26">
        <w:rPr>
          <w:rFonts w:hint="eastAsia"/>
        </w:rPr>
        <w:t>実際</w:t>
      </w:r>
      <w:r w:rsidR="002F248B">
        <w:rPr>
          <w:rFonts w:hint="eastAsia"/>
        </w:rPr>
        <w:t>，</w:t>
      </w:r>
      <w:r w:rsidRPr="00933A26">
        <w:rPr>
          <w:rFonts w:hint="eastAsia"/>
        </w:rPr>
        <w:t>この論文では</w:t>
      </w:r>
      <w:r w:rsidR="002F248B">
        <w:rPr>
          <w:rFonts w:hint="eastAsia"/>
        </w:rPr>
        <w:t>，</w:t>
      </w:r>
      <w:r w:rsidRPr="00933A26">
        <w:rPr>
          <w:rFonts w:hint="eastAsia"/>
        </w:rPr>
        <w:t>株式</w:t>
      </w:r>
      <w:r w:rsidRPr="00933A26">
        <w:t xml:space="preserve"> 40%</w:t>
      </w:r>
      <w:r w:rsidR="002F248B">
        <w:t>，</w:t>
      </w:r>
      <w:r w:rsidRPr="00933A26">
        <w:t>現金 60% で運用した場合</w:t>
      </w:r>
      <w:r w:rsidR="002F248B">
        <w:t>，</w:t>
      </w:r>
      <w:r w:rsidRPr="00933A26">
        <w:t>プッ ト・プロテクション戦略と同様のリターンが得られたが</w:t>
      </w:r>
      <w:r w:rsidR="002F248B">
        <w:t>，</w:t>
      </w:r>
      <w:r w:rsidRPr="00933A26">
        <w:t>ボラティリティ は半分以下であり</w:t>
      </w:r>
      <w:r w:rsidR="002F248B">
        <w:t>，</w:t>
      </w:r>
      <w:r w:rsidRPr="00933A26">
        <w:t>ピーク・トゥー・ラフのドローダウンも大幅に改 善されたことを示唆している</w:t>
      </w:r>
      <w:r w:rsidR="002F248B">
        <w:t>．</w:t>
      </w:r>
      <w:r w:rsidRPr="00933A26">
        <w:t>この論文では</w:t>
      </w:r>
      <w:r w:rsidR="002F248B">
        <w:t>，</w:t>
      </w:r>
      <w:r w:rsidRPr="00933A26">
        <w:t>株式 40%</w:t>
      </w:r>
      <w:r w:rsidR="002F248B">
        <w:t>，</w:t>
      </w:r>
      <w:r w:rsidRPr="00933A26">
        <w:t>現金 60% の投資で</w:t>
      </w:r>
      <w:r w:rsidR="002F248B">
        <w:t>，</w:t>
      </w:r>
      <w:r w:rsidRPr="00933A26">
        <w:t>保護されたプッ</w:t>
      </w:r>
      <w:r w:rsidRPr="00933A26">
        <w:rPr>
          <w:rFonts w:hint="eastAsia"/>
        </w:rPr>
        <w:t>ト戦略</w:t>
      </w:r>
      <w:r w:rsidRPr="00933A26">
        <w:t xml:space="preserve"> と同様のリターンが得られるが</w:t>
      </w:r>
      <w:r w:rsidR="002F248B">
        <w:t>，</w:t>
      </w:r>
      <w:r w:rsidRPr="00933A26">
        <w:t>ボラティリティは半分以下</w:t>
      </w:r>
      <w:r w:rsidR="002F248B">
        <w:t>，</w:t>
      </w:r>
      <w:r w:rsidRPr="00933A26">
        <w:t>ピークからトラ フへのドローダウンははるかに改善されている</w:t>
      </w:r>
      <w:r w:rsidR="002F248B">
        <w:t>．</w:t>
      </w:r>
    </w:p>
    <w:p w14:paraId="2C97BA46" w14:textId="77777777" w:rsidR="00447DCC" w:rsidRDefault="00447DCC" w:rsidP="0090375E">
      <w:pPr>
        <w:pStyle w:val="a2"/>
      </w:pPr>
    </w:p>
    <w:p w14:paraId="35200290" w14:textId="7FADF3CC" w:rsidR="00447DCC" w:rsidRDefault="00992ADA" w:rsidP="00992ADA">
      <w:pPr>
        <w:pStyle w:val="a2"/>
        <w:rPr>
          <w:rFonts w:hint="eastAsia"/>
        </w:rPr>
      </w:pPr>
      <w:proofErr w:type="spellStart"/>
      <w:r>
        <w:t>Israelov</w:t>
      </w:r>
      <w:proofErr w:type="spellEnd"/>
      <w:r>
        <w:t>（2017）が述べているように</w:t>
      </w:r>
      <w:r w:rsidR="002F248B">
        <w:t>．</w:t>
      </w:r>
      <w:r>
        <w:t>"株式のダウンサイドリスクを懸念している人にとって</w:t>
      </w:r>
      <w:r w:rsidR="002F248B">
        <w:t>，</w:t>
      </w:r>
      <w:r>
        <w:t>株式のポジションを減らすことはプロテクションを買うよりもかなり効果的である</w:t>
      </w:r>
      <w:r w:rsidR="002F248B">
        <w:t>．</w:t>
      </w:r>
      <w:r>
        <w:t>同じ平均リターンを達成するためのサイ</w:t>
      </w:r>
      <w:r>
        <w:lastRenderedPageBreak/>
        <w:t>ズでは</w:t>
      </w:r>
      <w:r w:rsidR="002F248B">
        <w:t>，</w:t>
      </w:r>
      <w:r>
        <w:t>売却はプット・オプションの購入よりもドローダウンが低く</w:t>
      </w:r>
      <w:r w:rsidR="002F248B">
        <w:t>，</w:t>
      </w:r>
      <w:r>
        <w:t>ボラティリティが低く</w:t>
      </w:r>
      <w:r w:rsidR="002F248B">
        <w:t>，</w:t>
      </w:r>
      <w:r>
        <w:t>株式ベータが低く</w:t>
      </w:r>
      <w:r w:rsidR="002F248B">
        <w:t>，</w:t>
      </w:r>
      <w:r>
        <w:t>シャープ比が高い</w:t>
      </w:r>
      <w:r w:rsidR="002F248B">
        <w:t>．</w:t>
      </w:r>
      <w:r>
        <w:t>"と述べている</w:t>
      </w:r>
      <w:r w:rsidR="002F248B">
        <w:t>．</w:t>
      </w:r>
      <w:r>
        <w:rPr>
          <w:rFonts w:hint="eastAsia"/>
        </w:rPr>
        <w:t>このアプローチは</w:t>
      </w:r>
      <w:r w:rsidR="002F248B">
        <w:rPr>
          <w:rFonts w:hint="eastAsia"/>
        </w:rPr>
        <w:t>，</w:t>
      </w:r>
      <w:r>
        <w:rPr>
          <w:rFonts w:hint="eastAsia"/>
        </w:rPr>
        <w:t>イルマネン（</w:t>
      </w:r>
      <w:r>
        <w:t>2016）の見解とも一致する</w:t>
      </w:r>
      <w:r w:rsidR="002F248B">
        <w:t>．</w:t>
      </w:r>
      <w:r>
        <w:t>彼は</w:t>
      </w:r>
      <w:r w:rsidR="002F248B">
        <w:t>，</w:t>
      </w:r>
      <w:r>
        <w:t>株式ポートフォリオの保護としてのインデックス・プット買いを</w:t>
      </w:r>
      <w:r w:rsidR="002F248B">
        <w:t>，</w:t>
      </w:r>
      <w:r>
        <w:t>（過去のデータを見て）"およそシャープ比マイナス1の戦略 "と言及しています</w:t>
      </w:r>
      <w:r w:rsidR="002F248B">
        <w:t>．</w:t>
      </w:r>
      <w:r>
        <w:t>もちろん</w:t>
      </w:r>
      <w:r w:rsidR="002F248B">
        <w:t>，</w:t>
      </w:r>
      <w:r>
        <w:t>非常に速い弱気相場や暴落はプットを使うことで防御できますが</w:t>
      </w:r>
      <w:r w:rsidR="002F248B">
        <w:t>，</w:t>
      </w:r>
      <w:r>
        <w:t>これは長期的に成功する遅い暴落の代替策（現金に移行する）に比べて非常に高価なのです</w:t>
      </w:r>
      <w:r w:rsidR="002F248B">
        <w:t>．</w:t>
      </w:r>
      <w:r>
        <w:t>「トレンドフォローはシャープ比が明らかにプラスであり</w:t>
      </w:r>
      <w:r w:rsidR="002F248B">
        <w:t>，</w:t>
      </w:r>
      <w:r>
        <w:t>過去100年の歴史的弱気相場のほとんどでうまくいっている」</w:t>
      </w:r>
      <w:r w:rsidR="002F248B">
        <w:t>．</w:t>
      </w:r>
      <w:r>
        <w:t>直接ヘッジはコストが高く</w:t>
      </w:r>
      <w:r w:rsidR="002F248B">
        <w:t>，</w:t>
      </w:r>
      <w:r>
        <w:t>短期的な市場の</w:t>
      </w:r>
      <w:r>
        <w:rPr>
          <w:rFonts w:hint="eastAsia"/>
        </w:rPr>
        <w:t>暴落を予測し</w:t>
      </w:r>
      <w:r w:rsidR="002F248B">
        <w:rPr>
          <w:rFonts w:hint="eastAsia"/>
        </w:rPr>
        <w:t>，</w:t>
      </w:r>
      <w:r>
        <w:rPr>
          <w:rFonts w:hint="eastAsia"/>
        </w:rPr>
        <w:t>暴落後に素早くポジションを解消する能力と組み合わせた場合にのみ価値を発揮する</w:t>
      </w:r>
      <w:r w:rsidR="002F248B">
        <w:rPr>
          <w:rFonts w:hint="eastAsia"/>
        </w:rPr>
        <w:t>．</w:t>
      </w:r>
    </w:p>
    <w:p w14:paraId="43396CC9" w14:textId="77777777" w:rsidR="00933A26" w:rsidRDefault="00933A26" w:rsidP="0090375E">
      <w:pPr>
        <w:pStyle w:val="a2"/>
      </w:pPr>
    </w:p>
    <w:p w14:paraId="31892FA8" w14:textId="1D46B105" w:rsidR="000B7250" w:rsidRDefault="00740CF3" w:rsidP="00740CF3">
      <w:pPr>
        <w:pStyle w:val="a2"/>
      </w:pPr>
      <w:r>
        <w:rPr>
          <w:rFonts w:hint="eastAsia"/>
        </w:rPr>
        <w:t>プロテクションを買うタイミングをもっと洗練させてはどうだろう？</w:t>
      </w:r>
      <w:proofErr w:type="spellStart"/>
      <w:r>
        <w:t>Strub</w:t>
      </w:r>
      <w:proofErr w:type="spellEnd"/>
      <w:r>
        <w:t>（2013）は</w:t>
      </w:r>
      <w:r w:rsidR="002F248B">
        <w:t>，</w:t>
      </w:r>
      <w:r>
        <w:t>テール・リスク・ヘッジのアルゴリズムを紹介し</w:t>
      </w:r>
      <w:r w:rsidR="002F248B">
        <w:t>，</w:t>
      </w:r>
      <w:r>
        <w:t>Extreme Value Theory（EVT）を使ってConditional Value at Risk（</w:t>
      </w:r>
      <w:proofErr w:type="spellStart"/>
      <w:r>
        <w:t>CVaR</w:t>
      </w:r>
      <w:proofErr w:type="spellEnd"/>
      <w:r>
        <w:t>）を推定することと比較し</w:t>
      </w:r>
      <w:r w:rsidR="002F248B">
        <w:t>，</w:t>
      </w:r>
      <w:r>
        <w:t>2000年から2012年のS&amp;P500とMSCI Emerging Marketsの株式インデックスに適用している</w:t>
      </w:r>
      <w:r w:rsidR="002F248B">
        <w:t>．</w:t>
      </w:r>
      <w:r>
        <w:t>パフォーマンスは</w:t>
      </w:r>
      <w:r w:rsidR="002F248B">
        <w:t>，</w:t>
      </w:r>
      <w:r>
        <w:t>現金ベースおよびオプションベースのテールヘッジ戦略と比較されます</w:t>
      </w:r>
      <w:r w:rsidR="002F248B">
        <w:t>．</w:t>
      </w:r>
      <w:r>
        <w:t>現金ベースの方法は</w:t>
      </w:r>
      <w:r w:rsidR="002F248B">
        <w:t>，</w:t>
      </w:r>
      <w:r>
        <w:t>リスク調整後リ</w:t>
      </w:r>
      <w:r>
        <w:rPr>
          <w:rFonts w:hint="eastAsia"/>
        </w:rPr>
        <w:t>ターンを大幅に増加させ</w:t>
      </w:r>
      <w:r w:rsidR="002F248B">
        <w:rPr>
          <w:rFonts w:hint="eastAsia"/>
        </w:rPr>
        <w:t>，</w:t>
      </w:r>
      <w:r>
        <w:rPr>
          <w:rFonts w:hint="eastAsia"/>
        </w:rPr>
        <w:t>ドローダウンを減少させることが示される一方</w:t>
      </w:r>
      <w:r w:rsidR="002F248B">
        <w:rPr>
          <w:rFonts w:hint="eastAsia"/>
        </w:rPr>
        <w:t>，</w:t>
      </w:r>
      <w:r>
        <w:rPr>
          <w:rFonts w:hint="eastAsia"/>
        </w:rPr>
        <w:t>オプションベースの戦略は</w:t>
      </w:r>
      <w:r w:rsidR="002F248B">
        <w:rPr>
          <w:rFonts w:hint="eastAsia"/>
        </w:rPr>
        <w:t>，</w:t>
      </w:r>
      <w:r>
        <w:rPr>
          <w:rFonts w:hint="eastAsia"/>
        </w:rPr>
        <w:t>コールに対するプットのコストの増加により</w:t>
      </w:r>
      <w:r w:rsidR="002F248B">
        <w:rPr>
          <w:rFonts w:hint="eastAsia"/>
        </w:rPr>
        <w:t>，</w:t>
      </w:r>
      <w:r>
        <w:t>2003年以降パフォーマンスが低下することが示される</w:t>
      </w:r>
      <w:r w:rsidR="002F248B">
        <w:t>．</w:t>
      </w:r>
      <w:r>
        <w:t>のコストがコールに対して上昇したためである</w:t>
      </w:r>
      <w:r w:rsidR="002F248B">
        <w:t>．</w:t>
      </w:r>
      <w:r>
        <w:rPr>
          <w:rFonts w:hint="eastAsia"/>
        </w:rPr>
        <w:t>そうすると</w:t>
      </w:r>
      <w:r w:rsidR="002F248B">
        <w:rPr>
          <w:rFonts w:hint="eastAsia"/>
        </w:rPr>
        <w:t>，</w:t>
      </w:r>
      <w:r>
        <w:rPr>
          <w:rFonts w:hint="eastAsia"/>
        </w:rPr>
        <w:t>（一時的とはいえ）売却は</w:t>
      </w:r>
      <w:r w:rsidR="002F248B">
        <w:rPr>
          <w:rFonts w:hint="eastAsia"/>
        </w:rPr>
        <w:t>，</w:t>
      </w:r>
      <w:r>
        <w:rPr>
          <w:rFonts w:hint="eastAsia"/>
        </w:rPr>
        <w:t>プットをシステマティックに購入したり</w:t>
      </w:r>
      <w:r w:rsidR="002F248B">
        <w:rPr>
          <w:rFonts w:hint="eastAsia"/>
        </w:rPr>
        <w:t>，</w:t>
      </w:r>
      <w:proofErr w:type="spellStart"/>
      <w:r>
        <w:t>Strub</w:t>
      </w:r>
      <w:proofErr w:type="spellEnd"/>
      <w:r>
        <w:t>（2013）のように条件情報を使って購入のタイミングを図るよりも</w:t>
      </w:r>
      <w:r w:rsidR="002F248B">
        <w:t>，</w:t>
      </w:r>
      <w:r>
        <w:t>ドローダウンを減らす（つまりテールリスクを管理する）ためにはるかに良い解決策を提供するように思われるが</w:t>
      </w:r>
      <w:r w:rsidR="002F248B">
        <w:t>，</w:t>
      </w:r>
      <w:r>
        <w:t>もちろんそのような代替案は無数にあるのだろう</w:t>
      </w:r>
      <w:r w:rsidR="002F248B">
        <w:t>．</w:t>
      </w:r>
      <w:r>
        <w:t>速い暴落」がいつ起こるかが分かっていて</w:t>
      </w:r>
      <w:r w:rsidR="002F248B">
        <w:t>，</w:t>
      </w:r>
      <w:r>
        <w:t>オプションの購入サイクルのタイミングをうまく合わせられるのでなければ</w:t>
      </w:r>
      <w:r w:rsidR="002F248B">
        <w:t>，</w:t>
      </w:r>
      <w:r>
        <w:t>トレンドフォローのルールで現金に切り替えることが最善の解決策になるようです</w:t>
      </w:r>
      <w:r w:rsidR="002F248B">
        <w:t>．</w:t>
      </w:r>
    </w:p>
    <w:p w14:paraId="0EA66E72" w14:textId="77777777" w:rsidR="001C47EC" w:rsidRDefault="001C47EC" w:rsidP="00740CF3">
      <w:pPr>
        <w:pStyle w:val="a2"/>
      </w:pPr>
    </w:p>
    <w:p w14:paraId="143A6884" w14:textId="3CBA38F6" w:rsidR="001C47EC" w:rsidRDefault="001C47EC" w:rsidP="001C47EC">
      <w:pPr>
        <w:pStyle w:val="a2"/>
      </w:pPr>
      <w:r>
        <w:rPr>
          <w:rFonts w:hint="eastAsia"/>
        </w:rPr>
        <w:t>しかし</w:t>
      </w:r>
      <w:r w:rsidR="002F248B">
        <w:rPr>
          <w:rFonts w:hint="eastAsia"/>
        </w:rPr>
        <w:t>，</w:t>
      </w:r>
      <w:r>
        <w:rPr>
          <w:rFonts w:hint="eastAsia"/>
        </w:rPr>
        <w:t>業界全体として</w:t>
      </w:r>
      <w:r w:rsidR="002F248B">
        <w:rPr>
          <w:rFonts w:hint="eastAsia"/>
        </w:rPr>
        <w:t>，</w:t>
      </w:r>
      <w:r>
        <w:rPr>
          <w:rFonts w:hint="eastAsia"/>
        </w:rPr>
        <w:t>アドバイザーは</w:t>
      </w:r>
      <w:r w:rsidR="002F248B">
        <w:rPr>
          <w:rFonts w:hint="eastAsia"/>
        </w:rPr>
        <w:t>，</w:t>
      </w:r>
      <w:r>
        <w:rPr>
          <w:rFonts w:hint="eastAsia"/>
        </w:rPr>
        <w:t>有利な証拠が積み重なっている場合でも</w:t>
      </w:r>
      <w:r w:rsidR="002F248B">
        <w:rPr>
          <w:rFonts w:hint="eastAsia"/>
        </w:rPr>
        <w:t>，</w:t>
      </w:r>
      <w:r>
        <w:rPr>
          <w:rFonts w:hint="eastAsia"/>
        </w:rPr>
        <w:t>現金の保有比率を大きくすることを勧めない傾向がある</w:t>
      </w:r>
      <w:r w:rsidR="002F248B">
        <w:rPr>
          <w:rFonts w:hint="eastAsia"/>
        </w:rPr>
        <w:t>．</w:t>
      </w:r>
      <w:r>
        <w:rPr>
          <w:rFonts w:hint="eastAsia"/>
        </w:rPr>
        <w:t>彼らは</w:t>
      </w:r>
      <w:r w:rsidR="002F248B">
        <w:rPr>
          <w:rFonts w:hint="eastAsia"/>
        </w:rPr>
        <w:t>，</w:t>
      </w:r>
      <w:r>
        <w:rPr>
          <w:rFonts w:hint="eastAsia"/>
        </w:rPr>
        <w:t>現金保有を勧めることで手数料を請求できないと考えるが</w:t>
      </w:r>
      <w:r w:rsidR="002F248B">
        <w:rPr>
          <w:rFonts w:hint="eastAsia"/>
        </w:rPr>
        <w:t>，</w:t>
      </w:r>
      <w:r>
        <w:rPr>
          <w:rFonts w:hint="eastAsia"/>
        </w:rPr>
        <w:t>実際にはこの適時分散投資が唯一の賢明な方法である可能性がある</w:t>
      </w:r>
      <w:r w:rsidR="002F248B">
        <w:rPr>
          <w:rFonts w:hint="eastAsia"/>
        </w:rPr>
        <w:t>．</w:t>
      </w:r>
    </w:p>
    <w:p w14:paraId="1FC844B4" w14:textId="77777777" w:rsidR="001C47EC" w:rsidRDefault="001C47EC" w:rsidP="001C47EC">
      <w:pPr>
        <w:pStyle w:val="a2"/>
      </w:pPr>
    </w:p>
    <w:p w14:paraId="5367B8EE" w14:textId="722A9038" w:rsidR="001C47EC" w:rsidRDefault="001C47EC" w:rsidP="001C47EC">
      <w:pPr>
        <w:pStyle w:val="a2"/>
      </w:pPr>
      <w:r>
        <w:rPr>
          <w:rFonts w:hint="eastAsia"/>
        </w:rPr>
        <w:t>我々の結果は</w:t>
      </w:r>
      <w:r w:rsidR="002F248B">
        <w:rPr>
          <w:rFonts w:hint="eastAsia"/>
        </w:rPr>
        <w:t>，</w:t>
      </w:r>
      <w:r>
        <w:rPr>
          <w:rFonts w:hint="eastAsia"/>
        </w:rPr>
        <w:t>長期にわたる米国の株式と債券のリターンの中で</w:t>
      </w:r>
      <w:r w:rsidR="002F248B">
        <w:rPr>
          <w:rFonts w:hint="eastAsia"/>
        </w:rPr>
        <w:t>，</w:t>
      </w:r>
      <w:r>
        <w:rPr>
          <w:rFonts w:hint="eastAsia"/>
        </w:rPr>
        <w:t>トレンド調整による投資リターンの平滑化（つまり</w:t>
      </w:r>
      <w:r w:rsidR="002F248B">
        <w:rPr>
          <w:rFonts w:hint="eastAsia"/>
        </w:rPr>
        <w:t>，</w:t>
      </w:r>
      <w:r>
        <w:rPr>
          <w:rFonts w:hint="eastAsia"/>
        </w:rPr>
        <w:t>現金に換える時期があること）が退職者に与える影響を示したものである</w:t>
      </w:r>
      <w:r w:rsidR="002F248B">
        <w:rPr>
          <w:rFonts w:hint="eastAsia"/>
        </w:rPr>
        <w:t>．</w:t>
      </w:r>
      <w:r>
        <w:rPr>
          <w:rFonts w:hint="eastAsia"/>
        </w:rPr>
        <w:t>このような平滑化手法を適用することで</w:t>
      </w:r>
      <w:r w:rsidR="002F248B">
        <w:rPr>
          <w:rFonts w:hint="eastAsia"/>
        </w:rPr>
        <w:t>，</w:t>
      </w:r>
      <w:r>
        <w:rPr>
          <w:rFonts w:hint="eastAsia"/>
        </w:rPr>
        <w:t>従来の株式</w:t>
      </w:r>
      <w:r>
        <w:t>/債券ポートフォリオからの引き出し経験が大幅に向上し</w:t>
      </w:r>
      <w:r w:rsidR="002F248B">
        <w:t>，</w:t>
      </w:r>
      <w:r>
        <w:t>20世紀における引き出し率の下限を実質的に大幅に引き上げ（30年間引き出しが続く一般的な60-40配分では年間3.6%に対し4.4%）</w:t>
      </w:r>
      <w:r w:rsidR="002F248B">
        <w:t>，</w:t>
      </w:r>
      <w:r>
        <w:t>また「平均」経験における引き出し率（6%</w:t>
      </w:r>
      <w:r w:rsidR="002F248B">
        <w:t>，</w:t>
      </w:r>
      <w:r>
        <w:t>表2参照）も向上することが分かった</w:t>
      </w:r>
      <w:r w:rsidR="002F248B">
        <w:t>．</w:t>
      </w:r>
      <w:r>
        <w:t>すべてのケースで</w:t>
      </w:r>
      <w:r w:rsidR="002F248B">
        <w:t>，</w:t>
      </w:r>
      <w:r>
        <w:t>（</w:t>
      </w:r>
      <w:r>
        <w:rPr>
          <w:rFonts w:hint="eastAsia"/>
        </w:rPr>
        <w:t>退職金コンサルタントに人気のある）一定のボラティリティをターゲットにした戦略では</w:t>
      </w:r>
      <w:r w:rsidR="002F248B">
        <w:rPr>
          <w:rFonts w:hint="eastAsia"/>
        </w:rPr>
        <w:t>，</w:t>
      </w:r>
      <w:r>
        <w:rPr>
          <w:rFonts w:hint="eastAsia"/>
        </w:rPr>
        <w:t>一定のボラティリティ・レベル（または「バケット」）に対して</w:t>
      </w:r>
      <w:r w:rsidR="002F248B">
        <w:rPr>
          <w:rFonts w:hint="eastAsia"/>
        </w:rPr>
        <w:t>，</w:t>
      </w:r>
      <w:r>
        <w:rPr>
          <w:rFonts w:hint="eastAsia"/>
        </w:rPr>
        <w:t>はるかに高い株式比率とそれに伴う引出率を実現することができます</w:t>
      </w:r>
      <w:r w:rsidR="002F248B">
        <w:rPr>
          <w:rFonts w:hint="eastAsia"/>
        </w:rPr>
        <w:t>．</w:t>
      </w:r>
    </w:p>
    <w:p w14:paraId="06D14510" w14:textId="77777777" w:rsidR="001C47EC" w:rsidRDefault="001C47EC" w:rsidP="00740CF3">
      <w:pPr>
        <w:pStyle w:val="a2"/>
      </w:pPr>
    </w:p>
    <w:p w14:paraId="019E752A" w14:textId="147CF879" w:rsidR="001C47EC" w:rsidRDefault="00834BEE" w:rsidP="00740CF3">
      <w:pPr>
        <w:pStyle w:val="a2"/>
      </w:pPr>
      <w:r w:rsidRPr="00834BEE">
        <w:rPr>
          <w:rFonts w:hint="eastAsia"/>
        </w:rPr>
        <w:t>ターゲットデイトファンドとグライドパス投資の失敗と</w:t>
      </w:r>
      <w:r w:rsidR="002F248B">
        <w:rPr>
          <w:rFonts w:hint="eastAsia"/>
        </w:rPr>
        <w:t>，</w:t>
      </w:r>
      <w:r w:rsidRPr="00834BEE">
        <w:rPr>
          <w:rFonts w:hint="eastAsia"/>
        </w:rPr>
        <w:t>それに関連した最大手の商業プロバイダーの</w:t>
      </w:r>
      <w:r w:rsidRPr="00834BEE">
        <w:t>2010年をターゲットとした戦略の悲惨な経験（Dhillon et al, 2016 and Ezra, 2009参照）は</w:t>
      </w:r>
      <w:r w:rsidR="002F248B">
        <w:t>，</w:t>
      </w:r>
      <w:r w:rsidRPr="00834BEE">
        <w:t>株式と債券の比率を一定に保つ</w:t>
      </w:r>
      <w:r w:rsidR="002F248B">
        <w:t>，</w:t>
      </w:r>
      <w:r w:rsidRPr="00834BEE">
        <w:t>あるいは実際にグライド比率を逆にするなどの代替アプローチの研究を促したが</w:t>
      </w:r>
      <w:r w:rsidR="002F248B">
        <w:t>，</w:t>
      </w:r>
      <w:r w:rsidRPr="00834BEE">
        <w:t>例えば</w:t>
      </w:r>
      <w:r w:rsidR="002F248B">
        <w:t>，</w:t>
      </w:r>
      <w:r w:rsidRPr="00834BEE">
        <w:t>Estrada（2014）などは</w:t>
      </w:r>
      <w:r w:rsidR="002F248B">
        <w:t>，</w:t>
      </w:r>
      <w:r w:rsidRPr="00834BEE">
        <w:t>この点について研究している</w:t>
      </w:r>
      <w:r w:rsidR="002F248B">
        <w:t>．</w:t>
      </w:r>
      <w:r w:rsidRPr="00834BEE">
        <w:t>私たちの調査結果では</w:t>
      </w:r>
      <w:r w:rsidR="002F248B">
        <w:t>，</w:t>
      </w:r>
      <w:r w:rsidRPr="00834BEE">
        <w:t>リスクを非常に嫌う人でない限り</w:t>
      </w:r>
      <w:r w:rsidR="002F248B">
        <w:t>，</w:t>
      </w:r>
      <w:r w:rsidRPr="00834BEE">
        <w:t>退職の最後の数年間は従来のグライドパス戦略を適用し</w:t>
      </w:r>
      <w:r w:rsidR="002F248B">
        <w:t>，</w:t>
      </w:r>
      <w:r w:rsidRPr="00834BEE">
        <w:t>その後</w:t>
      </w:r>
      <w:r w:rsidR="002F248B">
        <w:t>，</w:t>
      </w:r>
      <w:r w:rsidRPr="00834BEE">
        <w:t>株式と債</w:t>
      </w:r>
      <w:r w:rsidRPr="00834BEE">
        <w:rPr>
          <w:rFonts w:hint="eastAsia"/>
        </w:rPr>
        <w:t>券の配分を</w:t>
      </w:r>
      <w:r w:rsidRPr="00834BEE">
        <w:t>50対50にすることのみが賢明であることが示唆されている</w:t>
      </w:r>
      <w:r w:rsidR="002F248B">
        <w:t>．</w:t>
      </w:r>
    </w:p>
    <w:p w14:paraId="68E32A96" w14:textId="77777777" w:rsidR="000B790D" w:rsidRDefault="000B790D" w:rsidP="00740CF3">
      <w:pPr>
        <w:pStyle w:val="a2"/>
      </w:pPr>
    </w:p>
    <w:p w14:paraId="1FA4BFF0" w14:textId="7DC96868" w:rsidR="000B790D" w:rsidRPr="009C7CAD" w:rsidRDefault="000B790D" w:rsidP="00740CF3">
      <w:pPr>
        <w:pStyle w:val="a2"/>
        <w:rPr>
          <w:rFonts w:hint="eastAsia"/>
        </w:rPr>
      </w:pPr>
      <w:proofErr w:type="spellStart"/>
      <w:r w:rsidRPr="000B790D">
        <w:t>Israelov</w:t>
      </w:r>
      <w:proofErr w:type="spellEnd"/>
      <w:r w:rsidRPr="000B790D">
        <w:t>（2017）は</w:t>
      </w:r>
      <w:r w:rsidR="002F248B">
        <w:t>，</w:t>
      </w:r>
      <w:r w:rsidRPr="000B790D">
        <w:t>株式の大きなドローダウンに強く</w:t>
      </w:r>
      <w:r w:rsidR="002F248B">
        <w:t>，</w:t>
      </w:r>
      <w:r w:rsidRPr="000B790D">
        <w:t>従来の資産とほとんど相関のないトレンドフォロー資</w:t>
      </w:r>
      <w:r w:rsidRPr="000B790D">
        <w:lastRenderedPageBreak/>
        <w:t>産にポートフォリオの何割かを割くことの可能な利点を強調している</w:t>
      </w:r>
      <w:r w:rsidR="002F248B">
        <w:t>．</w:t>
      </w:r>
      <w:r w:rsidRPr="000B790D">
        <w:t>彼らは</w:t>
      </w:r>
      <w:r w:rsidR="002F248B">
        <w:t>，</w:t>
      </w:r>
      <w:r w:rsidRPr="000B790D">
        <w:t>例えばCTA「ヘッジ」ファンドを念頭に置き</w:t>
      </w:r>
      <w:r w:rsidR="002F248B">
        <w:t>，</w:t>
      </w:r>
      <w:r w:rsidRPr="000B790D">
        <w:t>場合によっては富の15%までそれに割り当てることを想定している</w:t>
      </w:r>
      <w:r w:rsidR="002F248B">
        <w:t>．</w:t>
      </w:r>
      <w:r w:rsidRPr="000B790D">
        <w:t>これは</w:t>
      </w:r>
      <w:r w:rsidR="002F248B">
        <w:t>，</w:t>
      </w:r>
      <w:r w:rsidRPr="000B790D">
        <w:t>確かにドローダウン(したがってシーケンスリスク)を減少させる経験を向上させるが</w:t>
      </w:r>
      <w:r w:rsidR="002F248B">
        <w:t>，</w:t>
      </w:r>
      <w:r w:rsidRPr="000B790D">
        <w:t>なぜ15%で止めるのか</w:t>
      </w:r>
      <w:r w:rsidR="002F248B">
        <w:t>，</w:t>
      </w:r>
      <w:r w:rsidRPr="000B790D">
        <w:t>なぜポートフォリオ全体のトレンド調整の利点を考慮しないのか</w:t>
      </w:r>
      <w:r w:rsidR="002F248B">
        <w:t>，</w:t>
      </w:r>
      <w:r w:rsidRPr="000B790D">
        <w:t>という疑問を投げかけるものである</w:t>
      </w:r>
      <w:r w:rsidR="002F248B">
        <w:t>．</w:t>
      </w:r>
    </w:p>
    <w:sectPr w:rsidR="000B790D" w:rsidRPr="009C7CAD" w:rsidSect="00DF25F8">
      <w:footerReference w:type="default" r:id="rId8"/>
      <w:pgSz w:w="11906" w:h="16838"/>
      <w:pgMar w:top="720" w:right="720" w:bottom="720" w:left="720" w:header="851" w:footer="283"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6EA32" w14:textId="77777777" w:rsidR="00FF0AC1" w:rsidRDefault="00FF0AC1" w:rsidP="00D91D94">
      <w:r>
        <w:separator/>
      </w:r>
    </w:p>
  </w:endnote>
  <w:endnote w:type="continuationSeparator" w:id="0">
    <w:p w14:paraId="1BD2F8B9" w14:textId="77777777" w:rsidR="00FF0AC1" w:rsidRDefault="00FF0AC1" w:rsidP="00D91D94">
      <w:r>
        <w:continuationSeparator/>
      </w:r>
    </w:p>
  </w:endnote>
  <w:endnote w:type="continuationNotice" w:id="1">
    <w:p w14:paraId="1F04AC6C" w14:textId="77777777" w:rsidR="00FF0AC1" w:rsidRDefault="00FF0A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ＭＳ Ｐゴシック">
    <w:panose1 w:val="020B0600070205080204"/>
    <w:charset w:val="80"/>
    <w:family w:val="modern"/>
    <w:pitch w:val="variable"/>
    <w:sig w:usb0="E00002FF" w:usb1="6AC7FDFB" w:usb2="08000012" w:usb3="00000000" w:csb0="0002009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3508787"/>
      <w:docPartObj>
        <w:docPartGallery w:val="Page Numbers (Bottom of Page)"/>
        <w:docPartUnique/>
      </w:docPartObj>
    </w:sdtPr>
    <w:sdtEndPr/>
    <w:sdtContent>
      <w:p w14:paraId="7C987A88" w14:textId="550449F9" w:rsidR="00CA52C6" w:rsidRDefault="00CA52C6">
        <w:pPr>
          <w:pStyle w:val="af0"/>
          <w:jc w:val="center"/>
        </w:pPr>
        <w:r>
          <w:fldChar w:fldCharType="begin"/>
        </w:r>
        <w:r>
          <w:instrText>PAGE   \* MERGEFORMAT</w:instrText>
        </w:r>
        <w:r>
          <w:fldChar w:fldCharType="separate"/>
        </w:r>
        <w:r>
          <w:rPr>
            <w:lang w:val="ja-JP"/>
          </w:rPr>
          <w:t>2</w:t>
        </w:r>
        <w:r>
          <w:fldChar w:fldCharType="end"/>
        </w:r>
      </w:p>
    </w:sdtContent>
  </w:sdt>
  <w:p w14:paraId="5097FF29" w14:textId="77777777" w:rsidR="00CA52C6" w:rsidRDefault="00CA52C6">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42088" w14:textId="77777777" w:rsidR="00FF0AC1" w:rsidRDefault="00FF0AC1" w:rsidP="00D91D94">
      <w:r>
        <w:separator/>
      </w:r>
    </w:p>
  </w:footnote>
  <w:footnote w:type="continuationSeparator" w:id="0">
    <w:p w14:paraId="4036CE66" w14:textId="77777777" w:rsidR="00FF0AC1" w:rsidRDefault="00FF0AC1" w:rsidP="00D91D94">
      <w:r>
        <w:continuationSeparator/>
      </w:r>
    </w:p>
  </w:footnote>
  <w:footnote w:type="continuationNotice" w:id="1">
    <w:p w14:paraId="343DDE9D" w14:textId="77777777" w:rsidR="00FF0AC1" w:rsidRDefault="00FF0AC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C7474"/>
    <w:multiLevelType w:val="multilevel"/>
    <w:tmpl w:val="D85E49A8"/>
    <w:styleLink w:val="a"/>
    <w:lvl w:ilvl="0">
      <w:start w:val="1"/>
      <w:numFmt w:val="decimal"/>
      <w:suff w:val="space"/>
      <w:lvlText w:val="%1."/>
      <w:lvlJc w:val="left"/>
      <w:pPr>
        <w:ind w:left="0" w:firstLine="0"/>
      </w:pPr>
      <w:rPr>
        <w:rFonts w:ascii="Times New Roman" w:eastAsia="游明朝" w:hAnsi="Times New Roman" w:hint="default"/>
        <w:b/>
        <w:i w:val="0"/>
        <w:color w:val="auto"/>
        <w:sz w:val="28"/>
        <w:szCs w:val="24"/>
      </w:rPr>
    </w:lvl>
    <w:lvl w:ilvl="1">
      <w:start w:val="1"/>
      <w:numFmt w:val="decimal"/>
      <w:suff w:val="space"/>
      <w:lvlText w:val="%1.%2"/>
      <w:lvlJc w:val="left"/>
      <w:pPr>
        <w:ind w:left="0" w:firstLine="0"/>
      </w:pPr>
      <w:rPr>
        <w:rFonts w:ascii="Times New Roman" w:eastAsia="游明朝" w:hAnsi="Times New Roman" w:hint="default"/>
        <w:b/>
        <w:i w:val="0"/>
        <w:sz w:val="24"/>
        <w:szCs w:val="18"/>
      </w:rPr>
    </w:lvl>
    <w:lvl w:ilvl="2">
      <w:start w:val="1"/>
      <w:numFmt w:val="decimal"/>
      <w:lvlRestart w:val="1"/>
      <w:suff w:val="space"/>
      <w:lvlText w:val="%1.%2.%3"/>
      <w:lvlJc w:val="left"/>
      <w:pPr>
        <w:ind w:left="0" w:firstLine="0"/>
      </w:pPr>
      <w:rPr>
        <w:rFonts w:ascii="Times New Roman" w:eastAsia="游明朝" w:hAnsi="Times New Roman" w:hint="default"/>
        <w:b/>
        <w:i w:val="0"/>
        <w:sz w:val="22"/>
        <w:szCs w:val="21"/>
      </w:rPr>
    </w:lvl>
    <w:lvl w:ilvl="3">
      <w:start w:val="1"/>
      <w:numFmt w:val="decimal"/>
      <w:lvlText w:val="%1.%2.%3.%4"/>
      <w:lvlJc w:val="left"/>
      <w:pPr>
        <w:ind w:left="227" w:hanging="227"/>
      </w:pPr>
      <w:rPr>
        <w:rFonts w:ascii="Times New Roman" w:eastAsia="游明朝" w:hAnsi="Times New Roman" w:hint="default"/>
        <w:b/>
        <w:i w:val="0"/>
        <w:sz w:val="24"/>
      </w:rPr>
    </w:lvl>
    <w:lvl w:ilvl="4">
      <w:start w:val="1"/>
      <w:numFmt w:val="decimal"/>
      <w:lvlText w:val="%1.%2.%3.%4.%5"/>
      <w:lvlJc w:val="left"/>
      <w:pPr>
        <w:ind w:left="227" w:hanging="227"/>
      </w:pPr>
      <w:rPr>
        <w:rFonts w:hint="eastAsia"/>
      </w:rPr>
    </w:lvl>
    <w:lvl w:ilvl="5">
      <w:start w:val="1"/>
      <w:numFmt w:val="decimal"/>
      <w:lvlText w:val="%1.%2.%3.%4.%5.%6"/>
      <w:lvlJc w:val="left"/>
      <w:pPr>
        <w:ind w:left="227" w:hanging="227"/>
      </w:pPr>
      <w:rPr>
        <w:rFonts w:hint="eastAsia"/>
      </w:rPr>
    </w:lvl>
    <w:lvl w:ilvl="6">
      <w:start w:val="1"/>
      <w:numFmt w:val="decimal"/>
      <w:lvlText w:val="%1.%2.%3.%4.%5.%6.%7"/>
      <w:lvlJc w:val="left"/>
      <w:pPr>
        <w:ind w:left="227" w:hanging="227"/>
      </w:pPr>
      <w:rPr>
        <w:rFonts w:hint="eastAsia"/>
      </w:rPr>
    </w:lvl>
    <w:lvl w:ilvl="7">
      <w:start w:val="1"/>
      <w:numFmt w:val="decimal"/>
      <w:lvlText w:val="%1.%2.%3.%4.%5.%6.%7.%8"/>
      <w:lvlJc w:val="left"/>
      <w:pPr>
        <w:ind w:left="227" w:hanging="227"/>
      </w:pPr>
      <w:rPr>
        <w:rFonts w:hint="eastAsia"/>
      </w:rPr>
    </w:lvl>
    <w:lvl w:ilvl="8">
      <w:start w:val="1"/>
      <w:numFmt w:val="decimal"/>
      <w:lvlText w:val="%1.%2.%3.%4.%5.%6.%7.%8.%9"/>
      <w:lvlJc w:val="left"/>
      <w:pPr>
        <w:ind w:left="227" w:hanging="227"/>
      </w:pPr>
      <w:rPr>
        <w:rFonts w:hint="eastAsia"/>
      </w:rPr>
    </w:lvl>
  </w:abstractNum>
  <w:abstractNum w:abstractNumId="1" w15:restartNumberingAfterBreak="0">
    <w:nsid w:val="059B3C5B"/>
    <w:multiLevelType w:val="hybridMultilevel"/>
    <w:tmpl w:val="7C86BB6A"/>
    <w:lvl w:ilvl="0" w:tplc="0409000B">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 w15:restartNumberingAfterBreak="0">
    <w:nsid w:val="06C73C7D"/>
    <w:multiLevelType w:val="multilevel"/>
    <w:tmpl w:val="1BCE2200"/>
    <w:numStyleLink w:val="2"/>
  </w:abstractNum>
  <w:abstractNum w:abstractNumId="3" w15:restartNumberingAfterBreak="0">
    <w:nsid w:val="090B1A59"/>
    <w:multiLevelType w:val="hybridMultilevel"/>
    <w:tmpl w:val="E6585FD6"/>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4" w15:restartNumberingAfterBreak="0">
    <w:nsid w:val="12D35E8D"/>
    <w:multiLevelType w:val="hybridMultilevel"/>
    <w:tmpl w:val="19E496B2"/>
    <w:lvl w:ilvl="0" w:tplc="7584C1E6">
      <w:start w:val="1"/>
      <w:numFmt w:val="lowerRoman"/>
      <w:lvlText w:val="%1.)"/>
      <w:lvlJc w:val="left"/>
      <w:pPr>
        <w:ind w:left="840" w:hanging="420"/>
      </w:pPr>
      <w:rPr>
        <w:rFonts w:ascii="Times New Roman" w:hAnsi="Times New Roman" w:hint="default"/>
        <w:b/>
        <w:i w:val="0"/>
        <w:sz w:val="24"/>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5" w15:restartNumberingAfterBreak="0">
    <w:nsid w:val="13EC799C"/>
    <w:multiLevelType w:val="multilevel"/>
    <w:tmpl w:val="1BCE2200"/>
    <w:styleLink w:val="2"/>
    <w:lvl w:ilvl="0">
      <w:start w:val="1"/>
      <w:numFmt w:val="decimal"/>
      <w:suff w:val="space"/>
      <w:lvlText w:val="%1."/>
      <w:lvlJc w:val="left"/>
      <w:pPr>
        <w:ind w:left="0" w:firstLine="0"/>
      </w:pPr>
      <w:rPr>
        <w:rFonts w:ascii="Times New Roman" w:eastAsia="ＭＳ 明朝" w:hAnsi="Times New Roman" w:hint="default"/>
        <w:b/>
        <w:i w:val="0"/>
        <w:sz w:val="32"/>
      </w:rPr>
    </w:lvl>
    <w:lvl w:ilvl="1">
      <w:start w:val="1"/>
      <w:numFmt w:val="decimal"/>
      <w:suff w:val="space"/>
      <w:lvlText w:val="%1.%2."/>
      <w:lvlJc w:val="left"/>
      <w:pPr>
        <w:ind w:left="0" w:firstLine="0"/>
      </w:pPr>
      <w:rPr>
        <w:rFonts w:ascii="Times New Roman" w:eastAsia="游明朝" w:hAnsi="Times New Roman" w:hint="default"/>
        <w:b/>
        <w:i w:val="0"/>
        <w:sz w:val="24"/>
      </w:rPr>
    </w:lvl>
    <w:lvl w:ilvl="2">
      <w:start w:val="1"/>
      <w:numFmt w:val="decimal"/>
      <w:lvlText w:val="%3.%2.%1"/>
      <w:lvlJc w:val="left"/>
      <w:pPr>
        <w:ind w:left="0" w:firstLine="0"/>
      </w:pPr>
      <w:rPr>
        <w:rFonts w:ascii="Times New Roman" w:hAnsi="Times New Roman" w:hint="default"/>
        <w:b/>
        <w:i w:val="0"/>
        <w:sz w:val="32"/>
      </w:rPr>
    </w:lvl>
    <w:lvl w:ilvl="3">
      <w:start w:val="1"/>
      <w:numFmt w:val="decimal"/>
      <w:lvlText w:val="%4."/>
      <w:lvlJc w:val="left"/>
      <w:pPr>
        <w:ind w:left="3780" w:hanging="420"/>
      </w:pPr>
      <w:rPr>
        <w:rFonts w:hint="eastAsia"/>
      </w:rPr>
    </w:lvl>
    <w:lvl w:ilvl="4">
      <w:start w:val="1"/>
      <w:numFmt w:val="aiueoFullWidth"/>
      <w:lvlText w:val="(%5)"/>
      <w:lvlJc w:val="left"/>
      <w:pPr>
        <w:ind w:left="4200" w:hanging="420"/>
      </w:pPr>
      <w:rPr>
        <w:rFonts w:hint="eastAsia"/>
      </w:rPr>
    </w:lvl>
    <w:lvl w:ilvl="5">
      <w:start w:val="1"/>
      <w:numFmt w:val="decimalEnclosedCircle"/>
      <w:lvlText w:val="%6"/>
      <w:lvlJc w:val="left"/>
      <w:pPr>
        <w:ind w:left="4620" w:hanging="420"/>
      </w:pPr>
      <w:rPr>
        <w:rFonts w:hint="eastAsia"/>
      </w:rPr>
    </w:lvl>
    <w:lvl w:ilvl="6">
      <w:start w:val="1"/>
      <w:numFmt w:val="decimal"/>
      <w:lvlText w:val="%7."/>
      <w:lvlJc w:val="left"/>
      <w:pPr>
        <w:ind w:left="5040" w:hanging="420"/>
      </w:pPr>
      <w:rPr>
        <w:rFonts w:hint="eastAsia"/>
      </w:rPr>
    </w:lvl>
    <w:lvl w:ilvl="7">
      <w:start w:val="1"/>
      <w:numFmt w:val="aiueoFullWidth"/>
      <w:lvlText w:val="(%8)"/>
      <w:lvlJc w:val="left"/>
      <w:pPr>
        <w:ind w:left="5460" w:hanging="420"/>
      </w:pPr>
      <w:rPr>
        <w:rFonts w:hint="eastAsia"/>
      </w:rPr>
    </w:lvl>
    <w:lvl w:ilvl="8">
      <w:start w:val="1"/>
      <w:numFmt w:val="decimalEnclosedCircle"/>
      <w:lvlText w:val="%9"/>
      <w:lvlJc w:val="left"/>
      <w:pPr>
        <w:ind w:left="5880" w:hanging="420"/>
      </w:pPr>
      <w:rPr>
        <w:rFonts w:hint="eastAsia"/>
      </w:rPr>
    </w:lvl>
  </w:abstractNum>
  <w:abstractNum w:abstractNumId="6" w15:restartNumberingAfterBreak="0">
    <w:nsid w:val="18C32AB8"/>
    <w:multiLevelType w:val="multilevel"/>
    <w:tmpl w:val="82C4FF70"/>
    <w:numStyleLink w:val="a0"/>
  </w:abstractNum>
  <w:abstractNum w:abstractNumId="7" w15:restartNumberingAfterBreak="0">
    <w:nsid w:val="18E2522A"/>
    <w:multiLevelType w:val="multilevel"/>
    <w:tmpl w:val="D85E49A8"/>
    <w:numStyleLink w:val="a"/>
  </w:abstractNum>
  <w:abstractNum w:abstractNumId="8" w15:restartNumberingAfterBreak="0">
    <w:nsid w:val="1AD509C0"/>
    <w:multiLevelType w:val="hybridMultilevel"/>
    <w:tmpl w:val="FF5C2852"/>
    <w:lvl w:ilvl="0" w:tplc="4E84AD68">
      <w:start w:val="1"/>
      <w:numFmt w:val="decimal"/>
      <w:lvlText w:val="%1."/>
      <w:lvlJc w:val="left"/>
      <w:pPr>
        <w:ind w:left="420" w:hanging="420"/>
      </w:pPr>
      <w:rPr>
        <w:rFonts w:ascii="Times New Roman" w:hAnsi="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1B53732A"/>
    <w:multiLevelType w:val="multilevel"/>
    <w:tmpl w:val="0EF05C8C"/>
    <w:lvl w:ilvl="0">
      <w:start w:val="1"/>
      <w:numFmt w:val="decimal"/>
      <w:suff w:val="space"/>
      <w:lvlText w:val="%1."/>
      <w:lvlJc w:val="left"/>
      <w:pPr>
        <w:ind w:left="420" w:hanging="420"/>
      </w:pPr>
      <w:rPr>
        <w:rFonts w:ascii="Times New Roman" w:hAnsi="Times New Roman" w:hint="default"/>
        <w:b/>
        <w:i w:val="0"/>
        <w:sz w:val="28"/>
        <w:szCs w:val="28"/>
      </w:rPr>
    </w:lvl>
    <w:lvl w:ilvl="1">
      <w:start w:val="1"/>
      <w:numFmt w:val="decimal"/>
      <w:suff w:val="space"/>
      <w:lvlText w:val="%1.%2"/>
      <w:lvlJc w:val="left"/>
      <w:pPr>
        <w:ind w:left="170" w:hanging="113"/>
      </w:pPr>
      <w:rPr>
        <w:rFonts w:ascii="Times New Roman" w:eastAsia="游明朝" w:hAnsi="Times New Roman" w:hint="default"/>
        <w:sz w:val="24"/>
      </w:rPr>
    </w:lvl>
    <w:lvl w:ilvl="2">
      <w:start w:val="1"/>
      <w:numFmt w:val="decimal"/>
      <w:suff w:val="space"/>
      <w:lvlText w:val="%1.%2.%3"/>
      <w:lvlJc w:val="left"/>
      <w:pPr>
        <w:ind w:left="1260" w:hanging="1033"/>
      </w:pPr>
      <w:rPr>
        <w:rFonts w:ascii="Times New Roman" w:eastAsia="游明朝" w:hAnsi="Times New Roman" w:hint="default"/>
        <w:sz w:val="24"/>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0" w15:restartNumberingAfterBreak="0">
    <w:nsid w:val="241D3874"/>
    <w:multiLevelType w:val="hybridMultilevel"/>
    <w:tmpl w:val="63A65EE2"/>
    <w:lvl w:ilvl="0" w:tplc="7584C1E6">
      <w:start w:val="1"/>
      <w:numFmt w:val="lowerRoman"/>
      <w:lvlText w:val="%1.)"/>
      <w:lvlJc w:val="left"/>
      <w:pPr>
        <w:ind w:left="420" w:hanging="420"/>
      </w:pPr>
      <w:rPr>
        <w:rFonts w:ascii="Times New Roman" w:hAnsi="Times New Roman" w:hint="default"/>
        <w:b/>
        <w:i w:val="0"/>
        <w:sz w:val="24"/>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24691B42"/>
    <w:multiLevelType w:val="hybridMultilevel"/>
    <w:tmpl w:val="E0722C3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281E4E1F"/>
    <w:multiLevelType w:val="hybridMultilevel"/>
    <w:tmpl w:val="6BDA2A94"/>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3" w15:restartNumberingAfterBreak="0">
    <w:nsid w:val="28690530"/>
    <w:multiLevelType w:val="hybridMultilevel"/>
    <w:tmpl w:val="70BAF57A"/>
    <w:lvl w:ilvl="0" w:tplc="0409000B">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4" w15:restartNumberingAfterBreak="0">
    <w:nsid w:val="2906770D"/>
    <w:multiLevelType w:val="multilevel"/>
    <w:tmpl w:val="4D202108"/>
    <w:lvl w:ilvl="0">
      <w:start w:val="1"/>
      <w:numFmt w:val="decimal"/>
      <w:pStyle w:val="1"/>
      <w:suff w:val="space"/>
      <w:lvlText w:val="%1."/>
      <w:lvlJc w:val="left"/>
      <w:pPr>
        <w:ind w:left="420" w:hanging="420"/>
      </w:pPr>
      <w:rPr>
        <w:rFonts w:ascii="Times New Roman" w:hAnsi="Times New Roman" w:hint="default"/>
        <w:b/>
        <w:i w:val="0"/>
        <w:sz w:val="28"/>
        <w:szCs w:val="28"/>
      </w:rPr>
    </w:lvl>
    <w:lvl w:ilvl="1">
      <w:start w:val="1"/>
      <w:numFmt w:val="decimal"/>
      <w:pStyle w:val="20"/>
      <w:suff w:val="space"/>
      <w:lvlText w:val="%1.%2"/>
      <w:lvlJc w:val="left"/>
      <w:pPr>
        <w:ind w:left="170" w:hanging="170"/>
      </w:pPr>
      <w:rPr>
        <w:rFonts w:ascii="Times New Roman" w:eastAsia="游明朝" w:hAnsi="Times New Roman" w:hint="default"/>
        <w:sz w:val="24"/>
      </w:rPr>
    </w:lvl>
    <w:lvl w:ilvl="2">
      <w:start w:val="1"/>
      <w:numFmt w:val="decimal"/>
      <w:pStyle w:val="3"/>
      <w:suff w:val="space"/>
      <w:lvlText w:val="%1.%2.%3"/>
      <w:lvlJc w:val="left"/>
      <w:pPr>
        <w:ind w:left="1260" w:hanging="1260"/>
      </w:pPr>
      <w:rPr>
        <w:rFonts w:ascii="Times New Roman" w:eastAsia="游明朝" w:hAnsi="Times New Roman" w:hint="default"/>
        <w:sz w:val="24"/>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5" w15:restartNumberingAfterBreak="0">
    <w:nsid w:val="2ACF0FF4"/>
    <w:multiLevelType w:val="hybridMultilevel"/>
    <w:tmpl w:val="0456907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31F2543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32ED6E87"/>
    <w:multiLevelType w:val="hybridMultilevel"/>
    <w:tmpl w:val="27BEFF64"/>
    <w:lvl w:ilvl="0" w:tplc="0409000B">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36C148F1"/>
    <w:multiLevelType w:val="hybridMultilevel"/>
    <w:tmpl w:val="7D5E1EF8"/>
    <w:lvl w:ilvl="0" w:tplc="04090009">
      <w:start w:val="1"/>
      <w:numFmt w:val="bullet"/>
      <w:lvlText w:val=""/>
      <w:lvlJc w:val="left"/>
      <w:pPr>
        <w:ind w:left="630" w:hanging="420"/>
      </w:pPr>
      <w:rPr>
        <w:rFonts w:ascii="Wingdings" w:hAnsi="Wingdings" w:hint="default"/>
      </w:rPr>
    </w:lvl>
    <w:lvl w:ilvl="1" w:tplc="0409000D">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9" w15:restartNumberingAfterBreak="0">
    <w:nsid w:val="39792194"/>
    <w:multiLevelType w:val="hybridMultilevel"/>
    <w:tmpl w:val="CB76003C"/>
    <w:lvl w:ilvl="0" w:tplc="D80E4CC6">
      <w:start w:val="1"/>
      <w:numFmt w:val="decimalEnclosedCircle"/>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0" w15:restartNumberingAfterBreak="0">
    <w:nsid w:val="3984447B"/>
    <w:multiLevelType w:val="multilevel"/>
    <w:tmpl w:val="E076B442"/>
    <w:styleLink w:val="21"/>
    <w:lvl w:ilvl="0">
      <w:start w:val="1"/>
      <w:numFmt w:val="decimal"/>
      <w:lvlText w:val="%1"/>
      <w:lvlJc w:val="left"/>
      <w:pPr>
        <w:ind w:left="850" w:hanging="425"/>
      </w:pPr>
      <w:rPr>
        <w:rFonts w:hint="eastAsia"/>
      </w:rPr>
    </w:lvl>
    <w:lvl w:ilvl="1">
      <w:start w:val="1"/>
      <w:numFmt w:val="decimal"/>
      <w:lvlText w:val="%1.%2"/>
      <w:lvlJc w:val="left"/>
      <w:pPr>
        <w:ind w:left="1417" w:hanging="567"/>
      </w:pPr>
      <w:rPr>
        <w:rFonts w:ascii="Times New Roman" w:eastAsia="游明朝" w:hAnsi="Times New Roman" w:hint="eastAsia"/>
        <w:color w:val="auto"/>
        <w:sz w:val="24"/>
      </w:rPr>
    </w:lvl>
    <w:lvl w:ilvl="2">
      <w:start w:val="1"/>
      <w:numFmt w:val="decimal"/>
      <w:lvlText w:val="%1.%2.%3"/>
      <w:lvlJc w:val="left"/>
      <w:pPr>
        <w:ind w:left="1843" w:hanging="567"/>
      </w:pPr>
      <w:rPr>
        <w:rFonts w:hint="eastAsia"/>
      </w:rPr>
    </w:lvl>
    <w:lvl w:ilvl="3">
      <w:start w:val="1"/>
      <w:numFmt w:val="decimal"/>
      <w:lvlText w:val="%1.%2.%3.%4"/>
      <w:lvlJc w:val="left"/>
      <w:pPr>
        <w:ind w:left="2409" w:hanging="708"/>
      </w:pPr>
      <w:rPr>
        <w:rFonts w:hint="eastAsia"/>
      </w:rPr>
    </w:lvl>
    <w:lvl w:ilvl="4">
      <w:start w:val="1"/>
      <w:numFmt w:val="decimal"/>
      <w:lvlText w:val="%1.%2.%3.%4.%5"/>
      <w:lvlJc w:val="left"/>
      <w:pPr>
        <w:ind w:left="2976" w:hanging="850"/>
      </w:pPr>
      <w:rPr>
        <w:rFonts w:hint="eastAsia"/>
      </w:rPr>
    </w:lvl>
    <w:lvl w:ilvl="5">
      <w:start w:val="1"/>
      <w:numFmt w:val="decimal"/>
      <w:lvlText w:val="%1.%2.%3.%4.%5.%6"/>
      <w:lvlJc w:val="left"/>
      <w:pPr>
        <w:ind w:left="3685" w:hanging="1134"/>
      </w:pPr>
      <w:rPr>
        <w:rFonts w:hint="eastAsia"/>
      </w:rPr>
    </w:lvl>
    <w:lvl w:ilvl="6">
      <w:start w:val="1"/>
      <w:numFmt w:val="decimal"/>
      <w:lvlText w:val="%1.%2.%3.%4.%5.%6.%7"/>
      <w:lvlJc w:val="left"/>
      <w:pPr>
        <w:ind w:left="4252" w:hanging="1276"/>
      </w:pPr>
      <w:rPr>
        <w:rFonts w:hint="eastAsia"/>
      </w:rPr>
    </w:lvl>
    <w:lvl w:ilvl="7">
      <w:start w:val="1"/>
      <w:numFmt w:val="decimal"/>
      <w:lvlText w:val="%1.%2.%3.%4.%5.%6.%7.%8"/>
      <w:lvlJc w:val="left"/>
      <w:pPr>
        <w:ind w:left="4819" w:hanging="1418"/>
      </w:pPr>
      <w:rPr>
        <w:rFonts w:hint="eastAsia"/>
      </w:rPr>
    </w:lvl>
    <w:lvl w:ilvl="8">
      <w:start w:val="1"/>
      <w:numFmt w:val="decimal"/>
      <w:lvlText w:val="%1.%2.%3.%4.%5.%6.%7.%8.%9"/>
      <w:lvlJc w:val="left"/>
      <w:pPr>
        <w:ind w:left="5527" w:hanging="1700"/>
      </w:pPr>
      <w:rPr>
        <w:rFonts w:hint="eastAsia"/>
      </w:rPr>
    </w:lvl>
  </w:abstractNum>
  <w:abstractNum w:abstractNumId="21" w15:restartNumberingAfterBreak="0">
    <w:nsid w:val="3A7B4071"/>
    <w:multiLevelType w:val="hybridMultilevel"/>
    <w:tmpl w:val="D248B5EE"/>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15:restartNumberingAfterBreak="0">
    <w:nsid w:val="3AD24EAC"/>
    <w:multiLevelType w:val="multilevel"/>
    <w:tmpl w:val="9ECEF24C"/>
    <w:styleLink w:val="10"/>
    <w:lvl w:ilvl="0">
      <w:start w:val="1"/>
      <w:numFmt w:val="decimal"/>
      <w:suff w:val="space"/>
      <w:lvlText w:val="%1."/>
      <w:lvlJc w:val="left"/>
      <w:pPr>
        <w:ind w:left="0" w:firstLine="0"/>
      </w:pPr>
      <w:rPr>
        <w:rFonts w:ascii="Times New Roman" w:eastAsia="ＭＳ 明朝" w:hAnsi="Times New Roman" w:hint="default"/>
        <w:b/>
        <w:i w:val="0"/>
        <w:sz w:val="32"/>
      </w:rPr>
    </w:lvl>
    <w:lvl w:ilvl="1">
      <w:start w:val="1"/>
      <w:numFmt w:val="decimal"/>
      <w:lvlText w:val="%1.%2."/>
      <w:lvlJc w:val="left"/>
      <w:pPr>
        <w:ind w:left="0" w:firstLine="0"/>
      </w:pPr>
      <w:rPr>
        <w:rFonts w:eastAsia="ＭＳ 明朝" w:hint="eastAsia"/>
        <w:b/>
        <w:sz w:val="32"/>
      </w:rPr>
    </w:lvl>
    <w:lvl w:ilvl="2">
      <w:start w:val="1"/>
      <w:numFmt w:val="decimal"/>
      <w:lvlText w:val="%1.%2.%3."/>
      <w:lvlJc w:val="left"/>
      <w:pPr>
        <w:ind w:left="0" w:firstLine="0"/>
      </w:pPr>
      <w:rPr>
        <w:rFonts w:eastAsia="ＭＳ 明朝" w:hint="eastAsia"/>
        <w:b/>
        <w:sz w:val="32"/>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3" w15:restartNumberingAfterBreak="0">
    <w:nsid w:val="3D5350ED"/>
    <w:multiLevelType w:val="hybridMultilevel"/>
    <w:tmpl w:val="83223188"/>
    <w:lvl w:ilvl="0" w:tplc="0409000B">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4" w15:restartNumberingAfterBreak="0">
    <w:nsid w:val="3FCA655A"/>
    <w:multiLevelType w:val="multilevel"/>
    <w:tmpl w:val="51BE7596"/>
    <w:lvl w:ilvl="0">
      <w:start w:val="1"/>
      <w:numFmt w:val="upperLetter"/>
      <w:pStyle w:val="5"/>
      <w:suff w:val="space"/>
      <w:lvlText w:val="Appendix %1."/>
      <w:lvlJc w:val="left"/>
      <w:pPr>
        <w:ind w:left="1220" w:hanging="1220"/>
      </w:pPr>
      <w:rPr>
        <w:rFonts w:hint="eastAsia"/>
      </w:rPr>
    </w:lvl>
    <w:lvl w:ilvl="1">
      <w:start w:val="1"/>
      <w:numFmt w:val="aiueoFullWidth"/>
      <w:lvlText w:val="(%2)"/>
      <w:lvlJc w:val="left"/>
      <w:pPr>
        <w:ind w:left="1640" w:hanging="420"/>
      </w:pPr>
      <w:rPr>
        <w:rFonts w:hint="eastAsia"/>
      </w:rPr>
    </w:lvl>
    <w:lvl w:ilvl="2">
      <w:start w:val="1"/>
      <w:numFmt w:val="decimalEnclosedCircle"/>
      <w:lvlText w:val="%3"/>
      <w:lvlJc w:val="left"/>
      <w:pPr>
        <w:ind w:left="2060" w:hanging="420"/>
      </w:pPr>
      <w:rPr>
        <w:rFonts w:hint="eastAsia"/>
      </w:rPr>
    </w:lvl>
    <w:lvl w:ilvl="3">
      <w:start w:val="1"/>
      <w:numFmt w:val="decimal"/>
      <w:lvlText w:val="%4."/>
      <w:lvlJc w:val="left"/>
      <w:pPr>
        <w:ind w:left="2480" w:hanging="420"/>
      </w:pPr>
      <w:rPr>
        <w:rFonts w:hint="eastAsia"/>
      </w:rPr>
    </w:lvl>
    <w:lvl w:ilvl="4">
      <w:start w:val="1"/>
      <w:numFmt w:val="aiueoFullWidth"/>
      <w:lvlText w:val="(%5)"/>
      <w:lvlJc w:val="left"/>
      <w:pPr>
        <w:ind w:left="2900" w:hanging="420"/>
      </w:pPr>
      <w:rPr>
        <w:rFonts w:hint="eastAsia"/>
      </w:rPr>
    </w:lvl>
    <w:lvl w:ilvl="5">
      <w:start w:val="1"/>
      <w:numFmt w:val="decimalEnclosedCircle"/>
      <w:lvlText w:val="%6"/>
      <w:lvlJc w:val="left"/>
      <w:pPr>
        <w:ind w:left="3320" w:hanging="420"/>
      </w:pPr>
      <w:rPr>
        <w:rFonts w:hint="eastAsia"/>
      </w:rPr>
    </w:lvl>
    <w:lvl w:ilvl="6">
      <w:start w:val="1"/>
      <w:numFmt w:val="decimal"/>
      <w:lvlText w:val="%7."/>
      <w:lvlJc w:val="left"/>
      <w:pPr>
        <w:ind w:left="3740" w:hanging="420"/>
      </w:pPr>
      <w:rPr>
        <w:rFonts w:hint="eastAsia"/>
      </w:rPr>
    </w:lvl>
    <w:lvl w:ilvl="7">
      <w:start w:val="1"/>
      <w:numFmt w:val="aiueoFullWidth"/>
      <w:lvlText w:val="(%8)"/>
      <w:lvlJc w:val="left"/>
      <w:pPr>
        <w:ind w:left="4160" w:hanging="420"/>
      </w:pPr>
      <w:rPr>
        <w:rFonts w:hint="eastAsia"/>
      </w:rPr>
    </w:lvl>
    <w:lvl w:ilvl="8">
      <w:start w:val="1"/>
      <w:numFmt w:val="decimalEnclosedCircle"/>
      <w:lvlText w:val="%9"/>
      <w:lvlJc w:val="left"/>
      <w:pPr>
        <w:ind w:left="4580" w:hanging="420"/>
      </w:pPr>
      <w:rPr>
        <w:rFonts w:hint="eastAsia"/>
      </w:rPr>
    </w:lvl>
  </w:abstractNum>
  <w:abstractNum w:abstractNumId="25" w15:restartNumberingAfterBreak="0">
    <w:nsid w:val="4F4B3927"/>
    <w:multiLevelType w:val="multilevel"/>
    <w:tmpl w:val="62C0CF0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6" w15:restartNumberingAfterBreak="0">
    <w:nsid w:val="58F02F52"/>
    <w:multiLevelType w:val="hybridMultilevel"/>
    <w:tmpl w:val="10748EC0"/>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15:restartNumberingAfterBreak="0">
    <w:nsid w:val="59D160CE"/>
    <w:multiLevelType w:val="multilevel"/>
    <w:tmpl w:val="D85E49A8"/>
    <w:numStyleLink w:val="a"/>
  </w:abstractNum>
  <w:abstractNum w:abstractNumId="28" w15:restartNumberingAfterBreak="0">
    <w:nsid w:val="5C382D62"/>
    <w:multiLevelType w:val="hybridMultilevel"/>
    <w:tmpl w:val="6C267414"/>
    <w:lvl w:ilvl="0" w:tplc="04090009">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15:restartNumberingAfterBreak="0">
    <w:nsid w:val="5CA26F92"/>
    <w:multiLevelType w:val="hybridMultilevel"/>
    <w:tmpl w:val="0FEAD96E"/>
    <w:lvl w:ilvl="0" w:tplc="E7D80B9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15:restartNumberingAfterBreak="0">
    <w:nsid w:val="5F771BCF"/>
    <w:multiLevelType w:val="hybridMultilevel"/>
    <w:tmpl w:val="05EEECF8"/>
    <w:lvl w:ilvl="0" w:tplc="0409000D">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1" w15:restartNumberingAfterBreak="0">
    <w:nsid w:val="60492C67"/>
    <w:multiLevelType w:val="hybridMultilevel"/>
    <w:tmpl w:val="16483246"/>
    <w:lvl w:ilvl="0" w:tplc="5ED8EC5C">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15:restartNumberingAfterBreak="0">
    <w:nsid w:val="62C55929"/>
    <w:multiLevelType w:val="hybridMultilevel"/>
    <w:tmpl w:val="D966CC96"/>
    <w:lvl w:ilvl="0" w:tplc="B6E4C05A">
      <w:start w:val="1"/>
      <w:numFmt w:val="decimalEnclosedCircle"/>
      <w:lvlText w:val="%1"/>
      <w:lvlJc w:val="left"/>
      <w:pPr>
        <w:ind w:left="720" w:hanging="360"/>
      </w:pPr>
      <w:rPr>
        <w:rFonts w:hint="eastAsia"/>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33" w15:restartNumberingAfterBreak="0">
    <w:nsid w:val="649A4336"/>
    <w:multiLevelType w:val="hybridMultilevel"/>
    <w:tmpl w:val="87E4CA32"/>
    <w:lvl w:ilvl="0" w:tplc="04090005">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34" w15:restartNumberingAfterBreak="0">
    <w:nsid w:val="66B04478"/>
    <w:multiLevelType w:val="hybridMultilevel"/>
    <w:tmpl w:val="62BA043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15:restartNumberingAfterBreak="0">
    <w:nsid w:val="684C6CB3"/>
    <w:multiLevelType w:val="hybridMultilevel"/>
    <w:tmpl w:val="03D0932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15:restartNumberingAfterBreak="0">
    <w:nsid w:val="6CF84509"/>
    <w:multiLevelType w:val="multilevel"/>
    <w:tmpl w:val="1BCE2200"/>
    <w:numStyleLink w:val="2"/>
  </w:abstractNum>
  <w:abstractNum w:abstractNumId="37" w15:restartNumberingAfterBreak="0">
    <w:nsid w:val="6EF90800"/>
    <w:multiLevelType w:val="multilevel"/>
    <w:tmpl w:val="82C4FF70"/>
    <w:styleLink w:val="a0"/>
    <w:lvl w:ilvl="0">
      <w:start w:val="1"/>
      <w:numFmt w:val="decimal"/>
      <w:lvlText w:val="%1"/>
      <w:lvlJc w:val="left"/>
      <w:pPr>
        <w:ind w:left="425" w:hanging="425"/>
      </w:pPr>
      <w:rPr>
        <w:rFonts w:ascii="Times New Roman" w:eastAsia="ＭＳ 明朝" w:hAnsi="Times New Roman" w:hint="default"/>
        <w:b/>
        <w:i w:val="0"/>
        <w:sz w:val="32"/>
      </w:rPr>
    </w:lvl>
    <w:lvl w:ilvl="1">
      <w:start w:val="1"/>
      <w:numFmt w:val="decimal"/>
      <w:lvlText w:val="%1.%2"/>
      <w:lvlJc w:val="left"/>
      <w:pPr>
        <w:ind w:left="992" w:hanging="992"/>
      </w:pPr>
      <w:rPr>
        <w:rFonts w:ascii="Times New Roman" w:eastAsia="ＭＳ 明朝" w:hAnsi="Times New Roman" w:hint="default"/>
        <w:b/>
        <w:i w:val="0"/>
        <w:sz w:val="32"/>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8" w15:restartNumberingAfterBreak="0">
    <w:nsid w:val="6FA61169"/>
    <w:multiLevelType w:val="multilevel"/>
    <w:tmpl w:val="E076B442"/>
    <w:numStyleLink w:val="21"/>
  </w:abstractNum>
  <w:abstractNum w:abstractNumId="39" w15:restartNumberingAfterBreak="0">
    <w:nsid w:val="6FB12225"/>
    <w:multiLevelType w:val="hybridMultilevel"/>
    <w:tmpl w:val="4CBE9346"/>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0" w15:restartNumberingAfterBreak="0">
    <w:nsid w:val="71564B2F"/>
    <w:multiLevelType w:val="hybridMultilevel"/>
    <w:tmpl w:val="F8C8A146"/>
    <w:lvl w:ilvl="0" w:tplc="0409000F">
      <w:start w:val="1"/>
      <w:numFmt w:val="decimal"/>
      <w:lvlText w:val="%1."/>
      <w:lvlJc w:val="left"/>
      <w:pPr>
        <w:ind w:left="420" w:hanging="420"/>
      </w:pPr>
      <w:rPr>
        <w:rFonts w:hint="default"/>
      </w:rPr>
    </w:lvl>
    <w:lvl w:ilvl="1" w:tplc="DDE42C14">
      <w:start w:val="4"/>
      <w:numFmt w:val="bullet"/>
      <w:lvlText w:val="・"/>
      <w:lvlJc w:val="left"/>
      <w:pPr>
        <w:ind w:left="780" w:hanging="360"/>
      </w:pPr>
      <w:rPr>
        <w:rFonts w:ascii="游明朝" w:eastAsia="游明朝" w:hAnsi="游明朝" w:cstheme="minorBidi"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1" w15:restartNumberingAfterBreak="0">
    <w:nsid w:val="7B024ED8"/>
    <w:multiLevelType w:val="hybridMultilevel"/>
    <w:tmpl w:val="4B40672A"/>
    <w:lvl w:ilvl="0" w:tplc="0409000F">
      <w:start w:val="1"/>
      <w:numFmt w:val="decimal"/>
      <w:lvlText w:val="%1."/>
      <w:lvlJc w:val="left"/>
      <w:pPr>
        <w:ind w:left="420" w:hanging="420"/>
      </w:pPr>
      <w:rPr>
        <w:rFont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2" w15:restartNumberingAfterBreak="0">
    <w:nsid w:val="7CBF7E40"/>
    <w:multiLevelType w:val="hybridMultilevel"/>
    <w:tmpl w:val="803E4C06"/>
    <w:lvl w:ilvl="0" w:tplc="0409000B">
      <w:start w:val="1"/>
      <w:numFmt w:val="bullet"/>
      <w:lvlText w:val=""/>
      <w:lvlJc w:val="left"/>
      <w:pPr>
        <w:ind w:left="420" w:hanging="420"/>
      </w:pPr>
      <w:rPr>
        <w:rFonts w:ascii="Wingdings" w:hAnsi="Wingdings" w:hint="default"/>
      </w:rPr>
    </w:lvl>
    <w:lvl w:ilvl="1" w:tplc="D80E4CC6">
      <w:start w:val="1"/>
      <w:numFmt w:val="decimalEnclosedCircle"/>
      <w:lvlText w:val="%2"/>
      <w:lvlJc w:val="left"/>
      <w:pPr>
        <w:ind w:left="840" w:hanging="420"/>
      </w:pPr>
      <w:rPr>
        <w:rFont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3" w15:restartNumberingAfterBreak="0">
    <w:nsid w:val="7CE405E3"/>
    <w:multiLevelType w:val="hybridMultilevel"/>
    <w:tmpl w:val="A6FCC4CC"/>
    <w:lvl w:ilvl="0" w:tplc="0409000B">
      <w:start w:val="1"/>
      <w:numFmt w:val="bullet"/>
      <w:lvlText w:val=""/>
      <w:lvlJc w:val="left"/>
      <w:pPr>
        <w:ind w:left="420" w:hanging="420"/>
      </w:pPr>
      <w:rPr>
        <w:rFonts w:ascii="Wingdings" w:hAnsi="Wingdings" w:hint="default"/>
      </w:rPr>
    </w:lvl>
    <w:lvl w:ilvl="1" w:tplc="0409000D">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4" w15:restartNumberingAfterBreak="0">
    <w:nsid w:val="7DE477EB"/>
    <w:multiLevelType w:val="hybridMultilevel"/>
    <w:tmpl w:val="6818FDA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15:restartNumberingAfterBreak="0">
    <w:nsid w:val="7E07210F"/>
    <w:multiLevelType w:val="hybridMultilevel"/>
    <w:tmpl w:val="022E180E"/>
    <w:lvl w:ilvl="0" w:tplc="0BD4386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6" w15:restartNumberingAfterBreak="0">
    <w:nsid w:val="7E5C5CF6"/>
    <w:multiLevelType w:val="multilevel"/>
    <w:tmpl w:val="D85E49A8"/>
    <w:numStyleLink w:val="a"/>
  </w:abstractNum>
  <w:num w:numId="1" w16cid:durableId="392394145">
    <w:abstractNumId w:val="22"/>
  </w:num>
  <w:num w:numId="2" w16cid:durableId="1268007549">
    <w:abstractNumId w:val="5"/>
  </w:num>
  <w:num w:numId="3" w16cid:durableId="338772135">
    <w:abstractNumId w:val="0"/>
  </w:num>
  <w:num w:numId="4" w16cid:durableId="727729361">
    <w:abstractNumId w:val="37"/>
  </w:num>
  <w:num w:numId="5" w16cid:durableId="1546790401">
    <w:abstractNumId w:val="6"/>
  </w:num>
  <w:num w:numId="6" w16cid:durableId="671372984">
    <w:abstractNumId w:val="7"/>
    <w:lvlOverride w:ilvl="0">
      <w:lvl w:ilvl="0">
        <w:start w:val="1"/>
        <w:numFmt w:val="decimal"/>
        <w:suff w:val="space"/>
        <w:lvlText w:val="%1."/>
        <w:lvlJc w:val="left"/>
        <w:pPr>
          <w:ind w:left="0" w:firstLine="0"/>
        </w:pPr>
        <w:rPr>
          <w:rFonts w:ascii="Times New Roman" w:eastAsia="游明朝" w:hAnsi="Times New Roman" w:hint="default"/>
          <w:b/>
          <w:i w:val="0"/>
          <w:color w:val="auto"/>
          <w:sz w:val="28"/>
          <w:szCs w:val="24"/>
        </w:rPr>
      </w:lvl>
    </w:lvlOverride>
    <w:lvlOverride w:ilvl="1">
      <w:lvl w:ilvl="1">
        <w:start w:val="1"/>
        <w:numFmt w:val="decimal"/>
        <w:suff w:val="space"/>
        <w:lvlText w:val="%1.%2"/>
        <w:lvlJc w:val="left"/>
        <w:pPr>
          <w:ind w:left="0" w:firstLine="0"/>
        </w:pPr>
        <w:rPr>
          <w:rFonts w:ascii="Times New Roman" w:eastAsia="游明朝" w:hAnsi="Times New Roman" w:hint="default"/>
          <w:b/>
          <w:i w:val="0"/>
          <w:sz w:val="24"/>
          <w:szCs w:val="18"/>
        </w:rPr>
      </w:lvl>
    </w:lvlOverride>
    <w:lvlOverride w:ilvl="2">
      <w:lvl w:ilvl="2">
        <w:start w:val="1"/>
        <w:numFmt w:val="decimal"/>
        <w:lvlRestart w:val="1"/>
        <w:suff w:val="space"/>
        <w:lvlText w:val="%1.%2.%3"/>
        <w:lvlJc w:val="left"/>
        <w:pPr>
          <w:ind w:left="0" w:firstLine="0"/>
        </w:pPr>
        <w:rPr>
          <w:rFonts w:ascii="Times New Roman" w:eastAsia="游明朝" w:hAnsi="Times New Roman" w:hint="default"/>
          <w:b/>
          <w:i w:val="0"/>
          <w:sz w:val="22"/>
          <w:szCs w:val="21"/>
        </w:rPr>
      </w:lvl>
    </w:lvlOverride>
    <w:lvlOverride w:ilvl="3">
      <w:lvl w:ilvl="3">
        <w:start w:val="1"/>
        <w:numFmt w:val="decimal"/>
        <w:lvlText w:val="%1.%2.%3.%4"/>
        <w:lvlJc w:val="left"/>
        <w:pPr>
          <w:ind w:left="227" w:hanging="227"/>
        </w:pPr>
        <w:rPr>
          <w:rFonts w:ascii="Times New Roman" w:eastAsia="游明朝" w:hAnsi="Times New Roman" w:hint="default"/>
          <w:b/>
          <w:i w:val="0"/>
          <w:sz w:val="24"/>
        </w:rPr>
      </w:lvl>
    </w:lvlOverride>
    <w:lvlOverride w:ilvl="4">
      <w:lvl w:ilvl="4">
        <w:start w:val="1"/>
        <w:numFmt w:val="decimal"/>
        <w:lvlText w:val="%1.%2.%3.%4.%5"/>
        <w:lvlJc w:val="left"/>
        <w:pPr>
          <w:ind w:left="227" w:hanging="227"/>
        </w:pPr>
        <w:rPr>
          <w:rFonts w:hint="eastAsia"/>
        </w:rPr>
      </w:lvl>
    </w:lvlOverride>
    <w:lvlOverride w:ilvl="5">
      <w:lvl w:ilvl="5">
        <w:start w:val="1"/>
        <w:numFmt w:val="decimal"/>
        <w:lvlText w:val="%1.%2.%3.%4.%5.%6"/>
        <w:lvlJc w:val="left"/>
        <w:pPr>
          <w:ind w:left="227" w:hanging="227"/>
        </w:pPr>
        <w:rPr>
          <w:rFonts w:hint="eastAsia"/>
        </w:rPr>
      </w:lvl>
    </w:lvlOverride>
    <w:lvlOverride w:ilvl="6">
      <w:lvl w:ilvl="6">
        <w:start w:val="1"/>
        <w:numFmt w:val="decimal"/>
        <w:lvlText w:val="%1.%2.%3.%4.%5.%6.%7"/>
        <w:lvlJc w:val="left"/>
        <w:pPr>
          <w:ind w:left="227" w:hanging="227"/>
        </w:pPr>
        <w:rPr>
          <w:rFonts w:hint="eastAsia"/>
        </w:rPr>
      </w:lvl>
    </w:lvlOverride>
    <w:lvlOverride w:ilvl="7">
      <w:lvl w:ilvl="7">
        <w:start w:val="1"/>
        <w:numFmt w:val="decimal"/>
        <w:lvlText w:val="%1.%2.%3.%4.%5.%6.%7.%8"/>
        <w:lvlJc w:val="left"/>
        <w:pPr>
          <w:ind w:left="227" w:hanging="227"/>
        </w:pPr>
        <w:rPr>
          <w:rFonts w:hint="eastAsia"/>
        </w:rPr>
      </w:lvl>
    </w:lvlOverride>
    <w:lvlOverride w:ilvl="8">
      <w:lvl w:ilvl="8">
        <w:start w:val="1"/>
        <w:numFmt w:val="decimal"/>
        <w:lvlText w:val="%1.%2.%3.%4.%5.%6.%7.%8.%9"/>
        <w:lvlJc w:val="left"/>
        <w:pPr>
          <w:ind w:left="227" w:hanging="227"/>
        </w:pPr>
        <w:rPr>
          <w:rFonts w:hint="eastAsia"/>
        </w:rPr>
      </w:lvl>
    </w:lvlOverride>
  </w:num>
  <w:num w:numId="7" w16cid:durableId="540095383">
    <w:abstractNumId w:val="31"/>
  </w:num>
  <w:num w:numId="8" w16cid:durableId="673190054">
    <w:abstractNumId w:val="32"/>
  </w:num>
  <w:num w:numId="9" w16cid:durableId="469516285">
    <w:abstractNumId w:val="43"/>
  </w:num>
  <w:num w:numId="10" w16cid:durableId="1896500341">
    <w:abstractNumId w:val="30"/>
  </w:num>
  <w:num w:numId="11" w16cid:durableId="1102803241">
    <w:abstractNumId w:val="45"/>
  </w:num>
  <w:num w:numId="12" w16cid:durableId="316960588">
    <w:abstractNumId w:val="28"/>
  </w:num>
  <w:num w:numId="13" w16cid:durableId="1173688919">
    <w:abstractNumId w:val="39"/>
  </w:num>
  <w:num w:numId="14" w16cid:durableId="324940609">
    <w:abstractNumId w:val="17"/>
  </w:num>
  <w:num w:numId="15" w16cid:durableId="533425918">
    <w:abstractNumId w:val="19"/>
  </w:num>
  <w:num w:numId="16" w16cid:durableId="1867522332">
    <w:abstractNumId w:val="42"/>
  </w:num>
  <w:num w:numId="17" w16cid:durableId="1914970257">
    <w:abstractNumId w:val="21"/>
  </w:num>
  <w:num w:numId="18" w16cid:durableId="1808084351">
    <w:abstractNumId w:val="26"/>
  </w:num>
  <w:num w:numId="19" w16cid:durableId="975986658">
    <w:abstractNumId w:val="29"/>
  </w:num>
  <w:num w:numId="20" w16cid:durableId="1230186434">
    <w:abstractNumId w:val="41"/>
  </w:num>
  <w:num w:numId="21" w16cid:durableId="2132749057">
    <w:abstractNumId w:val="11"/>
  </w:num>
  <w:num w:numId="22" w16cid:durableId="958800217">
    <w:abstractNumId w:val="40"/>
  </w:num>
  <w:num w:numId="23" w16cid:durableId="584611401">
    <w:abstractNumId w:val="44"/>
  </w:num>
  <w:num w:numId="24" w16cid:durableId="179441025">
    <w:abstractNumId w:val="15"/>
  </w:num>
  <w:num w:numId="25" w16cid:durableId="1220674912">
    <w:abstractNumId w:val="8"/>
  </w:num>
  <w:num w:numId="26" w16cid:durableId="516968303">
    <w:abstractNumId w:val="4"/>
  </w:num>
  <w:num w:numId="27" w16cid:durableId="440302385">
    <w:abstractNumId w:val="10"/>
  </w:num>
  <w:num w:numId="28" w16cid:durableId="1956134424">
    <w:abstractNumId w:val="9"/>
  </w:num>
  <w:num w:numId="29" w16cid:durableId="1942839910">
    <w:abstractNumId w:val="24"/>
  </w:num>
  <w:num w:numId="30" w16cid:durableId="120732866">
    <w:abstractNumId w:val="3"/>
  </w:num>
  <w:num w:numId="31" w16cid:durableId="1329793815">
    <w:abstractNumId w:val="16"/>
  </w:num>
  <w:num w:numId="32" w16cid:durableId="608976305">
    <w:abstractNumId w:val="27"/>
  </w:num>
  <w:num w:numId="33" w16cid:durableId="601687206">
    <w:abstractNumId w:val="46"/>
  </w:num>
  <w:num w:numId="34" w16cid:durableId="1200435740">
    <w:abstractNumId w:val="20"/>
  </w:num>
  <w:num w:numId="35" w16cid:durableId="593247642">
    <w:abstractNumId w:val="38"/>
  </w:num>
  <w:num w:numId="36" w16cid:durableId="1949120863">
    <w:abstractNumId w:val="2"/>
  </w:num>
  <w:num w:numId="37" w16cid:durableId="162360608">
    <w:abstractNumId w:val="36"/>
  </w:num>
  <w:num w:numId="38" w16cid:durableId="172394139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860662442">
    <w:abstractNumId w:val="14"/>
  </w:num>
  <w:num w:numId="40" w16cid:durableId="1664818450">
    <w:abstractNumId w:val="25"/>
  </w:num>
  <w:num w:numId="41" w16cid:durableId="413553706">
    <w:abstractNumId w:val="23"/>
  </w:num>
  <w:num w:numId="42" w16cid:durableId="1502164581">
    <w:abstractNumId w:val="18"/>
  </w:num>
  <w:num w:numId="43" w16cid:durableId="1258172191">
    <w:abstractNumId w:val="33"/>
  </w:num>
  <w:num w:numId="44" w16cid:durableId="333726025">
    <w:abstractNumId w:val="1"/>
  </w:num>
  <w:num w:numId="45" w16cid:durableId="1292513749">
    <w:abstractNumId w:val="13"/>
  </w:num>
  <w:num w:numId="46" w16cid:durableId="231817856">
    <w:abstractNumId w:val="35"/>
  </w:num>
  <w:num w:numId="47" w16cid:durableId="521477896">
    <w:abstractNumId w:val="12"/>
  </w:num>
  <w:num w:numId="48" w16cid:durableId="1136215623">
    <w:abstractNumId w:val="3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840"/>
  <w:drawingGridHorizontalSpacing w:val="105"/>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23B"/>
    <w:rsid w:val="000002A5"/>
    <w:rsid w:val="00000493"/>
    <w:rsid w:val="00000878"/>
    <w:rsid w:val="00000A38"/>
    <w:rsid w:val="00001D24"/>
    <w:rsid w:val="00002449"/>
    <w:rsid w:val="000030EB"/>
    <w:rsid w:val="0000334B"/>
    <w:rsid w:val="000033B1"/>
    <w:rsid w:val="00003F18"/>
    <w:rsid w:val="000047F7"/>
    <w:rsid w:val="0000481E"/>
    <w:rsid w:val="00004C2B"/>
    <w:rsid w:val="00004D92"/>
    <w:rsid w:val="000051F9"/>
    <w:rsid w:val="00006D38"/>
    <w:rsid w:val="0000769B"/>
    <w:rsid w:val="00007889"/>
    <w:rsid w:val="00007D93"/>
    <w:rsid w:val="00010A51"/>
    <w:rsid w:val="0001104A"/>
    <w:rsid w:val="000114FE"/>
    <w:rsid w:val="000117AC"/>
    <w:rsid w:val="00011F83"/>
    <w:rsid w:val="000129DE"/>
    <w:rsid w:val="00012ABC"/>
    <w:rsid w:val="00012C19"/>
    <w:rsid w:val="00015BDD"/>
    <w:rsid w:val="00015C58"/>
    <w:rsid w:val="00016EFC"/>
    <w:rsid w:val="000172E9"/>
    <w:rsid w:val="00017B1B"/>
    <w:rsid w:val="000200AE"/>
    <w:rsid w:val="00020CC4"/>
    <w:rsid w:val="0002152C"/>
    <w:rsid w:val="0002207A"/>
    <w:rsid w:val="000227BD"/>
    <w:rsid w:val="00022B9D"/>
    <w:rsid w:val="0002398B"/>
    <w:rsid w:val="0002448F"/>
    <w:rsid w:val="00024C35"/>
    <w:rsid w:val="00025B42"/>
    <w:rsid w:val="00026AE9"/>
    <w:rsid w:val="00027397"/>
    <w:rsid w:val="00027707"/>
    <w:rsid w:val="00027CFB"/>
    <w:rsid w:val="00030A5B"/>
    <w:rsid w:val="00031E06"/>
    <w:rsid w:val="00032302"/>
    <w:rsid w:val="0003243B"/>
    <w:rsid w:val="00033E27"/>
    <w:rsid w:val="00034535"/>
    <w:rsid w:val="000347EB"/>
    <w:rsid w:val="00035641"/>
    <w:rsid w:val="000358E6"/>
    <w:rsid w:val="0003595A"/>
    <w:rsid w:val="0003670A"/>
    <w:rsid w:val="00036DDB"/>
    <w:rsid w:val="00036E4E"/>
    <w:rsid w:val="000376A6"/>
    <w:rsid w:val="000379CC"/>
    <w:rsid w:val="00037F63"/>
    <w:rsid w:val="000403D8"/>
    <w:rsid w:val="00040759"/>
    <w:rsid w:val="00040F3B"/>
    <w:rsid w:val="000411F7"/>
    <w:rsid w:val="00041914"/>
    <w:rsid w:val="0004218A"/>
    <w:rsid w:val="00042965"/>
    <w:rsid w:val="00043485"/>
    <w:rsid w:val="000434D8"/>
    <w:rsid w:val="00043A97"/>
    <w:rsid w:val="00043CC8"/>
    <w:rsid w:val="00043D45"/>
    <w:rsid w:val="000444DD"/>
    <w:rsid w:val="0004483E"/>
    <w:rsid w:val="00044A92"/>
    <w:rsid w:val="00044FAA"/>
    <w:rsid w:val="00045A8E"/>
    <w:rsid w:val="000461F2"/>
    <w:rsid w:val="00046F29"/>
    <w:rsid w:val="00047227"/>
    <w:rsid w:val="00047388"/>
    <w:rsid w:val="00050202"/>
    <w:rsid w:val="00051735"/>
    <w:rsid w:val="00051A6B"/>
    <w:rsid w:val="0005218B"/>
    <w:rsid w:val="000521B8"/>
    <w:rsid w:val="00052966"/>
    <w:rsid w:val="00052A22"/>
    <w:rsid w:val="000530BA"/>
    <w:rsid w:val="0005312B"/>
    <w:rsid w:val="0005359A"/>
    <w:rsid w:val="0005361C"/>
    <w:rsid w:val="00053748"/>
    <w:rsid w:val="00054E47"/>
    <w:rsid w:val="00055E58"/>
    <w:rsid w:val="00056B31"/>
    <w:rsid w:val="00057C80"/>
    <w:rsid w:val="00057E67"/>
    <w:rsid w:val="00060C0F"/>
    <w:rsid w:val="000615EF"/>
    <w:rsid w:val="00062153"/>
    <w:rsid w:val="000623FE"/>
    <w:rsid w:val="000629CE"/>
    <w:rsid w:val="00064E8C"/>
    <w:rsid w:val="000666CF"/>
    <w:rsid w:val="00067CD0"/>
    <w:rsid w:val="00070258"/>
    <w:rsid w:val="000704D4"/>
    <w:rsid w:val="0007121D"/>
    <w:rsid w:val="00071D80"/>
    <w:rsid w:val="00074EA5"/>
    <w:rsid w:val="0007509A"/>
    <w:rsid w:val="00075644"/>
    <w:rsid w:val="0007619C"/>
    <w:rsid w:val="000766E5"/>
    <w:rsid w:val="00076772"/>
    <w:rsid w:val="00076956"/>
    <w:rsid w:val="00076EE7"/>
    <w:rsid w:val="00077818"/>
    <w:rsid w:val="00077D8A"/>
    <w:rsid w:val="0008096C"/>
    <w:rsid w:val="000817FC"/>
    <w:rsid w:val="00081B82"/>
    <w:rsid w:val="00081CD8"/>
    <w:rsid w:val="00081F1E"/>
    <w:rsid w:val="00082182"/>
    <w:rsid w:val="0008234F"/>
    <w:rsid w:val="00082ED2"/>
    <w:rsid w:val="0008383C"/>
    <w:rsid w:val="00084111"/>
    <w:rsid w:val="0008547A"/>
    <w:rsid w:val="00086D3A"/>
    <w:rsid w:val="000870A5"/>
    <w:rsid w:val="00091C7B"/>
    <w:rsid w:val="0009235E"/>
    <w:rsid w:val="0009297D"/>
    <w:rsid w:val="00092ED5"/>
    <w:rsid w:val="0009300B"/>
    <w:rsid w:val="0009594A"/>
    <w:rsid w:val="00095F93"/>
    <w:rsid w:val="00096134"/>
    <w:rsid w:val="00096BA4"/>
    <w:rsid w:val="00096FC8"/>
    <w:rsid w:val="000A070F"/>
    <w:rsid w:val="000A0B4E"/>
    <w:rsid w:val="000A0EF3"/>
    <w:rsid w:val="000A13F9"/>
    <w:rsid w:val="000A182F"/>
    <w:rsid w:val="000A1D9A"/>
    <w:rsid w:val="000A23FE"/>
    <w:rsid w:val="000A292B"/>
    <w:rsid w:val="000A3665"/>
    <w:rsid w:val="000A3F6F"/>
    <w:rsid w:val="000A469F"/>
    <w:rsid w:val="000A4F64"/>
    <w:rsid w:val="000A506B"/>
    <w:rsid w:val="000A5EF3"/>
    <w:rsid w:val="000A689A"/>
    <w:rsid w:val="000A6A04"/>
    <w:rsid w:val="000A6BB1"/>
    <w:rsid w:val="000A718E"/>
    <w:rsid w:val="000B0225"/>
    <w:rsid w:val="000B03BD"/>
    <w:rsid w:val="000B207E"/>
    <w:rsid w:val="000B2B66"/>
    <w:rsid w:val="000B30B4"/>
    <w:rsid w:val="000B4927"/>
    <w:rsid w:val="000B4AAA"/>
    <w:rsid w:val="000B56EC"/>
    <w:rsid w:val="000B61C8"/>
    <w:rsid w:val="000B6A19"/>
    <w:rsid w:val="000B7250"/>
    <w:rsid w:val="000B790D"/>
    <w:rsid w:val="000B7A12"/>
    <w:rsid w:val="000C0528"/>
    <w:rsid w:val="000C0FD8"/>
    <w:rsid w:val="000C1043"/>
    <w:rsid w:val="000C16D2"/>
    <w:rsid w:val="000C258A"/>
    <w:rsid w:val="000C265F"/>
    <w:rsid w:val="000C3803"/>
    <w:rsid w:val="000C43E6"/>
    <w:rsid w:val="000C44C7"/>
    <w:rsid w:val="000C462C"/>
    <w:rsid w:val="000C4E94"/>
    <w:rsid w:val="000C5987"/>
    <w:rsid w:val="000C59A3"/>
    <w:rsid w:val="000C6592"/>
    <w:rsid w:val="000C74A9"/>
    <w:rsid w:val="000C7601"/>
    <w:rsid w:val="000C7F17"/>
    <w:rsid w:val="000D0F6B"/>
    <w:rsid w:val="000D198E"/>
    <w:rsid w:val="000D2536"/>
    <w:rsid w:val="000D3249"/>
    <w:rsid w:val="000D43CB"/>
    <w:rsid w:val="000D4F06"/>
    <w:rsid w:val="000D4F4C"/>
    <w:rsid w:val="000D52EB"/>
    <w:rsid w:val="000D5745"/>
    <w:rsid w:val="000D7602"/>
    <w:rsid w:val="000E0206"/>
    <w:rsid w:val="000E051B"/>
    <w:rsid w:val="000E0EB7"/>
    <w:rsid w:val="000E2663"/>
    <w:rsid w:val="000E43C9"/>
    <w:rsid w:val="000E4C56"/>
    <w:rsid w:val="000E5293"/>
    <w:rsid w:val="000E5613"/>
    <w:rsid w:val="000E5DB1"/>
    <w:rsid w:val="000E66F7"/>
    <w:rsid w:val="000E6712"/>
    <w:rsid w:val="000E6F64"/>
    <w:rsid w:val="000E775C"/>
    <w:rsid w:val="000F03BC"/>
    <w:rsid w:val="000F0489"/>
    <w:rsid w:val="000F0B4A"/>
    <w:rsid w:val="000F0E63"/>
    <w:rsid w:val="000F1418"/>
    <w:rsid w:val="000F25B6"/>
    <w:rsid w:val="000F3117"/>
    <w:rsid w:val="000F330F"/>
    <w:rsid w:val="000F389A"/>
    <w:rsid w:val="000F3BAB"/>
    <w:rsid w:val="000F4461"/>
    <w:rsid w:val="000F4A73"/>
    <w:rsid w:val="000F6DCC"/>
    <w:rsid w:val="000F7E58"/>
    <w:rsid w:val="001005F4"/>
    <w:rsid w:val="001017FC"/>
    <w:rsid w:val="00103802"/>
    <w:rsid w:val="00103DE4"/>
    <w:rsid w:val="0010449D"/>
    <w:rsid w:val="00104FB9"/>
    <w:rsid w:val="00105841"/>
    <w:rsid w:val="00105CC0"/>
    <w:rsid w:val="00110F47"/>
    <w:rsid w:val="001114B1"/>
    <w:rsid w:val="00111D08"/>
    <w:rsid w:val="00112080"/>
    <w:rsid w:val="0011231C"/>
    <w:rsid w:val="001139C1"/>
    <w:rsid w:val="00114A6A"/>
    <w:rsid w:val="00120A60"/>
    <w:rsid w:val="00120DCB"/>
    <w:rsid w:val="0012105A"/>
    <w:rsid w:val="001222EC"/>
    <w:rsid w:val="0012257E"/>
    <w:rsid w:val="0012277E"/>
    <w:rsid w:val="00125099"/>
    <w:rsid w:val="001252B9"/>
    <w:rsid w:val="0012557C"/>
    <w:rsid w:val="00125790"/>
    <w:rsid w:val="00125865"/>
    <w:rsid w:val="00125EA6"/>
    <w:rsid w:val="00126617"/>
    <w:rsid w:val="00130285"/>
    <w:rsid w:val="001302AE"/>
    <w:rsid w:val="00130A61"/>
    <w:rsid w:val="00131375"/>
    <w:rsid w:val="001313F4"/>
    <w:rsid w:val="00131F02"/>
    <w:rsid w:val="00132770"/>
    <w:rsid w:val="0013361C"/>
    <w:rsid w:val="00133A47"/>
    <w:rsid w:val="00134737"/>
    <w:rsid w:val="0013512A"/>
    <w:rsid w:val="001357E1"/>
    <w:rsid w:val="00135934"/>
    <w:rsid w:val="00135ADB"/>
    <w:rsid w:val="00135D9F"/>
    <w:rsid w:val="00136EFB"/>
    <w:rsid w:val="001400A5"/>
    <w:rsid w:val="00140404"/>
    <w:rsid w:val="001407C5"/>
    <w:rsid w:val="0014113C"/>
    <w:rsid w:val="0014169B"/>
    <w:rsid w:val="00141F36"/>
    <w:rsid w:val="00142225"/>
    <w:rsid w:val="00142CF2"/>
    <w:rsid w:val="001442C4"/>
    <w:rsid w:val="00144D22"/>
    <w:rsid w:val="001457FC"/>
    <w:rsid w:val="00145992"/>
    <w:rsid w:val="00145D5C"/>
    <w:rsid w:val="00147308"/>
    <w:rsid w:val="001476DD"/>
    <w:rsid w:val="00147C9A"/>
    <w:rsid w:val="001502A8"/>
    <w:rsid w:val="0015063E"/>
    <w:rsid w:val="001509EA"/>
    <w:rsid w:val="00150D7E"/>
    <w:rsid w:val="00152E09"/>
    <w:rsid w:val="0015333A"/>
    <w:rsid w:val="001536E2"/>
    <w:rsid w:val="00156E46"/>
    <w:rsid w:val="00157814"/>
    <w:rsid w:val="001578CA"/>
    <w:rsid w:val="001609E8"/>
    <w:rsid w:val="001613FD"/>
    <w:rsid w:val="001614E7"/>
    <w:rsid w:val="00161E75"/>
    <w:rsid w:val="0016244E"/>
    <w:rsid w:val="00162478"/>
    <w:rsid w:val="001625AA"/>
    <w:rsid w:val="00162DCF"/>
    <w:rsid w:val="00162EB8"/>
    <w:rsid w:val="001630BD"/>
    <w:rsid w:val="001634B4"/>
    <w:rsid w:val="001634E3"/>
    <w:rsid w:val="0016426E"/>
    <w:rsid w:val="001644C9"/>
    <w:rsid w:val="00164DA8"/>
    <w:rsid w:val="001651AE"/>
    <w:rsid w:val="0016559B"/>
    <w:rsid w:val="0016769E"/>
    <w:rsid w:val="001677A6"/>
    <w:rsid w:val="001679BB"/>
    <w:rsid w:val="00170A09"/>
    <w:rsid w:val="001729F5"/>
    <w:rsid w:val="00172E0F"/>
    <w:rsid w:val="00173369"/>
    <w:rsid w:val="001736F5"/>
    <w:rsid w:val="00174D5B"/>
    <w:rsid w:val="00175A74"/>
    <w:rsid w:val="00175AC1"/>
    <w:rsid w:val="00175F61"/>
    <w:rsid w:val="00177316"/>
    <w:rsid w:val="0017786C"/>
    <w:rsid w:val="00180664"/>
    <w:rsid w:val="00180DB3"/>
    <w:rsid w:val="00180F67"/>
    <w:rsid w:val="00180FE7"/>
    <w:rsid w:val="0018161E"/>
    <w:rsid w:val="00181A72"/>
    <w:rsid w:val="00181B24"/>
    <w:rsid w:val="001820C3"/>
    <w:rsid w:val="0018236E"/>
    <w:rsid w:val="001838E4"/>
    <w:rsid w:val="00184285"/>
    <w:rsid w:val="001845A0"/>
    <w:rsid w:val="00184C1E"/>
    <w:rsid w:val="00184F20"/>
    <w:rsid w:val="001853D2"/>
    <w:rsid w:val="0018549C"/>
    <w:rsid w:val="00185876"/>
    <w:rsid w:val="001858AE"/>
    <w:rsid w:val="00185BA4"/>
    <w:rsid w:val="00185FE3"/>
    <w:rsid w:val="00186A17"/>
    <w:rsid w:val="001877C3"/>
    <w:rsid w:val="00190004"/>
    <w:rsid w:val="001907B7"/>
    <w:rsid w:val="001907DA"/>
    <w:rsid w:val="00192ADD"/>
    <w:rsid w:val="00192D7F"/>
    <w:rsid w:val="00192F39"/>
    <w:rsid w:val="001931CA"/>
    <w:rsid w:val="00194A12"/>
    <w:rsid w:val="00195159"/>
    <w:rsid w:val="001952C2"/>
    <w:rsid w:val="0019578E"/>
    <w:rsid w:val="0019596F"/>
    <w:rsid w:val="00196AB7"/>
    <w:rsid w:val="00196FEA"/>
    <w:rsid w:val="00197A67"/>
    <w:rsid w:val="00197C12"/>
    <w:rsid w:val="00197E1C"/>
    <w:rsid w:val="001A002F"/>
    <w:rsid w:val="001A063A"/>
    <w:rsid w:val="001A1507"/>
    <w:rsid w:val="001A1D4F"/>
    <w:rsid w:val="001A24E6"/>
    <w:rsid w:val="001A27F3"/>
    <w:rsid w:val="001A309D"/>
    <w:rsid w:val="001A35EA"/>
    <w:rsid w:val="001A3987"/>
    <w:rsid w:val="001A3A92"/>
    <w:rsid w:val="001A4CB2"/>
    <w:rsid w:val="001A6626"/>
    <w:rsid w:val="001A7172"/>
    <w:rsid w:val="001A7744"/>
    <w:rsid w:val="001A7B4D"/>
    <w:rsid w:val="001B00FE"/>
    <w:rsid w:val="001B06A7"/>
    <w:rsid w:val="001B105D"/>
    <w:rsid w:val="001B14AA"/>
    <w:rsid w:val="001B1E0F"/>
    <w:rsid w:val="001B54F6"/>
    <w:rsid w:val="001B6BCA"/>
    <w:rsid w:val="001B6ED2"/>
    <w:rsid w:val="001B6F0D"/>
    <w:rsid w:val="001C00FF"/>
    <w:rsid w:val="001C106B"/>
    <w:rsid w:val="001C172E"/>
    <w:rsid w:val="001C1F06"/>
    <w:rsid w:val="001C26A7"/>
    <w:rsid w:val="001C3953"/>
    <w:rsid w:val="001C3BA5"/>
    <w:rsid w:val="001C47EC"/>
    <w:rsid w:val="001C4AD2"/>
    <w:rsid w:val="001C4D15"/>
    <w:rsid w:val="001C5902"/>
    <w:rsid w:val="001C5A53"/>
    <w:rsid w:val="001C68FB"/>
    <w:rsid w:val="001C6FC3"/>
    <w:rsid w:val="001C70DD"/>
    <w:rsid w:val="001C71F2"/>
    <w:rsid w:val="001C7263"/>
    <w:rsid w:val="001C7B47"/>
    <w:rsid w:val="001C7C42"/>
    <w:rsid w:val="001C7F90"/>
    <w:rsid w:val="001D0542"/>
    <w:rsid w:val="001D0C50"/>
    <w:rsid w:val="001D0F6C"/>
    <w:rsid w:val="001D1FE9"/>
    <w:rsid w:val="001D292F"/>
    <w:rsid w:val="001D2B02"/>
    <w:rsid w:val="001D40C7"/>
    <w:rsid w:val="001D4443"/>
    <w:rsid w:val="001D4478"/>
    <w:rsid w:val="001D4DE2"/>
    <w:rsid w:val="001D5A2E"/>
    <w:rsid w:val="001D5E66"/>
    <w:rsid w:val="001D664E"/>
    <w:rsid w:val="001D7645"/>
    <w:rsid w:val="001D7742"/>
    <w:rsid w:val="001D7D3D"/>
    <w:rsid w:val="001D7D85"/>
    <w:rsid w:val="001E0A8B"/>
    <w:rsid w:val="001E0BED"/>
    <w:rsid w:val="001E1A45"/>
    <w:rsid w:val="001E2650"/>
    <w:rsid w:val="001E3294"/>
    <w:rsid w:val="001E3458"/>
    <w:rsid w:val="001E3777"/>
    <w:rsid w:val="001E39E2"/>
    <w:rsid w:val="001E3C70"/>
    <w:rsid w:val="001E4A2D"/>
    <w:rsid w:val="001E4D6F"/>
    <w:rsid w:val="001E5261"/>
    <w:rsid w:val="001E5923"/>
    <w:rsid w:val="001E62C5"/>
    <w:rsid w:val="001E6DFF"/>
    <w:rsid w:val="001E763A"/>
    <w:rsid w:val="001E7A52"/>
    <w:rsid w:val="001E7BC5"/>
    <w:rsid w:val="001E7BDE"/>
    <w:rsid w:val="001F00A5"/>
    <w:rsid w:val="001F00D5"/>
    <w:rsid w:val="001F0605"/>
    <w:rsid w:val="001F1AFE"/>
    <w:rsid w:val="001F249F"/>
    <w:rsid w:val="001F3F69"/>
    <w:rsid w:val="001F4BA7"/>
    <w:rsid w:val="001F5312"/>
    <w:rsid w:val="001F5922"/>
    <w:rsid w:val="001F5DF8"/>
    <w:rsid w:val="001F6191"/>
    <w:rsid w:val="001F77B6"/>
    <w:rsid w:val="001F78CB"/>
    <w:rsid w:val="002009CD"/>
    <w:rsid w:val="0020199A"/>
    <w:rsid w:val="00201C1D"/>
    <w:rsid w:val="00201E41"/>
    <w:rsid w:val="00202248"/>
    <w:rsid w:val="002028D6"/>
    <w:rsid w:val="00203B6F"/>
    <w:rsid w:val="00204485"/>
    <w:rsid w:val="002052CC"/>
    <w:rsid w:val="002058F0"/>
    <w:rsid w:val="00206409"/>
    <w:rsid w:val="002071D3"/>
    <w:rsid w:val="0020734E"/>
    <w:rsid w:val="00207974"/>
    <w:rsid w:val="00211032"/>
    <w:rsid w:val="0021123A"/>
    <w:rsid w:val="00212CD0"/>
    <w:rsid w:val="00213436"/>
    <w:rsid w:val="0021380E"/>
    <w:rsid w:val="00213DF9"/>
    <w:rsid w:val="0021412C"/>
    <w:rsid w:val="0021550D"/>
    <w:rsid w:val="00216206"/>
    <w:rsid w:val="00216535"/>
    <w:rsid w:val="00216DCA"/>
    <w:rsid w:val="002170EC"/>
    <w:rsid w:val="00217D79"/>
    <w:rsid w:val="00217FB7"/>
    <w:rsid w:val="00220A73"/>
    <w:rsid w:val="002216A1"/>
    <w:rsid w:val="00221A82"/>
    <w:rsid w:val="0022255D"/>
    <w:rsid w:val="002225EB"/>
    <w:rsid w:val="00223585"/>
    <w:rsid w:val="002236CB"/>
    <w:rsid w:val="002248DD"/>
    <w:rsid w:val="00224AE7"/>
    <w:rsid w:val="00225CF4"/>
    <w:rsid w:val="00226EBE"/>
    <w:rsid w:val="00226F07"/>
    <w:rsid w:val="00230268"/>
    <w:rsid w:val="00230364"/>
    <w:rsid w:val="0023085E"/>
    <w:rsid w:val="002313D3"/>
    <w:rsid w:val="0023187B"/>
    <w:rsid w:val="00231BD0"/>
    <w:rsid w:val="00231ED9"/>
    <w:rsid w:val="00232EE3"/>
    <w:rsid w:val="00233139"/>
    <w:rsid w:val="0023318B"/>
    <w:rsid w:val="00233E8C"/>
    <w:rsid w:val="002340C3"/>
    <w:rsid w:val="002341FF"/>
    <w:rsid w:val="00234994"/>
    <w:rsid w:val="002349A7"/>
    <w:rsid w:val="00234CB9"/>
    <w:rsid w:val="00235AAE"/>
    <w:rsid w:val="00235BB0"/>
    <w:rsid w:val="00235C9C"/>
    <w:rsid w:val="00235CA5"/>
    <w:rsid w:val="002366A9"/>
    <w:rsid w:val="002378FB"/>
    <w:rsid w:val="00241516"/>
    <w:rsid w:val="0024170F"/>
    <w:rsid w:val="0024192B"/>
    <w:rsid w:val="00242546"/>
    <w:rsid w:val="0024317C"/>
    <w:rsid w:val="002431C2"/>
    <w:rsid w:val="00243BD4"/>
    <w:rsid w:val="00244051"/>
    <w:rsid w:val="00244361"/>
    <w:rsid w:val="0024448D"/>
    <w:rsid w:val="00244AA1"/>
    <w:rsid w:val="002452D2"/>
    <w:rsid w:val="00245380"/>
    <w:rsid w:val="00246398"/>
    <w:rsid w:val="002464C5"/>
    <w:rsid w:val="00246A94"/>
    <w:rsid w:val="00251144"/>
    <w:rsid w:val="0025172C"/>
    <w:rsid w:val="00251E68"/>
    <w:rsid w:val="002534B9"/>
    <w:rsid w:val="002541C6"/>
    <w:rsid w:val="00254610"/>
    <w:rsid w:val="00254791"/>
    <w:rsid w:val="00254AB4"/>
    <w:rsid w:val="00255611"/>
    <w:rsid w:val="00256149"/>
    <w:rsid w:val="00256594"/>
    <w:rsid w:val="002572F0"/>
    <w:rsid w:val="00260605"/>
    <w:rsid w:val="002619E7"/>
    <w:rsid w:val="00261A76"/>
    <w:rsid w:val="00262800"/>
    <w:rsid w:val="00263599"/>
    <w:rsid w:val="00263AF4"/>
    <w:rsid w:val="00263B04"/>
    <w:rsid w:val="00263EE0"/>
    <w:rsid w:val="002642FC"/>
    <w:rsid w:val="00264578"/>
    <w:rsid w:val="00264B68"/>
    <w:rsid w:val="002664F9"/>
    <w:rsid w:val="00266A4D"/>
    <w:rsid w:val="00266EC4"/>
    <w:rsid w:val="00266F77"/>
    <w:rsid w:val="002673B5"/>
    <w:rsid w:val="00267FCE"/>
    <w:rsid w:val="00270032"/>
    <w:rsid w:val="00270E95"/>
    <w:rsid w:val="002712B6"/>
    <w:rsid w:val="002723AB"/>
    <w:rsid w:val="00272851"/>
    <w:rsid w:val="002738F2"/>
    <w:rsid w:val="00274615"/>
    <w:rsid w:val="002758EF"/>
    <w:rsid w:val="00275DD8"/>
    <w:rsid w:val="00276332"/>
    <w:rsid w:val="00280672"/>
    <w:rsid w:val="00280827"/>
    <w:rsid w:val="00280D06"/>
    <w:rsid w:val="00280E01"/>
    <w:rsid w:val="002820A2"/>
    <w:rsid w:val="00282794"/>
    <w:rsid w:val="00282BEE"/>
    <w:rsid w:val="00282ECA"/>
    <w:rsid w:val="00283303"/>
    <w:rsid w:val="00284A01"/>
    <w:rsid w:val="00287633"/>
    <w:rsid w:val="0029013E"/>
    <w:rsid w:val="002915D1"/>
    <w:rsid w:val="002915FF"/>
    <w:rsid w:val="00291E86"/>
    <w:rsid w:val="002923CC"/>
    <w:rsid w:val="002929A9"/>
    <w:rsid w:val="00292B9A"/>
    <w:rsid w:val="00292D40"/>
    <w:rsid w:val="00292DD5"/>
    <w:rsid w:val="00292DF7"/>
    <w:rsid w:val="00293DAF"/>
    <w:rsid w:val="00293FE2"/>
    <w:rsid w:val="00294CC1"/>
    <w:rsid w:val="00294D14"/>
    <w:rsid w:val="00294FCE"/>
    <w:rsid w:val="0029554D"/>
    <w:rsid w:val="002955FC"/>
    <w:rsid w:val="002957EE"/>
    <w:rsid w:val="002967A3"/>
    <w:rsid w:val="00296A64"/>
    <w:rsid w:val="00296E12"/>
    <w:rsid w:val="00296EBF"/>
    <w:rsid w:val="0029734F"/>
    <w:rsid w:val="002979CB"/>
    <w:rsid w:val="00297AA3"/>
    <w:rsid w:val="002A0950"/>
    <w:rsid w:val="002A0AF1"/>
    <w:rsid w:val="002A110D"/>
    <w:rsid w:val="002A12C7"/>
    <w:rsid w:val="002A1B25"/>
    <w:rsid w:val="002A27CE"/>
    <w:rsid w:val="002A292C"/>
    <w:rsid w:val="002A3481"/>
    <w:rsid w:val="002A3A6F"/>
    <w:rsid w:val="002A40D5"/>
    <w:rsid w:val="002A56BC"/>
    <w:rsid w:val="002A57C2"/>
    <w:rsid w:val="002A5BAB"/>
    <w:rsid w:val="002A612E"/>
    <w:rsid w:val="002A6D62"/>
    <w:rsid w:val="002A740A"/>
    <w:rsid w:val="002B02DB"/>
    <w:rsid w:val="002B0EE8"/>
    <w:rsid w:val="002B0FB7"/>
    <w:rsid w:val="002B14E4"/>
    <w:rsid w:val="002B3A22"/>
    <w:rsid w:val="002B515A"/>
    <w:rsid w:val="002B56C3"/>
    <w:rsid w:val="002B5A76"/>
    <w:rsid w:val="002B674A"/>
    <w:rsid w:val="002B6B33"/>
    <w:rsid w:val="002B71C4"/>
    <w:rsid w:val="002B7D90"/>
    <w:rsid w:val="002C0D53"/>
    <w:rsid w:val="002C0D5A"/>
    <w:rsid w:val="002C0E0E"/>
    <w:rsid w:val="002C18F0"/>
    <w:rsid w:val="002C1FB9"/>
    <w:rsid w:val="002C27AB"/>
    <w:rsid w:val="002C3839"/>
    <w:rsid w:val="002C49E9"/>
    <w:rsid w:val="002C4A4A"/>
    <w:rsid w:val="002C562C"/>
    <w:rsid w:val="002C5918"/>
    <w:rsid w:val="002C5B8F"/>
    <w:rsid w:val="002C64E0"/>
    <w:rsid w:val="002C7364"/>
    <w:rsid w:val="002C78DD"/>
    <w:rsid w:val="002D034A"/>
    <w:rsid w:val="002D07FD"/>
    <w:rsid w:val="002D11C3"/>
    <w:rsid w:val="002D2B18"/>
    <w:rsid w:val="002D39D7"/>
    <w:rsid w:val="002D42F6"/>
    <w:rsid w:val="002D450D"/>
    <w:rsid w:val="002D499C"/>
    <w:rsid w:val="002D49C7"/>
    <w:rsid w:val="002D4A73"/>
    <w:rsid w:val="002D5A39"/>
    <w:rsid w:val="002D5C2F"/>
    <w:rsid w:val="002D5CEA"/>
    <w:rsid w:val="002D7D40"/>
    <w:rsid w:val="002E0532"/>
    <w:rsid w:val="002E09D5"/>
    <w:rsid w:val="002E1C26"/>
    <w:rsid w:val="002E22E4"/>
    <w:rsid w:val="002E2634"/>
    <w:rsid w:val="002E3BB8"/>
    <w:rsid w:val="002E3CAE"/>
    <w:rsid w:val="002E3D93"/>
    <w:rsid w:val="002E40E2"/>
    <w:rsid w:val="002E4C17"/>
    <w:rsid w:val="002E5577"/>
    <w:rsid w:val="002E55FE"/>
    <w:rsid w:val="002E5C4B"/>
    <w:rsid w:val="002E5FCE"/>
    <w:rsid w:val="002E65C9"/>
    <w:rsid w:val="002E6720"/>
    <w:rsid w:val="002E7C3E"/>
    <w:rsid w:val="002E7D6F"/>
    <w:rsid w:val="002F00D1"/>
    <w:rsid w:val="002F00E4"/>
    <w:rsid w:val="002F06BA"/>
    <w:rsid w:val="002F06ED"/>
    <w:rsid w:val="002F1F43"/>
    <w:rsid w:val="002F20C2"/>
    <w:rsid w:val="002F2265"/>
    <w:rsid w:val="002F248B"/>
    <w:rsid w:val="002F355C"/>
    <w:rsid w:val="002F439A"/>
    <w:rsid w:val="002F493E"/>
    <w:rsid w:val="002F54DB"/>
    <w:rsid w:val="002F720B"/>
    <w:rsid w:val="002F7362"/>
    <w:rsid w:val="003002C6"/>
    <w:rsid w:val="00300AAF"/>
    <w:rsid w:val="0030114B"/>
    <w:rsid w:val="003018B1"/>
    <w:rsid w:val="003024FB"/>
    <w:rsid w:val="0030278E"/>
    <w:rsid w:val="00302EDC"/>
    <w:rsid w:val="003030C4"/>
    <w:rsid w:val="003037C5"/>
    <w:rsid w:val="0030387C"/>
    <w:rsid w:val="00303922"/>
    <w:rsid w:val="00304D75"/>
    <w:rsid w:val="0030548D"/>
    <w:rsid w:val="00305787"/>
    <w:rsid w:val="003059AF"/>
    <w:rsid w:val="003059E8"/>
    <w:rsid w:val="00307956"/>
    <w:rsid w:val="003079F7"/>
    <w:rsid w:val="00307A57"/>
    <w:rsid w:val="00310CA0"/>
    <w:rsid w:val="0031104A"/>
    <w:rsid w:val="00311A3B"/>
    <w:rsid w:val="00311EFE"/>
    <w:rsid w:val="00312E34"/>
    <w:rsid w:val="00313186"/>
    <w:rsid w:val="00313312"/>
    <w:rsid w:val="00314294"/>
    <w:rsid w:val="003146F5"/>
    <w:rsid w:val="00314A04"/>
    <w:rsid w:val="00314C5A"/>
    <w:rsid w:val="00314E76"/>
    <w:rsid w:val="00315346"/>
    <w:rsid w:val="003158AA"/>
    <w:rsid w:val="00316357"/>
    <w:rsid w:val="00316928"/>
    <w:rsid w:val="00317206"/>
    <w:rsid w:val="00317A5C"/>
    <w:rsid w:val="00317EFB"/>
    <w:rsid w:val="00320CAF"/>
    <w:rsid w:val="003210C5"/>
    <w:rsid w:val="00321215"/>
    <w:rsid w:val="00321777"/>
    <w:rsid w:val="00321F51"/>
    <w:rsid w:val="00321F88"/>
    <w:rsid w:val="0032300C"/>
    <w:rsid w:val="003232DA"/>
    <w:rsid w:val="00324851"/>
    <w:rsid w:val="003248AC"/>
    <w:rsid w:val="00324CB6"/>
    <w:rsid w:val="003256F8"/>
    <w:rsid w:val="003260DC"/>
    <w:rsid w:val="0032706E"/>
    <w:rsid w:val="00327A7C"/>
    <w:rsid w:val="00330220"/>
    <w:rsid w:val="00331562"/>
    <w:rsid w:val="0033214B"/>
    <w:rsid w:val="003323E4"/>
    <w:rsid w:val="00333341"/>
    <w:rsid w:val="003339DC"/>
    <w:rsid w:val="00333CDF"/>
    <w:rsid w:val="003349E2"/>
    <w:rsid w:val="0033574D"/>
    <w:rsid w:val="00335962"/>
    <w:rsid w:val="0034012D"/>
    <w:rsid w:val="00340CD6"/>
    <w:rsid w:val="00341060"/>
    <w:rsid w:val="003421C9"/>
    <w:rsid w:val="00342379"/>
    <w:rsid w:val="00342E12"/>
    <w:rsid w:val="003431B9"/>
    <w:rsid w:val="00343599"/>
    <w:rsid w:val="00343974"/>
    <w:rsid w:val="003446E4"/>
    <w:rsid w:val="003447C8"/>
    <w:rsid w:val="00345368"/>
    <w:rsid w:val="003458D9"/>
    <w:rsid w:val="00350DC9"/>
    <w:rsid w:val="00351079"/>
    <w:rsid w:val="00351A90"/>
    <w:rsid w:val="003520AC"/>
    <w:rsid w:val="003520F4"/>
    <w:rsid w:val="00352222"/>
    <w:rsid w:val="003523C3"/>
    <w:rsid w:val="00352F0E"/>
    <w:rsid w:val="00353341"/>
    <w:rsid w:val="00354249"/>
    <w:rsid w:val="00354695"/>
    <w:rsid w:val="00354C41"/>
    <w:rsid w:val="00354ED8"/>
    <w:rsid w:val="00354F8E"/>
    <w:rsid w:val="003556ED"/>
    <w:rsid w:val="00357525"/>
    <w:rsid w:val="00360AA6"/>
    <w:rsid w:val="00360DCA"/>
    <w:rsid w:val="00362534"/>
    <w:rsid w:val="00363A29"/>
    <w:rsid w:val="00364434"/>
    <w:rsid w:val="003645E2"/>
    <w:rsid w:val="00364E2E"/>
    <w:rsid w:val="00365874"/>
    <w:rsid w:val="00365EC6"/>
    <w:rsid w:val="0036638E"/>
    <w:rsid w:val="0037183B"/>
    <w:rsid w:val="00373285"/>
    <w:rsid w:val="0037341D"/>
    <w:rsid w:val="0037389B"/>
    <w:rsid w:val="00373F55"/>
    <w:rsid w:val="003740B5"/>
    <w:rsid w:val="00375458"/>
    <w:rsid w:val="00375481"/>
    <w:rsid w:val="00375A6C"/>
    <w:rsid w:val="0037724F"/>
    <w:rsid w:val="00377B61"/>
    <w:rsid w:val="00377CC2"/>
    <w:rsid w:val="003801FF"/>
    <w:rsid w:val="00380782"/>
    <w:rsid w:val="00382818"/>
    <w:rsid w:val="003828B7"/>
    <w:rsid w:val="0038307A"/>
    <w:rsid w:val="00383596"/>
    <w:rsid w:val="00384121"/>
    <w:rsid w:val="00384497"/>
    <w:rsid w:val="00384499"/>
    <w:rsid w:val="00384664"/>
    <w:rsid w:val="003862D9"/>
    <w:rsid w:val="003862DE"/>
    <w:rsid w:val="00390D3F"/>
    <w:rsid w:val="00390D69"/>
    <w:rsid w:val="0039109C"/>
    <w:rsid w:val="00392214"/>
    <w:rsid w:val="003924BB"/>
    <w:rsid w:val="00392ED3"/>
    <w:rsid w:val="00394047"/>
    <w:rsid w:val="00394AC3"/>
    <w:rsid w:val="00394C25"/>
    <w:rsid w:val="00394DB9"/>
    <w:rsid w:val="003952FF"/>
    <w:rsid w:val="00396C0F"/>
    <w:rsid w:val="0039767F"/>
    <w:rsid w:val="003A02A8"/>
    <w:rsid w:val="003A03B4"/>
    <w:rsid w:val="003A084D"/>
    <w:rsid w:val="003A2458"/>
    <w:rsid w:val="003A26E9"/>
    <w:rsid w:val="003A2DEA"/>
    <w:rsid w:val="003A2FAC"/>
    <w:rsid w:val="003A3164"/>
    <w:rsid w:val="003A369D"/>
    <w:rsid w:val="003A3A32"/>
    <w:rsid w:val="003A4176"/>
    <w:rsid w:val="003A41F1"/>
    <w:rsid w:val="003A49D2"/>
    <w:rsid w:val="003A6339"/>
    <w:rsid w:val="003A6C9B"/>
    <w:rsid w:val="003A725B"/>
    <w:rsid w:val="003A74DF"/>
    <w:rsid w:val="003B0271"/>
    <w:rsid w:val="003B0410"/>
    <w:rsid w:val="003B18A4"/>
    <w:rsid w:val="003B1DB5"/>
    <w:rsid w:val="003B200B"/>
    <w:rsid w:val="003B288F"/>
    <w:rsid w:val="003B432D"/>
    <w:rsid w:val="003B4E4C"/>
    <w:rsid w:val="003B6D7F"/>
    <w:rsid w:val="003B7AA0"/>
    <w:rsid w:val="003C04E3"/>
    <w:rsid w:val="003C078F"/>
    <w:rsid w:val="003C0983"/>
    <w:rsid w:val="003C11D6"/>
    <w:rsid w:val="003C16FC"/>
    <w:rsid w:val="003C33BA"/>
    <w:rsid w:val="003C3721"/>
    <w:rsid w:val="003C3ED2"/>
    <w:rsid w:val="003C45B6"/>
    <w:rsid w:val="003C4727"/>
    <w:rsid w:val="003C4797"/>
    <w:rsid w:val="003C4EF6"/>
    <w:rsid w:val="003C5459"/>
    <w:rsid w:val="003C71DF"/>
    <w:rsid w:val="003D0009"/>
    <w:rsid w:val="003D11A3"/>
    <w:rsid w:val="003D1226"/>
    <w:rsid w:val="003D1394"/>
    <w:rsid w:val="003D152D"/>
    <w:rsid w:val="003D15A1"/>
    <w:rsid w:val="003D1C4B"/>
    <w:rsid w:val="003D206B"/>
    <w:rsid w:val="003D25E4"/>
    <w:rsid w:val="003D2E05"/>
    <w:rsid w:val="003D2F5C"/>
    <w:rsid w:val="003D3107"/>
    <w:rsid w:val="003D35B8"/>
    <w:rsid w:val="003D4382"/>
    <w:rsid w:val="003D4FA3"/>
    <w:rsid w:val="003D508A"/>
    <w:rsid w:val="003D521D"/>
    <w:rsid w:val="003D56D6"/>
    <w:rsid w:val="003D5A95"/>
    <w:rsid w:val="003D5C35"/>
    <w:rsid w:val="003D66EF"/>
    <w:rsid w:val="003D69B2"/>
    <w:rsid w:val="003D6B82"/>
    <w:rsid w:val="003D6D6F"/>
    <w:rsid w:val="003D7036"/>
    <w:rsid w:val="003D7599"/>
    <w:rsid w:val="003E0140"/>
    <w:rsid w:val="003E02C3"/>
    <w:rsid w:val="003E04BF"/>
    <w:rsid w:val="003E0C42"/>
    <w:rsid w:val="003E10E7"/>
    <w:rsid w:val="003E290F"/>
    <w:rsid w:val="003E35BC"/>
    <w:rsid w:val="003E3CED"/>
    <w:rsid w:val="003E3FD1"/>
    <w:rsid w:val="003E476C"/>
    <w:rsid w:val="003E4A80"/>
    <w:rsid w:val="003E53A5"/>
    <w:rsid w:val="003E58FC"/>
    <w:rsid w:val="003E7EA2"/>
    <w:rsid w:val="003F0C65"/>
    <w:rsid w:val="003F1B91"/>
    <w:rsid w:val="003F1FB1"/>
    <w:rsid w:val="003F2495"/>
    <w:rsid w:val="003F2865"/>
    <w:rsid w:val="003F2FB1"/>
    <w:rsid w:val="003F3000"/>
    <w:rsid w:val="003F3C39"/>
    <w:rsid w:val="003F4C6F"/>
    <w:rsid w:val="003F7355"/>
    <w:rsid w:val="003F7DB8"/>
    <w:rsid w:val="00400627"/>
    <w:rsid w:val="00400AE0"/>
    <w:rsid w:val="00401852"/>
    <w:rsid w:val="0040188F"/>
    <w:rsid w:val="0040210C"/>
    <w:rsid w:val="004023BE"/>
    <w:rsid w:val="00402DAA"/>
    <w:rsid w:val="00402E22"/>
    <w:rsid w:val="004032A5"/>
    <w:rsid w:val="00403463"/>
    <w:rsid w:val="00404588"/>
    <w:rsid w:val="00404D1D"/>
    <w:rsid w:val="00404D94"/>
    <w:rsid w:val="00405A93"/>
    <w:rsid w:val="00406188"/>
    <w:rsid w:val="0040727C"/>
    <w:rsid w:val="00407411"/>
    <w:rsid w:val="004104DB"/>
    <w:rsid w:val="00410874"/>
    <w:rsid w:val="00411E18"/>
    <w:rsid w:val="00411E3B"/>
    <w:rsid w:val="004122DD"/>
    <w:rsid w:val="0041247F"/>
    <w:rsid w:val="00412891"/>
    <w:rsid w:val="00413BBC"/>
    <w:rsid w:val="00416183"/>
    <w:rsid w:val="0041727A"/>
    <w:rsid w:val="00420D02"/>
    <w:rsid w:val="004216ED"/>
    <w:rsid w:val="00423F03"/>
    <w:rsid w:val="0042468B"/>
    <w:rsid w:val="0042518F"/>
    <w:rsid w:val="004253BC"/>
    <w:rsid w:val="004255EF"/>
    <w:rsid w:val="004257EC"/>
    <w:rsid w:val="0042673D"/>
    <w:rsid w:val="00426DB0"/>
    <w:rsid w:val="00426F8B"/>
    <w:rsid w:val="00427842"/>
    <w:rsid w:val="004300BB"/>
    <w:rsid w:val="00430449"/>
    <w:rsid w:val="00430D6C"/>
    <w:rsid w:val="0043102D"/>
    <w:rsid w:val="00431088"/>
    <w:rsid w:val="00431341"/>
    <w:rsid w:val="00431A06"/>
    <w:rsid w:val="004324D6"/>
    <w:rsid w:val="00433545"/>
    <w:rsid w:val="0043549D"/>
    <w:rsid w:val="0043644D"/>
    <w:rsid w:val="004374D5"/>
    <w:rsid w:val="00437567"/>
    <w:rsid w:val="004377D6"/>
    <w:rsid w:val="004402DD"/>
    <w:rsid w:val="0044131F"/>
    <w:rsid w:val="0044158E"/>
    <w:rsid w:val="00441643"/>
    <w:rsid w:val="004429AF"/>
    <w:rsid w:val="00442A93"/>
    <w:rsid w:val="00442FB2"/>
    <w:rsid w:val="00443012"/>
    <w:rsid w:val="004435D7"/>
    <w:rsid w:val="00444216"/>
    <w:rsid w:val="0044505B"/>
    <w:rsid w:val="00445996"/>
    <w:rsid w:val="00446E09"/>
    <w:rsid w:val="00447DCC"/>
    <w:rsid w:val="00451976"/>
    <w:rsid w:val="0045238F"/>
    <w:rsid w:val="00452C63"/>
    <w:rsid w:val="00452EAB"/>
    <w:rsid w:val="00453C85"/>
    <w:rsid w:val="00454433"/>
    <w:rsid w:val="004547B0"/>
    <w:rsid w:val="00454A17"/>
    <w:rsid w:val="004554D0"/>
    <w:rsid w:val="00456387"/>
    <w:rsid w:val="0045657C"/>
    <w:rsid w:val="00457273"/>
    <w:rsid w:val="0045782A"/>
    <w:rsid w:val="00457B23"/>
    <w:rsid w:val="004616A4"/>
    <w:rsid w:val="00461AB0"/>
    <w:rsid w:val="00461BC2"/>
    <w:rsid w:val="00461BDD"/>
    <w:rsid w:val="0046231B"/>
    <w:rsid w:val="00462381"/>
    <w:rsid w:val="00462ABE"/>
    <w:rsid w:val="00463DEF"/>
    <w:rsid w:val="00464057"/>
    <w:rsid w:val="0046413C"/>
    <w:rsid w:val="004645B0"/>
    <w:rsid w:val="004645C2"/>
    <w:rsid w:val="0046468E"/>
    <w:rsid w:val="0046472E"/>
    <w:rsid w:val="00464CA9"/>
    <w:rsid w:val="00465814"/>
    <w:rsid w:val="0046587D"/>
    <w:rsid w:val="00465E22"/>
    <w:rsid w:val="0046614B"/>
    <w:rsid w:val="004669BA"/>
    <w:rsid w:val="00466BE0"/>
    <w:rsid w:val="00466FA5"/>
    <w:rsid w:val="004676C0"/>
    <w:rsid w:val="00467B51"/>
    <w:rsid w:val="004701C7"/>
    <w:rsid w:val="00470F2B"/>
    <w:rsid w:val="0047158D"/>
    <w:rsid w:val="00473039"/>
    <w:rsid w:val="00473266"/>
    <w:rsid w:val="004737E2"/>
    <w:rsid w:val="00474041"/>
    <w:rsid w:val="00474058"/>
    <w:rsid w:val="00475F8C"/>
    <w:rsid w:val="004763CE"/>
    <w:rsid w:val="004763F6"/>
    <w:rsid w:val="00477554"/>
    <w:rsid w:val="00480257"/>
    <w:rsid w:val="0048047E"/>
    <w:rsid w:val="00480CC2"/>
    <w:rsid w:val="004810E3"/>
    <w:rsid w:val="00481240"/>
    <w:rsid w:val="00481499"/>
    <w:rsid w:val="004823BC"/>
    <w:rsid w:val="0048323B"/>
    <w:rsid w:val="004833BE"/>
    <w:rsid w:val="0048458F"/>
    <w:rsid w:val="00484CFF"/>
    <w:rsid w:val="0048571A"/>
    <w:rsid w:val="004858AA"/>
    <w:rsid w:val="004863D7"/>
    <w:rsid w:val="00486788"/>
    <w:rsid w:val="00487A26"/>
    <w:rsid w:val="00490FD7"/>
    <w:rsid w:val="004916A3"/>
    <w:rsid w:val="00493B87"/>
    <w:rsid w:val="00494E3C"/>
    <w:rsid w:val="004962BF"/>
    <w:rsid w:val="00496384"/>
    <w:rsid w:val="0049693E"/>
    <w:rsid w:val="00497E39"/>
    <w:rsid w:val="004A144C"/>
    <w:rsid w:val="004A16B7"/>
    <w:rsid w:val="004A1B0D"/>
    <w:rsid w:val="004A21D4"/>
    <w:rsid w:val="004A3728"/>
    <w:rsid w:val="004A44DF"/>
    <w:rsid w:val="004A4506"/>
    <w:rsid w:val="004A46A3"/>
    <w:rsid w:val="004A5746"/>
    <w:rsid w:val="004A6654"/>
    <w:rsid w:val="004A6865"/>
    <w:rsid w:val="004A78CB"/>
    <w:rsid w:val="004B1601"/>
    <w:rsid w:val="004B1D94"/>
    <w:rsid w:val="004B2A00"/>
    <w:rsid w:val="004B3B2D"/>
    <w:rsid w:val="004B3D0F"/>
    <w:rsid w:val="004B3E2E"/>
    <w:rsid w:val="004B480B"/>
    <w:rsid w:val="004B4D69"/>
    <w:rsid w:val="004B50B4"/>
    <w:rsid w:val="004B574C"/>
    <w:rsid w:val="004B5969"/>
    <w:rsid w:val="004B5C3A"/>
    <w:rsid w:val="004B6068"/>
    <w:rsid w:val="004B690B"/>
    <w:rsid w:val="004B69D5"/>
    <w:rsid w:val="004B6C2A"/>
    <w:rsid w:val="004B7345"/>
    <w:rsid w:val="004B7804"/>
    <w:rsid w:val="004B7AFC"/>
    <w:rsid w:val="004C13A8"/>
    <w:rsid w:val="004C2507"/>
    <w:rsid w:val="004C2798"/>
    <w:rsid w:val="004C2A6E"/>
    <w:rsid w:val="004C2CA5"/>
    <w:rsid w:val="004C349B"/>
    <w:rsid w:val="004C3ACD"/>
    <w:rsid w:val="004C3BE3"/>
    <w:rsid w:val="004C3D05"/>
    <w:rsid w:val="004C3E29"/>
    <w:rsid w:val="004C40AC"/>
    <w:rsid w:val="004C41C9"/>
    <w:rsid w:val="004C4789"/>
    <w:rsid w:val="004C4E47"/>
    <w:rsid w:val="004C52C3"/>
    <w:rsid w:val="004C6A1E"/>
    <w:rsid w:val="004D003D"/>
    <w:rsid w:val="004D00BD"/>
    <w:rsid w:val="004D09F9"/>
    <w:rsid w:val="004D0F88"/>
    <w:rsid w:val="004D13CB"/>
    <w:rsid w:val="004D16F0"/>
    <w:rsid w:val="004D174C"/>
    <w:rsid w:val="004D1E63"/>
    <w:rsid w:val="004D1F4F"/>
    <w:rsid w:val="004D2486"/>
    <w:rsid w:val="004D2548"/>
    <w:rsid w:val="004D3868"/>
    <w:rsid w:val="004D387C"/>
    <w:rsid w:val="004D3ED8"/>
    <w:rsid w:val="004D4E80"/>
    <w:rsid w:val="004D4F02"/>
    <w:rsid w:val="004D4F59"/>
    <w:rsid w:val="004D4F91"/>
    <w:rsid w:val="004D54B9"/>
    <w:rsid w:val="004D5D86"/>
    <w:rsid w:val="004D5D9D"/>
    <w:rsid w:val="004D6694"/>
    <w:rsid w:val="004D6CF9"/>
    <w:rsid w:val="004E0F00"/>
    <w:rsid w:val="004E1ECE"/>
    <w:rsid w:val="004E1FED"/>
    <w:rsid w:val="004E23D3"/>
    <w:rsid w:val="004E26EF"/>
    <w:rsid w:val="004E2F98"/>
    <w:rsid w:val="004E4A49"/>
    <w:rsid w:val="004E7321"/>
    <w:rsid w:val="004E7595"/>
    <w:rsid w:val="004E7716"/>
    <w:rsid w:val="004F0030"/>
    <w:rsid w:val="004F05B0"/>
    <w:rsid w:val="004F0739"/>
    <w:rsid w:val="004F1B17"/>
    <w:rsid w:val="004F2492"/>
    <w:rsid w:val="004F3123"/>
    <w:rsid w:val="004F36A8"/>
    <w:rsid w:val="004F41CD"/>
    <w:rsid w:val="004F5A4F"/>
    <w:rsid w:val="004F5AC9"/>
    <w:rsid w:val="004F6222"/>
    <w:rsid w:val="004F6AFE"/>
    <w:rsid w:val="004F72A3"/>
    <w:rsid w:val="004F78F8"/>
    <w:rsid w:val="0050014A"/>
    <w:rsid w:val="00501C26"/>
    <w:rsid w:val="0050268D"/>
    <w:rsid w:val="005038EA"/>
    <w:rsid w:val="005046FA"/>
    <w:rsid w:val="00504CEE"/>
    <w:rsid w:val="00504D66"/>
    <w:rsid w:val="005050B9"/>
    <w:rsid w:val="00505191"/>
    <w:rsid w:val="00505EB9"/>
    <w:rsid w:val="00506074"/>
    <w:rsid w:val="0050625A"/>
    <w:rsid w:val="0050723F"/>
    <w:rsid w:val="005072CE"/>
    <w:rsid w:val="00507555"/>
    <w:rsid w:val="00507FD3"/>
    <w:rsid w:val="00510AF1"/>
    <w:rsid w:val="005113D7"/>
    <w:rsid w:val="005116BA"/>
    <w:rsid w:val="00512314"/>
    <w:rsid w:val="0051244D"/>
    <w:rsid w:val="0051261E"/>
    <w:rsid w:val="00513671"/>
    <w:rsid w:val="00513E38"/>
    <w:rsid w:val="00515055"/>
    <w:rsid w:val="0051553A"/>
    <w:rsid w:val="00515ED4"/>
    <w:rsid w:val="005172DC"/>
    <w:rsid w:val="005172F5"/>
    <w:rsid w:val="00521B22"/>
    <w:rsid w:val="00522714"/>
    <w:rsid w:val="00523618"/>
    <w:rsid w:val="00524D34"/>
    <w:rsid w:val="005255B8"/>
    <w:rsid w:val="0052562F"/>
    <w:rsid w:val="00525A3C"/>
    <w:rsid w:val="00527115"/>
    <w:rsid w:val="0052749E"/>
    <w:rsid w:val="00527F7D"/>
    <w:rsid w:val="0053027E"/>
    <w:rsid w:val="00530461"/>
    <w:rsid w:val="0053114F"/>
    <w:rsid w:val="00531638"/>
    <w:rsid w:val="0053177B"/>
    <w:rsid w:val="00532397"/>
    <w:rsid w:val="00532675"/>
    <w:rsid w:val="005335F9"/>
    <w:rsid w:val="00533755"/>
    <w:rsid w:val="00533B82"/>
    <w:rsid w:val="005343D4"/>
    <w:rsid w:val="00535FFE"/>
    <w:rsid w:val="005361D2"/>
    <w:rsid w:val="00536869"/>
    <w:rsid w:val="00536B13"/>
    <w:rsid w:val="00537C48"/>
    <w:rsid w:val="00537E50"/>
    <w:rsid w:val="0054014D"/>
    <w:rsid w:val="00540643"/>
    <w:rsid w:val="00540960"/>
    <w:rsid w:val="00540A14"/>
    <w:rsid w:val="00540D91"/>
    <w:rsid w:val="0054121E"/>
    <w:rsid w:val="00541362"/>
    <w:rsid w:val="00541DE6"/>
    <w:rsid w:val="00542098"/>
    <w:rsid w:val="005434C7"/>
    <w:rsid w:val="00544080"/>
    <w:rsid w:val="00544486"/>
    <w:rsid w:val="00545783"/>
    <w:rsid w:val="00546688"/>
    <w:rsid w:val="00550639"/>
    <w:rsid w:val="00550AEC"/>
    <w:rsid w:val="005519FD"/>
    <w:rsid w:val="00551A24"/>
    <w:rsid w:val="00552F73"/>
    <w:rsid w:val="00553EB3"/>
    <w:rsid w:val="00553FB4"/>
    <w:rsid w:val="00554792"/>
    <w:rsid w:val="00554C3F"/>
    <w:rsid w:val="005550D2"/>
    <w:rsid w:val="00555DB0"/>
    <w:rsid w:val="00555E2C"/>
    <w:rsid w:val="005564DA"/>
    <w:rsid w:val="00557C4F"/>
    <w:rsid w:val="00557E38"/>
    <w:rsid w:val="005606BD"/>
    <w:rsid w:val="00560B23"/>
    <w:rsid w:val="005614B8"/>
    <w:rsid w:val="005618F7"/>
    <w:rsid w:val="00561EDC"/>
    <w:rsid w:val="0056336D"/>
    <w:rsid w:val="005635AE"/>
    <w:rsid w:val="005642E8"/>
    <w:rsid w:val="005648AF"/>
    <w:rsid w:val="00564F9B"/>
    <w:rsid w:val="00565234"/>
    <w:rsid w:val="005654EE"/>
    <w:rsid w:val="00565793"/>
    <w:rsid w:val="00565819"/>
    <w:rsid w:val="005658D8"/>
    <w:rsid w:val="00567D1D"/>
    <w:rsid w:val="00570038"/>
    <w:rsid w:val="00570EB5"/>
    <w:rsid w:val="005733DC"/>
    <w:rsid w:val="0057344F"/>
    <w:rsid w:val="00573BC4"/>
    <w:rsid w:val="005742B0"/>
    <w:rsid w:val="00574C61"/>
    <w:rsid w:val="0057554D"/>
    <w:rsid w:val="00575771"/>
    <w:rsid w:val="00575B32"/>
    <w:rsid w:val="00575F9D"/>
    <w:rsid w:val="005776D4"/>
    <w:rsid w:val="00577A7E"/>
    <w:rsid w:val="00577BD3"/>
    <w:rsid w:val="00577C24"/>
    <w:rsid w:val="00577F7E"/>
    <w:rsid w:val="00581BE1"/>
    <w:rsid w:val="0058466F"/>
    <w:rsid w:val="005846E8"/>
    <w:rsid w:val="005846F6"/>
    <w:rsid w:val="00584773"/>
    <w:rsid w:val="00585BCC"/>
    <w:rsid w:val="00585D71"/>
    <w:rsid w:val="00586247"/>
    <w:rsid w:val="00586276"/>
    <w:rsid w:val="00587ACA"/>
    <w:rsid w:val="00587EBE"/>
    <w:rsid w:val="0059017C"/>
    <w:rsid w:val="00590FBA"/>
    <w:rsid w:val="005913D6"/>
    <w:rsid w:val="005915CE"/>
    <w:rsid w:val="005917B8"/>
    <w:rsid w:val="0059227C"/>
    <w:rsid w:val="00592F1E"/>
    <w:rsid w:val="005932A2"/>
    <w:rsid w:val="005935C2"/>
    <w:rsid w:val="00594561"/>
    <w:rsid w:val="005973B2"/>
    <w:rsid w:val="0059798D"/>
    <w:rsid w:val="005979C2"/>
    <w:rsid w:val="00597A51"/>
    <w:rsid w:val="00597ED7"/>
    <w:rsid w:val="005A0FA5"/>
    <w:rsid w:val="005A0FDB"/>
    <w:rsid w:val="005A10A8"/>
    <w:rsid w:val="005A1828"/>
    <w:rsid w:val="005A2142"/>
    <w:rsid w:val="005A2867"/>
    <w:rsid w:val="005A3ED4"/>
    <w:rsid w:val="005A436D"/>
    <w:rsid w:val="005A4CE4"/>
    <w:rsid w:val="005A4DF7"/>
    <w:rsid w:val="005A59A0"/>
    <w:rsid w:val="005A5A7C"/>
    <w:rsid w:val="005A6F97"/>
    <w:rsid w:val="005B0A8F"/>
    <w:rsid w:val="005B0B8A"/>
    <w:rsid w:val="005B119A"/>
    <w:rsid w:val="005B1B2D"/>
    <w:rsid w:val="005B2959"/>
    <w:rsid w:val="005B2D8C"/>
    <w:rsid w:val="005B2EB0"/>
    <w:rsid w:val="005B32A1"/>
    <w:rsid w:val="005B3755"/>
    <w:rsid w:val="005B37FE"/>
    <w:rsid w:val="005B3DFE"/>
    <w:rsid w:val="005B542D"/>
    <w:rsid w:val="005B550F"/>
    <w:rsid w:val="005B5AA0"/>
    <w:rsid w:val="005B670C"/>
    <w:rsid w:val="005B72C3"/>
    <w:rsid w:val="005B7C2C"/>
    <w:rsid w:val="005B7D2A"/>
    <w:rsid w:val="005C0892"/>
    <w:rsid w:val="005C1180"/>
    <w:rsid w:val="005C13A4"/>
    <w:rsid w:val="005C1943"/>
    <w:rsid w:val="005C19BE"/>
    <w:rsid w:val="005C2941"/>
    <w:rsid w:val="005C2E38"/>
    <w:rsid w:val="005C3061"/>
    <w:rsid w:val="005C3093"/>
    <w:rsid w:val="005C4734"/>
    <w:rsid w:val="005C476B"/>
    <w:rsid w:val="005C49A1"/>
    <w:rsid w:val="005C56E2"/>
    <w:rsid w:val="005C5B61"/>
    <w:rsid w:val="005C6242"/>
    <w:rsid w:val="005C726F"/>
    <w:rsid w:val="005C7E8B"/>
    <w:rsid w:val="005D06ED"/>
    <w:rsid w:val="005D0969"/>
    <w:rsid w:val="005D106E"/>
    <w:rsid w:val="005D1417"/>
    <w:rsid w:val="005D23F4"/>
    <w:rsid w:val="005D2C4A"/>
    <w:rsid w:val="005D2CF0"/>
    <w:rsid w:val="005D49F8"/>
    <w:rsid w:val="005D4AB9"/>
    <w:rsid w:val="005D5082"/>
    <w:rsid w:val="005D57B4"/>
    <w:rsid w:val="005D6043"/>
    <w:rsid w:val="005D73EE"/>
    <w:rsid w:val="005E0022"/>
    <w:rsid w:val="005E0985"/>
    <w:rsid w:val="005E1057"/>
    <w:rsid w:val="005E15C3"/>
    <w:rsid w:val="005E1785"/>
    <w:rsid w:val="005E1804"/>
    <w:rsid w:val="005E1CA3"/>
    <w:rsid w:val="005E1E9D"/>
    <w:rsid w:val="005E1FB0"/>
    <w:rsid w:val="005E2B40"/>
    <w:rsid w:val="005E2D8B"/>
    <w:rsid w:val="005E3A40"/>
    <w:rsid w:val="005E53E6"/>
    <w:rsid w:val="005E54AA"/>
    <w:rsid w:val="005E5992"/>
    <w:rsid w:val="005E799F"/>
    <w:rsid w:val="005E7AF1"/>
    <w:rsid w:val="005E7FCB"/>
    <w:rsid w:val="005F0A6B"/>
    <w:rsid w:val="005F1428"/>
    <w:rsid w:val="005F14CB"/>
    <w:rsid w:val="005F1C03"/>
    <w:rsid w:val="005F1F65"/>
    <w:rsid w:val="005F22D5"/>
    <w:rsid w:val="005F2DC5"/>
    <w:rsid w:val="005F3920"/>
    <w:rsid w:val="005F3D50"/>
    <w:rsid w:val="005F4134"/>
    <w:rsid w:val="005F426C"/>
    <w:rsid w:val="005F42E1"/>
    <w:rsid w:val="005F5038"/>
    <w:rsid w:val="005F51CC"/>
    <w:rsid w:val="005F5507"/>
    <w:rsid w:val="005F59D9"/>
    <w:rsid w:val="005F5AC3"/>
    <w:rsid w:val="005F63DD"/>
    <w:rsid w:val="005F7A61"/>
    <w:rsid w:val="005F7FF5"/>
    <w:rsid w:val="006005E4"/>
    <w:rsid w:val="00600626"/>
    <w:rsid w:val="00600C85"/>
    <w:rsid w:val="006018B6"/>
    <w:rsid w:val="00601A4F"/>
    <w:rsid w:val="00601F83"/>
    <w:rsid w:val="00601F92"/>
    <w:rsid w:val="0060339B"/>
    <w:rsid w:val="006034EB"/>
    <w:rsid w:val="006034FE"/>
    <w:rsid w:val="006047C8"/>
    <w:rsid w:val="00605D27"/>
    <w:rsid w:val="0060677E"/>
    <w:rsid w:val="00606DA4"/>
    <w:rsid w:val="00607A00"/>
    <w:rsid w:val="00610D57"/>
    <w:rsid w:val="0061108E"/>
    <w:rsid w:val="00611473"/>
    <w:rsid w:val="00612260"/>
    <w:rsid w:val="00615792"/>
    <w:rsid w:val="00615B2E"/>
    <w:rsid w:val="00616663"/>
    <w:rsid w:val="0061685B"/>
    <w:rsid w:val="00616A55"/>
    <w:rsid w:val="00617B31"/>
    <w:rsid w:val="0062039C"/>
    <w:rsid w:val="00620827"/>
    <w:rsid w:val="006210CA"/>
    <w:rsid w:val="006225F9"/>
    <w:rsid w:val="006228B8"/>
    <w:rsid w:val="006242FC"/>
    <w:rsid w:val="00624AF9"/>
    <w:rsid w:val="00624ECA"/>
    <w:rsid w:val="006252ED"/>
    <w:rsid w:val="0062534F"/>
    <w:rsid w:val="00625DE5"/>
    <w:rsid w:val="00626651"/>
    <w:rsid w:val="00626B26"/>
    <w:rsid w:val="00626B5F"/>
    <w:rsid w:val="00626D7A"/>
    <w:rsid w:val="00627675"/>
    <w:rsid w:val="006277F8"/>
    <w:rsid w:val="006278D6"/>
    <w:rsid w:val="00627B72"/>
    <w:rsid w:val="0063051D"/>
    <w:rsid w:val="006308F8"/>
    <w:rsid w:val="00630ABC"/>
    <w:rsid w:val="00631E85"/>
    <w:rsid w:val="00631F5A"/>
    <w:rsid w:val="00632408"/>
    <w:rsid w:val="006339ED"/>
    <w:rsid w:val="00633BFB"/>
    <w:rsid w:val="00634DDE"/>
    <w:rsid w:val="00636036"/>
    <w:rsid w:val="0063605A"/>
    <w:rsid w:val="00640AEE"/>
    <w:rsid w:val="00640BC2"/>
    <w:rsid w:val="00640E32"/>
    <w:rsid w:val="00642193"/>
    <w:rsid w:val="0064394C"/>
    <w:rsid w:val="00644438"/>
    <w:rsid w:val="00644709"/>
    <w:rsid w:val="006449D0"/>
    <w:rsid w:val="0064510D"/>
    <w:rsid w:val="00645C43"/>
    <w:rsid w:val="00646ABE"/>
    <w:rsid w:val="0064727A"/>
    <w:rsid w:val="006508A6"/>
    <w:rsid w:val="00651622"/>
    <w:rsid w:val="00651E81"/>
    <w:rsid w:val="006529F8"/>
    <w:rsid w:val="00652C01"/>
    <w:rsid w:val="00652D05"/>
    <w:rsid w:val="00653F70"/>
    <w:rsid w:val="0065506D"/>
    <w:rsid w:val="006568F2"/>
    <w:rsid w:val="006570D0"/>
    <w:rsid w:val="00657762"/>
    <w:rsid w:val="00657A70"/>
    <w:rsid w:val="00657F37"/>
    <w:rsid w:val="0066068E"/>
    <w:rsid w:val="00661E25"/>
    <w:rsid w:val="0066288A"/>
    <w:rsid w:val="00662AED"/>
    <w:rsid w:val="00662B58"/>
    <w:rsid w:val="00662E2D"/>
    <w:rsid w:val="0066647D"/>
    <w:rsid w:val="006669DE"/>
    <w:rsid w:val="00666DED"/>
    <w:rsid w:val="006674F9"/>
    <w:rsid w:val="0066755A"/>
    <w:rsid w:val="00667CA3"/>
    <w:rsid w:val="00670085"/>
    <w:rsid w:val="006704FA"/>
    <w:rsid w:val="00670FC9"/>
    <w:rsid w:val="0067127A"/>
    <w:rsid w:val="00671976"/>
    <w:rsid w:val="00671D06"/>
    <w:rsid w:val="00672E90"/>
    <w:rsid w:val="00674514"/>
    <w:rsid w:val="0067493E"/>
    <w:rsid w:val="00674DB0"/>
    <w:rsid w:val="00674F7E"/>
    <w:rsid w:val="006768B9"/>
    <w:rsid w:val="00676B3E"/>
    <w:rsid w:val="00676C28"/>
    <w:rsid w:val="00676EC3"/>
    <w:rsid w:val="006774D3"/>
    <w:rsid w:val="00677EAC"/>
    <w:rsid w:val="00681276"/>
    <w:rsid w:val="0068156F"/>
    <w:rsid w:val="006823A4"/>
    <w:rsid w:val="00682901"/>
    <w:rsid w:val="00683326"/>
    <w:rsid w:val="006837E3"/>
    <w:rsid w:val="00683E91"/>
    <w:rsid w:val="00684401"/>
    <w:rsid w:val="00684413"/>
    <w:rsid w:val="006848BE"/>
    <w:rsid w:val="00684F07"/>
    <w:rsid w:val="0068549D"/>
    <w:rsid w:val="006856D2"/>
    <w:rsid w:val="00686292"/>
    <w:rsid w:val="0068638C"/>
    <w:rsid w:val="0068646C"/>
    <w:rsid w:val="0068692F"/>
    <w:rsid w:val="006873A6"/>
    <w:rsid w:val="006907F8"/>
    <w:rsid w:val="0069090B"/>
    <w:rsid w:val="00690E18"/>
    <w:rsid w:val="00690EA3"/>
    <w:rsid w:val="00691098"/>
    <w:rsid w:val="00691A72"/>
    <w:rsid w:val="00691DB3"/>
    <w:rsid w:val="006921AE"/>
    <w:rsid w:val="00692231"/>
    <w:rsid w:val="006922EF"/>
    <w:rsid w:val="0069244C"/>
    <w:rsid w:val="00692618"/>
    <w:rsid w:val="00693328"/>
    <w:rsid w:val="006937B1"/>
    <w:rsid w:val="0069419B"/>
    <w:rsid w:val="00694A37"/>
    <w:rsid w:val="006950DE"/>
    <w:rsid w:val="00696047"/>
    <w:rsid w:val="006A0685"/>
    <w:rsid w:val="006A06F4"/>
    <w:rsid w:val="006A0EAC"/>
    <w:rsid w:val="006A180F"/>
    <w:rsid w:val="006A1D14"/>
    <w:rsid w:val="006A1E67"/>
    <w:rsid w:val="006A1EEF"/>
    <w:rsid w:val="006A2EB0"/>
    <w:rsid w:val="006A2EC0"/>
    <w:rsid w:val="006A311D"/>
    <w:rsid w:val="006A36D8"/>
    <w:rsid w:val="006A4C9D"/>
    <w:rsid w:val="006A55BC"/>
    <w:rsid w:val="006A6550"/>
    <w:rsid w:val="006A7151"/>
    <w:rsid w:val="006A7332"/>
    <w:rsid w:val="006B1E95"/>
    <w:rsid w:val="006B2395"/>
    <w:rsid w:val="006B3B33"/>
    <w:rsid w:val="006B49FD"/>
    <w:rsid w:val="006B4F9D"/>
    <w:rsid w:val="006B5037"/>
    <w:rsid w:val="006B6621"/>
    <w:rsid w:val="006B6851"/>
    <w:rsid w:val="006C0001"/>
    <w:rsid w:val="006C0A13"/>
    <w:rsid w:val="006C0E09"/>
    <w:rsid w:val="006C1CAA"/>
    <w:rsid w:val="006C2B01"/>
    <w:rsid w:val="006C38C6"/>
    <w:rsid w:val="006C3A2E"/>
    <w:rsid w:val="006C40A6"/>
    <w:rsid w:val="006C4B44"/>
    <w:rsid w:val="006C5BFC"/>
    <w:rsid w:val="006C5C20"/>
    <w:rsid w:val="006C5CA0"/>
    <w:rsid w:val="006C60C7"/>
    <w:rsid w:val="006C62F3"/>
    <w:rsid w:val="006C7058"/>
    <w:rsid w:val="006C76BF"/>
    <w:rsid w:val="006C7B98"/>
    <w:rsid w:val="006D050E"/>
    <w:rsid w:val="006D0631"/>
    <w:rsid w:val="006D0889"/>
    <w:rsid w:val="006D091A"/>
    <w:rsid w:val="006D1A85"/>
    <w:rsid w:val="006D24EB"/>
    <w:rsid w:val="006D2848"/>
    <w:rsid w:val="006D3087"/>
    <w:rsid w:val="006D3E1C"/>
    <w:rsid w:val="006D3EA5"/>
    <w:rsid w:val="006D4A08"/>
    <w:rsid w:val="006D5365"/>
    <w:rsid w:val="006D65DD"/>
    <w:rsid w:val="006D6BB9"/>
    <w:rsid w:val="006D6E9F"/>
    <w:rsid w:val="006D6FB1"/>
    <w:rsid w:val="006D740C"/>
    <w:rsid w:val="006D7B0D"/>
    <w:rsid w:val="006E0D84"/>
    <w:rsid w:val="006E19E8"/>
    <w:rsid w:val="006E298B"/>
    <w:rsid w:val="006E316A"/>
    <w:rsid w:val="006E3177"/>
    <w:rsid w:val="006E4399"/>
    <w:rsid w:val="006E4685"/>
    <w:rsid w:val="006E4DBF"/>
    <w:rsid w:val="006E4F73"/>
    <w:rsid w:val="006E59FF"/>
    <w:rsid w:val="006E6863"/>
    <w:rsid w:val="006E68FB"/>
    <w:rsid w:val="006E6D76"/>
    <w:rsid w:val="006E6E81"/>
    <w:rsid w:val="006E6F1C"/>
    <w:rsid w:val="006E7145"/>
    <w:rsid w:val="006E7F8D"/>
    <w:rsid w:val="006F1A20"/>
    <w:rsid w:val="006F2521"/>
    <w:rsid w:val="006F39A5"/>
    <w:rsid w:val="006F4968"/>
    <w:rsid w:val="006F5DE0"/>
    <w:rsid w:val="006F5F82"/>
    <w:rsid w:val="006F5F8C"/>
    <w:rsid w:val="006F6260"/>
    <w:rsid w:val="006F65FC"/>
    <w:rsid w:val="006F6AB1"/>
    <w:rsid w:val="006F7669"/>
    <w:rsid w:val="00700371"/>
    <w:rsid w:val="0070069E"/>
    <w:rsid w:val="007009FB"/>
    <w:rsid w:val="00701875"/>
    <w:rsid w:val="007018C1"/>
    <w:rsid w:val="00702448"/>
    <w:rsid w:val="00702E5E"/>
    <w:rsid w:val="00703053"/>
    <w:rsid w:val="0070355A"/>
    <w:rsid w:val="0070399F"/>
    <w:rsid w:val="00703ECF"/>
    <w:rsid w:val="00704600"/>
    <w:rsid w:val="00704D5C"/>
    <w:rsid w:val="00705BD0"/>
    <w:rsid w:val="0070607E"/>
    <w:rsid w:val="00712031"/>
    <w:rsid w:val="00712D8E"/>
    <w:rsid w:val="007135C5"/>
    <w:rsid w:val="0071413C"/>
    <w:rsid w:val="00714621"/>
    <w:rsid w:val="00714C6E"/>
    <w:rsid w:val="00714E0C"/>
    <w:rsid w:val="00714E81"/>
    <w:rsid w:val="00715205"/>
    <w:rsid w:val="00715301"/>
    <w:rsid w:val="007153C6"/>
    <w:rsid w:val="00715B06"/>
    <w:rsid w:val="007162DD"/>
    <w:rsid w:val="00716B15"/>
    <w:rsid w:val="007177C3"/>
    <w:rsid w:val="0071786B"/>
    <w:rsid w:val="007178D6"/>
    <w:rsid w:val="0072045D"/>
    <w:rsid w:val="0072059B"/>
    <w:rsid w:val="00720AEB"/>
    <w:rsid w:val="007219A8"/>
    <w:rsid w:val="007220AE"/>
    <w:rsid w:val="0072244E"/>
    <w:rsid w:val="0072275C"/>
    <w:rsid w:val="00722C86"/>
    <w:rsid w:val="0072316D"/>
    <w:rsid w:val="00723179"/>
    <w:rsid w:val="00723827"/>
    <w:rsid w:val="00723F72"/>
    <w:rsid w:val="00724085"/>
    <w:rsid w:val="00724104"/>
    <w:rsid w:val="0072546B"/>
    <w:rsid w:val="00725942"/>
    <w:rsid w:val="00725DE5"/>
    <w:rsid w:val="00726919"/>
    <w:rsid w:val="00726947"/>
    <w:rsid w:val="00726F1B"/>
    <w:rsid w:val="0072722F"/>
    <w:rsid w:val="00727FD3"/>
    <w:rsid w:val="007305B2"/>
    <w:rsid w:val="0073086C"/>
    <w:rsid w:val="00732575"/>
    <w:rsid w:val="00733069"/>
    <w:rsid w:val="00733D33"/>
    <w:rsid w:val="00734857"/>
    <w:rsid w:val="00734939"/>
    <w:rsid w:val="00735397"/>
    <w:rsid w:val="0073604D"/>
    <w:rsid w:val="00736306"/>
    <w:rsid w:val="0073792F"/>
    <w:rsid w:val="00737B6F"/>
    <w:rsid w:val="00737D18"/>
    <w:rsid w:val="00740CF3"/>
    <w:rsid w:val="00740E1D"/>
    <w:rsid w:val="007416B5"/>
    <w:rsid w:val="007416D0"/>
    <w:rsid w:val="00742AA2"/>
    <w:rsid w:val="00742E7D"/>
    <w:rsid w:val="00743781"/>
    <w:rsid w:val="0074478D"/>
    <w:rsid w:val="00745892"/>
    <w:rsid w:val="00745EB2"/>
    <w:rsid w:val="00745F43"/>
    <w:rsid w:val="007470BA"/>
    <w:rsid w:val="00750431"/>
    <w:rsid w:val="00751242"/>
    <w:rsid w:val="007517C8"/>
    <w:rsid w:val="00752A9E"/>
    <w:rsid w:val="0075329B"/>
    <w:rsid w:val="00753728"/>
    <w:rsid w:val="00753EB1"/>
    <w:rsid w:val="00754018"/>
    <w:rsid w:val="00754744"/>
    <w:rsid w:val="00755346"/>
    <w:rsid w:val="00755400"/>
    <w:rsid w:val="0075643C"/>
    <w:rsid w:val="00756BC4"/>
    <w:rsid w:val="00757579"/>
    <w:rsid w:val="0076175F"/>
    <w:rsid w:val="0076180D"/>
    <w:rsid w:val="00762338"/>
    <w:rsid w:val="007628CF"/>
    <w:rsid w:val="007628EA"/>
    <w:rsid w:val="00763D6F"/>
    <w:rsid w:val="00764555"/>
    <w:rsid w:val="0076495D"/>
    <w:rsid w:val="00765413"/>
    <w:rsid w:val="0076542B"/>
    <w:rsid w:val="00766405"/>
    <w:rsid w:val="0076715F"/>
    <w:rsid w:val="007679CF"/>
    <w:rsid w:val="00767D1B"/>
    <w:rsid w:val="00770422"/>
    <w:rsid w:val="00771497"/>
    <w:rsid w:val="007714B7"/>
    <w:rsid w:val="007716C2"/>
    <w:rsid w:val="00772B01"/>
    <w:rsid w:val="00772BB5"/>
    <w:rsid w:val="007730D0"/>
    <w:rsid w:val="00773284"/>
    <w:rsid w:val="00773B98"/>
    <w:rsid w:val="007743D1"/>
    <w:rsid w:val="00775FA6"/>
    <w:rsid w:val="00776288"/>
    <w:rsid w:val="00777E31"/>
    <w:rsid w:val="0078014A"/>
    <w:rsid w:val="00780214"/>
    <w:rsid w:val="00780681"/>
    <w:rsid w:val="0078068F"/>
    <w:rsid w:val="007808DE"/>
    <w:rsid w:val="00780CB1"/>
    <w:rsid w:val="007811D0"/>
    <w:rsid w:val="0078131C"/>
    <w:rsid w:val="007827BE"/>
    <w:rsid w:val="0078298F"/>
    <w:rsid w:val="00782EF2"/>
    <w:rsid w:val="007832FC"/>
    <w:rsid w:val="00783D2A"/>
    <w:rsid w:val="0078403A"/>
    <w:rsid w:val="0078439F"/>
    <w:rsid w:val="00785859"/>
    <w:rsid w:val="00786941"/>
    <w:rsid w:val="00787230"/>
    <w:rsid w:val="007908E7"/>
    <w:rsid w:val="00790C87"/>
    <w:rsid w:val="00791349"/>
    <w:rsid w:val="00791855"/>
    <w:rsid w:val="00792790"/>
    <w:rsid w:val="007928B2"/>
    <w:rsid w:val="007930F2"/>
    <w:rsid w:val="007932C6"/>
    <w:rsid w:val="00793FED"/>
    <w:rsid w:val="00795011"/>
    <w:rsid w:val="00795928"/>
    <w:rsid w:val="00795BFE"/>
    <w:rsid w:val="007960A8"/>
    <w:rsid w:val="007962F3"/>
    <w:rsid w:val="0079674B"/>
    <w:rsid w:val="00796A83"/>
    <w:rsid w:val="00796C65"/>
    <w:rsid w:val="00797079"/>
    <w:rsid w:val="007A0E32"/>
    <w:rsid w:val="007A1025"/>
    <w:rsid w:val="007A12D2"/>
    <w:rsid w:val="007A1AC6"/>
    <w:rsid w:val="007A221C"/>
    <w:rsid w:val="007A4E53"/>
    <w:rsid w:val="007A5286"/>
    <w:rsid w:val="007A7166"/>
    <w:rsid w:val="007A73D9"/>
    <w:rsid w:val="007A7B19"/>
    <w:rsid w:val="007B178F"/>
    <w:rsid w:val="007B2420"/>
    <w:rsid w:val="007B2A5A"/>
    <w:rsid w:val="007B30C0"/>
    <w:rsid w:val="007B30C4"/>
    <w:rsid w:val="007B39CE"/>
    <w:rsid w:val="007B3A76"/>
    <w:rsid w:val="007B4030"/>
    <w:rsid w:val="007B5F62"/>
    <w:rsid w:val="007B6579"/>
    <w:rsid w:val="007B6654"/>
    <w:rsid w:val="007B69D6"/>
    <w:rsid w:val="007B706E"/>
    <w:rsid w:val="007B713B"/>
    <w:rsid w:val="007B7368"/>
    <w:rsid w:val="007B73A9"/>
    <w:rsid w:val="007B78FA"/>
    <w:rsid w:val="007B7B78"/>
    <w:rsid w:val="007B7BBC"/>
    <w:rsid w:val="007C0830"/>
    <w:rsid w:val="007C1D0E"/>
    <w:rsid w:val="007C2CC7"/>
    <w:rsid w:val="007C305B"/>
    <w:rsid w:val="007C341E"/>
    <w:rsid w:val="007C358E"/>
    <w:rsid w:val="007C362E"/>
    <w:rsid w:val="007C3AC0"/>
    <w:rsid w:val="007C43D8"/>
    <w:rsid w:val="007C43FF"/>
    <w:rsid w:val="007C691B"/>
    <w:rsid w:val="007C6A59"/>
    <w:rsid w:val="007C6B97"/>
    <w:rsid w:val="007C7512"/>
    <w:rsid w:val="007C763E"/>
    <w:rsid w:val="007D06DB"/>
    <w:rsid w:val="007D10E6"/>
    <w:rsid w:val="007D10F4"/>
    <w:rsid w:val="007D21A4"/>
    <w:rsid w:val="007D29CF"/>
    <w:rsid w:val="007D2C7E"/>
    <w:rsid w:val="007D4491"/>
    <w:rsid w:val="007D46DE"/>
    <w:rsid w:val="007D4D7D"/>
    <w:rsid w:val="007D59F0"/>
    <w:rsid w:val="007D6FDE"/>
    <w:rsid w:val="007D7090"/>
    <w:rsid w:val="007D72FA"/>
    <w:rsid w:val="007D75B0"/>
    <w:rsid w:val="007D7D1E"/>
    <w:rsid w:val="007E078A"/>
    <w:rsid w:val="007E3C0D"/>
    <w:rsid w:val="007E3ED0"/>
    <w:rsid w:val="007E4633"/>
    <w:rsid w:val="007E4AAE"/>
    <w:rsid w:val="007E4B12"/>
    <w:rsid w:val="007E51D9"/>
    <w:rsid w:val="007E5CD9"/>
    <w:rsid w:val="007E5D45"/>
    <w:rsid w:val="007E6794"/>
    <w:rsid w:val="007E698E"/>
    <w:rsid w:val="007E6B44"/>
    <w:rsid w:val="007E7B84"/>
    <w:rsid w:val="007F06B5"/>
    <w:rsid w:val="007F2267"/>
    <w:rsid w:val="007F2379"/>
    <w:rsid w:val="007F4151"/>
    <w:rsid w:val="007F50B4"/>
    <w:rsid w:val="007F71A4"/>
    <w:rsid w:val="007F75EE"/>
    <w:rsid w:val="007F789A"/>
    <w:rsid w:val="007F7ACA"/>
    <w:rsid w:val="00800C1D"/>
    <w:rsid w:val="008012B3"/>
    <w:rsid w:val="008012E6"/>
    <w:rsid w:val="00801FA7"/>
    <w:rsid w:val="0080230A"/>
    <w:rsid w:val="00802CFF"/>
    <w:rsid w:val="00803B51"/>
    <w:rsid w:val="00803BE0"/>
    <w:rsid w:val="00803F5C"/>
    <w:rsid w:val="008049B3"/>
    <w:rsid w:val="00804E7B"/>
    <w:rsid w:val="00805CF2"/>
    <w:rsid w:val="008061A7"/>
    <w:rsid w:val="00806568"/>
    <w:rsid w:val="00806777"/>
    <w:rsid w:val="008068F2"/>
    <w:rsid w:val="00806CB5"/>
    <w:rsid w:val="00807081"/>
    <w:rsid w:val="008077FE"/>
    <w:rsid w:val="00807DD1"/>
    <w:rsid w:val="00810E01"/>
    <w:rsid w:val="00811A87"/>
    <w:rsid w:val="00811C5C"/>
    <w:rsid w:val="008122BF"/>
    <w:rsid w:val="0081241E"/>
    <w:rsid w:val="0081321E"/>
    <w:rsid w:val="0081362D"/>
    <w:rsid w:val="008139B2"/>
    <w:rsid w:val="00814F0B"/>
    <w:rsid w:val="00816167"/>
    <w:rsid w:val="008162CD"/>
    <w:rsid w:val="00816914"/>
    <w:rsid w:val="00816CAE"/>
    <w:rsid w:val="00817827"/>
    <w:rsid w:val="008200A9"/>
    <w:rsid w:val="00820361"/>
    <w:rsid w:val="00820DF7"/>
    <w:rsid w:val="00821C2B"/>
    <w:rsid w:val="0082209F"/>
    <w:rsid w:val="00822971"/>
    <w:rsid w:val="00822A74"/>
    <w:rsid w:val="00824568"/>
    <w:rsid w:val="0082483F"/>
    <w:rsid w:val="00824BB3"/>
    <w:rsid w:val="00825707"/>
    <w:rsid w:val="00825E32"/>
    <w:rsid w:val="00826A45"/>
    <w:rsid w:val="0083072E"/>
    <w:rsid w:val="008308ED"/>
    <w:rsid w:val="00830C5B"/>
    <w:rsid w:val="00831043"/>
    <w:rsid w:val="008314C6"/>
    <w:rsid w:val="00831597"/>
    <w:rsid w:val="00831A63"/>
    <w:rsid w:val="00831BF2"/>
    <w:rsid w:val="00831DA3"/>
    <w:rsid w:val="00832103"/>
    <w:rsid w:val="00832145"/>
    <w:rsid w:val="00832C5D"/>
    <w:rsid w:val="00832E9A"/>
    <w:rsid w:val="00833EC7"/>
    <w:rsid w:val="0083432B"/>
    <w:rsid w:val="00834BEE"/>
    <w:rsid w:val="008351E4"/>
    <w:rsid w:val="00836233"/>
    <w:rsid w:val="00836A62"/>
    <w:rsid w:val="00836BD2"/>
    <w:rsid w:val="00836CDF"/>
    <w:rsid w:val="0083725B"/>
    <w:rsid w:val="00837ED2"/>
    <w:rsid w:val="00841B97"/>
    <w:rsid w:val="008421E7"/>
    <w:rsid w:val="008425EB"/>
    <w:rsid w:val="00842D26"/>
    <w:rsid w:val="008434BC"/>
    <w:rsid w:val="00843EBD"/>
    <w:rsid w:val="00844DF6"/>
    <w:rsid w:val="00845DBE"/>
    <w:rsid w:val="00845DF9"/>
    <w:rsid w:val="00846591"/>
    <w:rsid w:val="00846D0A"/>
    <w:rsid w:val="00847553"/>
    <w:rsid w:val="00847C58"/>
    <w:rsid w:val="0085243D"/>
    <w:rsid w:val="0085252A"/>
    <w:rsid w:val="00852601"/>
    <w:rsid w:val="00852AF9"/>
    <w:rsid w:val="00853709"/>
    <w:rsid w:val="0085426D"/>
    <w:rsid w:val="008542A3"/>
    <w:rsid w:val="00854A1C"/>
    <w:rsid w:val="00855138"/>
    <w:rsid w:val="0085533A"/>
    <w:rsid w:val="008553A6"/>
    <w:rsid w:val="00855C7D"/>
    <w:rsid w:val="00855DE7"/>
    <w:rsid w:val="00855FE6"/>
    <w:rsid w:val="0085691D"/>
    <w:rsid w:val="008571FD"/>
    <w:rsid w:val="00857710"/>
    <w:rsid w:val="0086069C"/>
    <w:rsid w:val="00861291"/>
    <w:rsid w:val="00861DE3"/>
    <w:rsid w:val="00862A91"/>
    <w:rsid w:val="00862DC6"/>
    <w:rsid w:val="008638CB"/>
    <w:rsid w:val="00864103"/>
    <w:rsid w:val="00866055"/>
    <w:rsid w:val="008668A0"/>
    <w:rsid w:val="008670C4"/>
    <w:rsid w:val="008678A1"/>
    <w:rsid w:val="00867DE5"/>
    <w:rsid w:val="008702D3"/>
    <w:rsid w:val="00870331"/>
    <w:rsid w:val="00870CAB"/>
    <w:rsid w:val="0087150F"/>
    <w:rsid w:val="00871F76"/>
    <w:rsid w:val="0087205F"/>
    <w:rsid w:val="00872D29"/>
    <w:rsid w:val="00873845"/>
    <w:rsid w:val="00873953"/>
    <w:rsid w:val="00873C65"/>
    <w:rsid w:val="00875455"/>
    <w:rsid w:val="00875A47"/>
    <w:rsid w:val="00876253"/>
    <w:rsid w:val="00876828"/>
    <w:rsid w:val="008774E2"/>
    <w:rsid w:val="00877F4E"/>
    <w:rsid w:val="00880042"/>
    <w:rsid w:val="00880193"/>
    <w:rsid w:val="008805AE"/>
    <w:rsid w:val="0088074C"/>
    <w:rsid w:val="00881B09"/>
    <w:rsid w:val="008821C8"/>
    <w:rsid w:val="008823CF"/>
    <w:rsid w:val="00883104"/>
    <w:rsid w:val="008840B4"/>
    <w:rsid w:val="00884B51"/>
    <w:rsid w:val="00885E36"/>
    <w:rsid w:val="0088668F"/>
    <w:rsid w:val="0088679C"/>
    <w:rsid w:val="00886B40"/>
    <w:rsid w:val="00886E70"/>
    <w:rsid w:val="00886E73"/>
    <w:rsid w:val="00886F68"/>
    <w:rsid w:val="008877F2"/>
    <w:rsid w:val="00887EA4"/>
    <w:rsid w:val="008900A0"/>
    <w:rsid w:val="00890B9E"/>
    <w:rsid w:val="008918C7"/>
    <w:rsid w:val="008921CC"/>
    <w:rsid w:val="00892480"/>
    <w:rsid w:val="00892490"/>
    <w:rsid w:val="0089285A"/>
    <w:rsid w:val="0089297B"/>
    <w:rsid w:val="0089320C"/>
    <w:rsid w:val="008939D3"/>
    <w:rsid w:val="00893E2F"/>
    <w:rsid w:val="00894711"/>
    <w:rsid w:val="00894FFE"/>
    <w:rsid w:val="00895696"/>
    <w:rsid w:val="00895A15"/>
    <w:rsid w:val="008971B8"/>
    <w:rsid w:val="00897BF9"/>
    <w:rsid w:val="008A1B35"/>
    <w:rsid w:val="008A2060"/>
    <w:rsid w:val="008A27BD"/>
    <w:rsid w:val="008A2B30"/>
    <w:rsid w:val="008A2FB3"/>
    <w:rsid w:val="008A364C"/>
    <w:rsid w:val="008A378D"/>
    <w:rsid w:val="008A4600"/>
    <w:rsid w:val="008A4882"/>
    <w:rsid w:val="008A4D98"/>
    <w:rsid w:val="008A58B2"/>
    <w:rsid w:val="008A6D8F"/>
    <w:rsid w:val="008A7B58"/>
    <w:rsid w:val="008B0B4E"/>
    <w:rsid w:val="008B0DED"/>
    <w:rsid w:val="008B1694"/>
    <w:rsid w:val="008B1738"/>
    <w:rsid w:val="008B2736"/>
    <w:rsid w:val="008B2A6D"/>
    <w:rsid w:val="008B30D7"/>
    <w:rsid w:val="008B3CC8"/>
    <w:rsid w:val="008B4D96"/>
    <w:rsid w:val="008B4EDC"/>
    <w:rsid w:val="008B526D"/>
    <w:rsid w:val="008B559D"/>
    <w:rsid w:val="008B57EE"/>
    <w:rsid w:val="008B5A7E"/>
    <w:rsid w:val="008B6C9C"/>
    <w:rsid w:val="008C0C88"/>
    <w:rsid w:val="008C1415"/>
    <w:rsid w:val="008C17B7"/>
    <w:rsid w:val="008C3A3B"/>
    <w:rsid w:val="008C4131"/>
    <w:rsid w:val="008C42AD"/>
    <w:rsid w:val="008C4828"/>
    <w:rsid w:val="008C4A17"/>
    <w:rsid w:val="008C55F6"/>
    <w:rsid w:val="008C5773"/>
    <w:rsid w:val="008C786C"/>
    <w:rsid w:val="008C7928"/>
    <w:rsid w:val="008C7C27"/>
    <w:rsid w:val="008C7D37"/>
    <w:rsid w:val="008C7E8C"/>
    <w:rsid w:val="008C7F35"/>
    <w:rsid w:val="008D065E"/>
    <w:rsid w:val="008D0D80"/>
    <w:rsid w:val="008D0DD1"/>
    <w:rsid w:val="008D0DD3"/>
    <w:rsid w:val="008D16D1"/>
    <w:rsid w:val="008D1D07"/>
    <w:rsid w:val="008D2266"/>
    <w:rsid w:val="008D4022"/>
    <w:rsid w:val="008D475A"/>
    <w:rsid w:val="008D4D8E"/>
    <w:rsid w:val="008D5081"/>
    <w:rsid w:val="008D5B76"/>
    <w:rsid w:val="008D6C0F"/>
    <w:rsid w:val="008E098F"/>
    <w:rsid w:val="008E0FAB"/>
    <w:rsid w:val="008E1053"/>
    <w:rsid w:val="008E10E6"/>
    <w:rsid w:val="008E1826"/>
    <w:rsid w:val="008E21B1"/>
    <w:rsid w:val="008E29BF"/>
    <w:rsid w:val="008E3195"/>
    <w:rsid w:val="008E3335"/>
    <w:rsid w:val="008E34C4"/>
    <w:rsid w:val="008E43A1"/>
    <w:rsid w:val="008E5905"/>
    <w:rsid w:val="008E643B"/>
    <w:rsid w:val="008E697C"/>
    <w:rsid w:val="008E6C6F"/>
    <w:rsid w:val="008E771C"/>
    <w:rsid w:val="008E7C63"/>
    <w:rsid w:val="008E7CD1"/>
    <w:rsid w:val="008F03B8"/>
    <w:rsid w:val="008F0DB1"/>
    <w:rsid w:val="008F1211"/>
    <w:rsid w:val="008F1541"/>
    <w:rsid w:val="008F16C5"/>
    <w:rsid w:val="008F2578"/>
    <w:rsid w:val="008F2769"/>
    <w:rsid w:val="008F30E6"/>
    <w:rsid w:val="008F31F9"/>
    <w:rsid w:val="008F357E"/>
    <w:rsid w:val="008F3D9A"/>
    <w:rsid w:val="008F410D"/>
    <w:rsid w:val="008F41B3"/>
    <w:rsid w:val="008F4610"/>
    <w:rsid w:val="008F5163"/>
    <w:rsid w:val="008F5B01"/>
    <w:rsid w:val="008F5BCB"/>
    <w:rsid w:val="008F66B8"/>
    <w:rsid w:val="008F75E2"/>
    <w:rsid w:val="008F7791"/>
    <w:rsid w:val="008F7AB5"/>
    <w:rsid w:val="009004F8"/>
    <w:rsid w:val="00900DFF"/>
    <w:rsid w:val="00901106"/>
    <w:rsid w:val="00901585"/>
    <w:rsid w:val="00902BA6"/>
    <w:rsid w:val="00902D04"/>
    <w:rsid w:val="0090375E"/>
    <w:rsid w:val="009038E2"/>
    <w:rsid w:val="009038F1"/>
    <w:rsid w:val="00903ED1"/>
    <w:rsid w:val="00905E37"/>
    <w:rsid w:val="009063A6"/>
    <w:rsid w:val="00907F49"/>
    <w:rsid w:val="009102E5"/>
    <w:rsid w:val="0091080F"/>
    <w:rsid w:val="0091089A"/>
    <w:rsid w:val="00911A62"/>
    <w:rsid w:val="00912B02"/>
    <w:rsid w:val="00913164"/>
    <w:rsid w:val="00913791"/>
    <w:rsid w:val="00914A64"/>
    <w:rsid w:val="00914CB7"/>
    <w:rsid w:val="009158A8"/>
    <w:rsid w:val="0091602B"/>
    <w:rsid w:val="009166DB"/>
    <w:rsid w:val="0091720A"/>
    <w:rsid w:val="009172F2"/>
    <w:rsid w:val="00917B21"/>
    <w:rsid w:val="00917C2D"/>
    <w:rsid w:val="00920022"/>
    <w:rsid w:val="0092064D"/>
    <w:rsid w:val="009207AF"/>
    <w:rsid w:val="00920F0E"/>
    <w:rsid w:val="009214A5"/>
    <w:rsid w:val="00921E70"/>
    <w:rsid w:val="00923D4A"/>
    <w:rsid w:val="00924211"/>
    <w:rsid w:val="00924BF4"/>
    <w:rsid w:val="00925D84"/>
    <w:rsid w:val="00926818"/>
    <w:rsid w:val="0092684B"/>
    <w:rsid w:val="00926C9E"/>
    <w:rsid w:val="00927C20"/>
    <w:rsid w:val="00927DDB"/>
    <w:rsid w:val="0093149A"/>
    <w:rsid w:val="009316F8"/>
    <w:rsid w:val="00931F84"/>
    <w:rsid w:val="00932C3E"/>
    <w:rsid w:val="00933502"/>
    <w:rsid w:val="009335D8"/>
    <w:rsid w:val="00933755"/>
    <w:rsid w:val="00933A26"/>
    <w:rsid w:val="00933DCC"/>
    <w:rsid w:val="00934077"/>
    <w:rsid w:val="009343AB"/>
    <w:rsid w:val="0093498E"/>
    <w:rsid w:val="00934CCA"/>
    <w:rsid w:val="00935CD6"/>
    <w:rsid w:val="00936BB2"/>
    <w:rsid w:val="009374DE"/>
    <w:rsid w:val="00937882"/>
    <w:rsid w:val="00937B56"/>
    <w:rsid w:val="00940077"/>
    <w:rsid w:val="009400CC"/>
    <w:rsid w:val="0094011A"/>
    <w:rsid w:val="00940156"/>
    <w:rsid w:val="009401F1"/>
    <w:rsid w:val="009408A9"/>
    <w:rsid w:val="0094256D"/>
    <w:rsid w:val="00942937"/>
    <w:rsid w:val="00942B5A"/>
    <w:rsid w:val="0094325D"/>
    <w:rsid w:val="009439D6"/>
    <w:rsid w:val="00943C0F"/>
    <w:rsid w:val="0094444A"/>
    <w:rsid w:val="00944495"/>
    <w:rsid w:val="009449F7"/>
    <w:rsid w:val="00946486"/>
    <w:rsid w:val="00947281"/>
    <w:rsid w:val="009476A2"/>
    <w:rsid w:val="00947F0F"/>
    <w:rsid w:val="0095020B"/>
    <w:rsid w:val="009505EF"/>
    <w:rsid w:val="0095075C"/>
    <w:rsid w:val="009527D6"/>
    <w:rsid w:val="00952967"/>
    <w:rsid w:val="00952D21"/>
    <w:rsid w:val="00953237"/>
    <w:rsid w:val="00954466"/>
    <w:rsid w:val="0095450E"/>
    <w:rsid w:val="0095589E"/>
    <w:rsid w:val="00955E25"/>
    <w:rsid w:val="00955F1D"/>
    <w:rsid w:val="00956FA2"/>
    <w:rsid w:val="00957299"/>
    <w:rsid w:val="009576F5"/>
    <w:rsid w:val="0096029F"/>
    <w:rsid w:val="00960501"/>
    <w:rsid w:val="00960CEA"/>
    <w:rsid w:val="009610B8"/>
    <w:rsid w:val="00961681"/>
    <w:rsid w:val="00961DB0"/>
    <w:rsid w:val="0096220B"/>
    <w:rsid w:val="00962F38"/>
    <w:rsid w:val="00963456"/>
    <w:rsid w:val="00963A9B"/>
    <w:rsid w:val="0096413D"/>
    <w:rsid w:val="00964E07"/>
    <w:rsid w:val="00965D2D"/>
    <w:rsid w:val="00967231"/>
    <w:rsid w:val="009677EC"/>
    <w:rsid w:val="009714EB"/>
    <w:rsid w:val="00971590"/>
    <w:rsid w:val="0097169B"/>
    <w:rsid w:val="009734A4"/>
    <w:rsid w:val="00973505"/>
    <w:rsid w:val="0097359D"/>
    <w:rsid w:val="00973AC7"/>
    <w:rsid w:val="00973FEA"/>
    <w:rsid w:val="00975B9D"/>
    <w:rsid w:val="00975BF4"/>
    <w:rsid w:val="00975C24"/>
    <w:rsid w:val="009775C4"/>
    <w:rsid w:val="009777DF"/>
    <w:rsid w:val="00977FA0"/>
    <w:rsid w:val="00980AD8"/>
    <w:rsid w:val="0098166A"/>
    <w:rsid w:val="009816EA"/>
    <w:rsid w:val="0098175B"/>
    <w:rsid w:val="00981CE1"/>
    <w:rsid w:val="0098284D"/>
    <w:rsid w:val="0098287D"/>
    <w:rsid w:val="00982DDE"/>
    <w:rsid w:val="00983094"/>
    <w:rsid w:val="00984312"/>
    <w:rsid w:val="0098440B"/>
    <w:rsid w:val="00984D5F"/>
    <w:rsid w:val="009855AD"/>
    <w:rsid w:val="00985BAD"/>
    <w:rsid w:val="0098698C"/>
    <w:rsid w:val="00986D1A"/>
    <w:rsid w:val="00987205"/>
    <w:rsid w:val="00990213"/>
    <w:rsid w:val="00990674"/>
    <w:rsid w:val="00990987"/>
    <w:rsid w:val="0099120C"/>
    <w:rsid w:val="00991BDB"/>
    <w:rsid w:val="00991E32"/>
    <w:rsid w:val="00991FE5"/>
    <w:rsid w:val="00992583"/>
    <w:rsid w:val="00992ADA"/>
    <w:rsid w:val="009938D6"/>
    <w:rsid w:val="00993B78"/>
    <w:rsid w:val="009945B9"/>
    <w:rsid w:val="009946ED"/>
    <w:rsid w:val="00994777"/>
    <w:rsid w:val="0099484B"/>
    <w:rsid w:val="00994CBE"/>
    <w:rsid w:val="0099526E"/>
    <w:rsid w:val="00996303"/>
    <w:rsid w:val="009968B3"/>
    <w:rsid w:val="00996F8F"/>
    <w:rsid w:val="00997079"/>
    <w:rsid w:val="00997983"/>
    <w:rsid w:val="009A007E"/>
    <w:rsid w:val="009A1375"/>
    <w:rsid w:val="009A13F1"/>
    <w:rsid w:val="009A185F"/>
    <w:rsid w:val="009A321E"/>
    <w:rsid w:val="009A42E9"/>
    <w:rsid w:val="009A4D21"/>
    <w:rsid w:val="009A5FB0"/>
    <w:rsid w:val="009A5FB7"/>
    <w:rsid w:val="009A6881"/>
    <w:rsid w:val="009A6FFD"/>
    <w:rsid w:val="009A7AC1"/>
    <w:rsid w:val="009A7B11"/>
    <w:rsid w:val="009B1087"/>
    <w:rsid w:val="009B1193"/>
    <w:rsid w:val="009B13CC"/>
    <w:rsid w:val="009B19F9"/>
    <w:rsid w:val="009B1EFB"/>
    <w:rsid w:val="009B23C8"/>
    <w:rsid w:val="009B247D"/>
    <w:rsid w:val="009B298A"/>
    <w:rsid w:val="009B2EC7"/>
    <w:rsid w:val="009B307F"/>
    <w:rsid w:val="009B3089"/>
    <w:rsid w:val="009B34B8"/>
    <w:rsid w:val="009B4C84"/>
    <w:rsid w:val="009B4EA6"/>
    <w:rsid w:val="009B60E5"/>
    <w:rsid w:val="009B6599"/>
    <w:rsid w:val="009B73EB"/>
    <w:rsid w:val="009C0A1E"/>
    <w:rsid w:val="009C0BB6"/>
    <w:rsid w:val="009C0F4B"/>
    <w:rsid w:val="009C1097"/>
    <w:rsid w:val="009C20B3"/>
    <w:rsid w:val="009C243A"/>
    <w:rsid w:val="009C2CEE"/>
    <w:rsid w:val="009C399C"/>
    <w:rsid w:val="009C3C97"/>
    <w:rsid w:val="009C4359"/>
    <w:rsid w:val="009C440D"/>
    <w:rsid w:val="009C454D"/>
    <w:rsid w:val="009C519B"/>
    <w:rsid w:val="009C5C4E"/>
    <w:rsid w:val="009C769C"/>
    <w:rsid w:val="009C7779"/>
    <w:rsid w:val="009C7C4E"/>
    <w:rsid w:val="009C7CAD"/>
    <w:rsid w:val="009C7DFE"/>
    <w:rsid w:val="009D0ADF"/>
    <w:rsid w:val="009D1301"/>
    <w:rsid w:val="009D1C3B"/>
    <w:rsid w:val="009D3CB7"/>
    <w:rsid w:val="009D4808"/>
    <w:rsid w:val="009D547C"/>
    <w:rsid w:val="009D57AF"/>
    <w:rsid w:val="009D5E5C"/>
    <w:rsid w:val="009D5FD4"/>
    <w:rsid w:val="009D62BB"/>
    <w:rsid w:val="009D6449"/>
    <w:rsid w:val="009D6613"/>
    <w:rsid w:val="009D66DF"/>
    <w:rsid w:val="009D6CAA"/>
    <w:rsid w:val="009D7316"/>
    <w:rsid w:val="009D748C"/>
    <w:rsid w:val="009E1E0D"/>
    <w:rsid w:val="009E275B"/>
    <w:rsid w:val="009E2D5D"/>
    <w:rsid w:val="009E40D7"/>
    <w:rsid w:val="009E42CF"/>
    <w:rsid w:val="009E575B"/>
    <w:rsid w:val="009E6715"/>
    <w:rsid w:val="009E6817"/>
    <w:rsid w:val="009E72D1"/>
    <w:rsid w:val="009E77FB"/>
    <w:rsid w:val="009F0E8B"/>
    <w:rsid w:val="009F25AA"/>
    <w:rsid w:val="009F2D30"/>
    <w:rsid w:val="009F3DF1"/>
    <w:rsid w:val="009F458D"/>
    <w:rsid w:val="009F510D"/>
    <w:rsid w:val="009F5706"/>
    <w:rsid w:val="009F595A"/>
    <w:rsid w:val="009F6013"/>
    <w:rsid w:val="009F6375"/>
    <w:rsid w:val="009F6B78"/>
    <w:rsid w:val="009F6CD9"/>
    <w:rsid w:val="009F6F17"/>
    <w:rsid w:val="009F6FBD"/>
    <w:rsid w:val="009F7273"/>
    <w:rsid w:val="009F7392"/>
    <w:rsid w:val="009F77AF"/>
    <w:rsid w:val="00A00E42"/>
    <w:rsid w:val="00A010DB"/>
    <w:rsid w:val="00A01BF4"/>
    <w:rsid w:val="00A01FB6"/>
    <w:rsid w:val="00A02327"/>
    <w:rsid w:val="00A02AF7"/>
    <w:rsid w:val="00A032BF"/>
    <w:rsid w:val="00A04776"/>
    <w:rsid w:val="00A05ABC"/>
    <w:rsid w:val="00A06FC1"/>
    <w:rsid w:val="00A071F6"/>
    <w:rsid w:val="00A07C54"/>
    <w:rsid w:val="00A07F2D"/>
    <w:rsid w:val="00A1092B"/>
    <w:rsid w:val="00A10B72"/>
    <w:rsid w:val="00A11AB8"/>
    <w:rsid w:val="00A11BAA"/>
    <w:rsid w:val="00A11DF8"/>
    <w:rsid w:val="00A128AB"/>
    <w:rsid w:val="00A13053"/>
    <w:rsid w:val="00A130FC"/>
    <w:rsid w:val="00A133A6"/>
    <w:rsid w:val="00A14FDB"/>
    <w:rsid w:val="00A15F17"/>
    <w:rsid w:val="00A16328"/>
    <w:rsid w:val="00A16894"/>
    <w:rsid w:val="00A16E2D"/>
    <w:rsid w:val="00A17AB1"/>
    <w:rsid w:val="00A20638"/>
    <w:rsid w:val="00A2164A"/>
    <w:rsid w:val="00A21682"/>
    <w:rsid w:val="00A22B2D"/>
    <w:rsid w:val="00A232BC"/>
    <w:rsid w:val="00A2371F"/>
    <w:rsid w:val="00A238D6"/>
    <w:rsid w:val="00A2440A"/>
    <w:rsid w:val="00A24678"/>
    <w:rsid w:val="00A26B86"/>
    <w:rsid w:val="00A26BEE"/>
    <w:rsid w:val="00A276E3"/>
    <w:rsid w:val="00A31D54"/>
    <w:rsid w:val="00A32FAF"/>
    <w:rsid w:val="00A340D7"/>
    <w:rsid w:val="00A34669"/>
    <w:rsid w:val="00A34AF5"/>
    <w:rsid w:val="00A34B41"/>
    <w:rsid w:val="00A35C91"/>
    <w:rsid w:val="00A35E92"/>
    <w:rsid w:val="00A368B2"/>
    <w:rsid w:val="00A37512"/>
    <w:rsid w:val="00A375C7"/>
    <w:rsid w:val="00A40DB7"/>
    <w:rsid w:val="00A40E26"/>
    <w:rsid w:val="00A41FAF"/>
    <w:rsid w:val="00A43798"/>
    <w:rsid w:val="00A44210"/>
    <w:rsid w:val="00A452F9"/>
    <w:rsid w:val="00A46738"/>
    <w:rsid w:val="00A478E4"/>
    <w:rsid w:val="00A479A7"/>
    <w:rsid w:val="00A50906"/>
    <w:rsid w:val="00A50B62"/>
    <w:rsid w:val="00A51306"/>
    <w:rsid w:val="00A51722"/>
    <w:rsid w:val="00A51883"/>
    <w:rsid w:val="00A51DA4"/>
    <w:rsid w:val="00A5389E"/>
    <w:rsid w:val="00A54B0A"/>
    <w:rsid w:val="00A55B59"/>
    <w:rsid w:val="00A5630E"/>
    <w:rsid w:val="00A57395"/>
    <w:rsid w:val="00A57D28"/>
    <w:rsid w:val="00A60825"/>
    <w:rsid w:val="00A61D82"/>
    <w:rsid w:val="00A6475B"/>
    <w:rsid w:val="00A64869"/>
    <w:rsid w:val="00A66C93"/>
    <w:rsid w:val="00A671FF"/>
    <w:rsid w:val="00A67924"/>
    <w:rsid w:val="00A67A02"/>
    <w:rsid w:val="00A67C49"/>
    <w:rsid w:val="00A67E9D"/>
    <w:rsid w:val="00A701D9"/>
    <w:rsid w:val="00A70787"/>
    <w:rsid w:val="00A720E4"/>
    <w:rsid w:val="00A72CC3"/>
    <w:rsid w:val="00A73E3F"/>
    <w:rsid w:val="00A73EE0"/>
    <w:rsid w:val="00A741A0"/>
    <w:rsid w:val="00A748A4"/>
    <w:rsid w:val="00A74B06"/>
    <w:rsid w:val="00A752F2"/>
    <w:rsid w:val="00A76A86"/>
    <w:rsid w:val="00A77065"/>
    <w:rsid w:val="00A77067"/>
    <w:rsid w:val="00A7727A"/>
    <w:rsid w:val="00A77C6F"/>
    <w:rsid w:val="00A77D52"/>
    <w:rsid w:val="00A82291"/>
    <w:rsid w:val="00A83496"/>
    <w:rsid w:val="00A85842"/>
    <w:rsid w:val="00A869AB"/>
    <w:rsid w:val="00A878E0"/>
    <w:rsid w:val="00A9096D"/>
    <w:rsid w:val="00A9147B"/>
    <w:rsid w:val="00A91BCD"/>
    <w:rsid w:val="00A91C73"/>
    <w:rsid w:val="00A91F64"/>
    <w:rsid w:val="00A91FDF"/>
    <w:rsid w:val="00A933E5"/>
    <w:rsid w:val="00A934F3"/>
    <w:rsid w:val="00A93C6F"/>
    <w:rsid w:val="00A94012"/>
    <w:rsid w:val="00A94FEE"/>
    <w:rsid w:val="00A9572E"/>
    <w:rsid w:val="00A95AFE"/>
    <w:rsid w:val="00A95EA8"/>
    <w:rsid w:val="00A96196"/>
    <w:rsid w:val="00A96ECD"/>
    <w:rsid w:val="00A9774F"/>
    <w:rsid w:val="00AA0371"/>
    <w:rsid w:val="00AA0D9B"/>
    <w:rsid w:val="00AA177B"/>
    <w:rsid w:val="00AA1C72"/>
    <w:rsid w:val="00AA1DA2"/>
    <w:rsid w:val="00AA2751"/>
    <w:rsid w:val="00AA2788"/>
    <w:rsid w:val="00AA2A4A"/>
    <w:rsid w:val="00AA3912"/>
    <w:rsid w:val="00AA3BF2"/>
    <w:rsid w:val="00AA45DF"/>
    <w:rsid w:val="00AA4E02"/>
    <w:rsid w:val="00AA6349"/>
    <w:rsid w:val="00AA6BD7"/>
    <w:rsid w:val="00AA764E"/>
    <w:rsid w:val="00AA7E30"/>
    <w:rsid w:val="00AB0061"/>
    <w:rsid w:val="00AB0629"/>
    <w:rsid w:val="00AB160E"/>
    <w:rsid w:val="00AB19C7"/>
    <w:rsid w:val="00AB1E6C"/>
    <w:rsid w:val="00AB258F"/>
    <w:rsid w:val="00AB2A48"/>
    <w:rsid w:val="00AB2EDD"/>
    <w:rsid w:val="00AB383C"/>
    <w:rsid w:val="00AB3C6D"/>
    <w:rsid w:val="00AB4D73"/>
    <w:rsid w:val="00AB5126"/>
    <w:rsid w:val="00AB5287"/>
    <w:rsid w:val="00AB6877"/>
    <w:rsid w:val="00AB6A38"/>
    <w:rsid w:val="00AB70AA"/>
    <w:rsid w:val="00AB7804"/>
    <w:rsid w:val="00AB7CD3"/>
    <w:rsid w:val="00AC025A"/>
    <w:rsid w:val="00AC0604"/>
    <w:rsid w:val="00AC1979"/>
    <w:rsid w:val="00AC22FE"/>
    <w:rsid w:val="00AC442C"/>
    <w:rsid w:val="00AC543A"/>
    <w:rsid w:val="00AC5BC4"/>
    <w:rsid w:val="00AC5FC8"/>
    <w:rsid w:val="00AC61F9"/>
    <w:rsid w:val="00AC78ED"/>
    <w:rsid w:val="00AD0638"/>
    <w:rsid w:val="00AD0824"/>
    <w:rsid w:val="00AD0A6C"/>
    <w:rsid w:val="00AD0BA1"/>
    <w:rsid w:val="00AD1350"/>
    <w:rsid w:val="00AD1400"/>
    <w:rsid w:val="00AD144A"/>
    <w:rsid w:val="00AD18D4"/>
    <w:rsid w:val="00AD1C72"/>
    <w:rsid w:val="00AD1E22"/>
    <w:rsid w:val="00AD228F"/>
    <w:rsid w:val="00AD2348"/>
    <w:rsid w:val="00AD3335"/>
    <w:rsid w:val="00AD5D27"/>
    <w:rsid w:val="00AD63D1"/>
    <w:rsid w:val="00AD771E"/>
    <w:rsid w:val="00AD7EDE"/>
    <w:rsid w:val="00AE00CF"/>
    <w:rsid w:val="00AE0567"/>
    <w:rsid w:val="00AE067F"/>
    <w:rsid w:val="00AE0DB3"/>
    <w:rsid w:val="00AE2CBA"/>
    <w:rsid w:val="00AE3FED"/>
    <w:rsid w:val="00AE4944"/>
    <w:rsid w:val="00AE4C06"/>
    <w:rsid w:val="00AE4CFF"/>
    <w:rsid w:val="00AE4EBF"/>
    <w:rsid w:val="00AE547B"/>
    <w:rsid w:val="00AE5520"/>
    <w:rsid w:val="00AE5B2F"/>
    <w:rsid w:val="00AE5B65"/>
    <w:rsid w:val="00AE6019"/>
    <w:rsid w:val="00AE614C"/>
    <w:rsid w:val="00AE631C"/>
    <w:rsid w:val="00AE673A"/>
    <w:rsid w:val="00AE7A6A"/>
    <w:rsid w:val="00AF017B"/>
    <w:rsid w:val="00AF0890"/>
    <w:rsid w:val="00AF0C42"/>
    <w:rsid w:val="00AF13B2"/>
    <w:rsid w:val="00AF1494"/>
    <w:rsid w:val="00AF1F79"/>
    <w:rsid w:val="00AF2872"/>
    <w:rsid w:val="00AF37C5"/>
    <w:rsid w:val="00AF45F4"/>
    <w:rsid w:val="00AF4C7D"/>
    <w:rsid w:val="00AF52B1"/>
    <w:rsid w:val="00AF68FF"/>
    <w:rsid w:val="00AF6C3B"/>
    <w:rsid w:val="00AF7DFD"/>
    <w:rsid w:val="00AF7FD9"/>
    <w:rsid w:val="00B00C2A"/>
    <w:rsid w:val="00B026B9"/>
    <w:rsid w:val="00B04835"/>
    <w:rsid w:val="00B04EC9"/>
    <w:rsid w:val="00B04F1F"/>
    <w:rsid w:val="00B05DF0"/>
    <w:rsid w:val="00B06F7B"/>
    <w:rsid w:val="00B06F98"/>
    <w:rsid w:val="00B07154"/>
    <w:rsid w:val="00B07A95"/>
    <w:rsid w:val="00B07BB4"/>
    <w:rsid w:val="00B10070"/>
    <w:rsid w:val="00B10D6E"/>
    <w:rsid w:val="00B11200"/>
    <w:rsid w:val="00B11D97"/>
    <w:rsid w:val="00B128C1"/>
    <w:rsid w:val="00B12D37"/>
    <w:rsid w:val="00B13112"/>
    <w:rsid w:val="00B135EF"/>
    <w:rsid w:val="00B13744"/>
    <w:rsid w:val="00B13E29"/>
    <w:rsid w:val="00B1434A"/>
    <w:rsid w:val="00B14A66"/>
    <w:rsid w:val="00B156C3"/>
    <w:rsid w:val="00B15781"/>
    <w:rsid w:val="00B16621"/>
    <w:rsid w:val="00B169F3"/>
    <w:rsid w:val="00B17819"/>
    <w:rsid w:val="00B17DEE"/>
    <w:rsid w:val="00B2043A"/>
    <w:rsid w:val="00B20757"/>
    <w:rsid w:val="00B210B7"/>
    <w:rsid w:val="00B216F1"/>
    <w:rsid w:val="00B21AB2"/>
    <w:rsid w:val="00B21FAF"/>
    <w:rsid w:val="00B227A9"/>
    <w:rsid w:val="00B232F5"/>
    <w:rsid w:val="00B24431"/>
    <w:rsid w:val="00B244AF"/>
    <w:rsid w:val="00B24ACE"/>
    <w:rsid w:val="00B261D0"/>
    <w:rsid w:val="00B26469"/>
    <w:rsid w:val="00B26B3F"/>
    <w:rsid w:val="00B26D3C"/>
    <w:rsid w:val="00B276D6"/>
    <w:rsid w:val="00B279DB"/>
    <w:rsid w:val="00B305AF"/>
    <w:rsid w:val="00B3079B"/>
    <w:rsid w:val="00B30D36"/>
    <w:rsid w:val="00B3101C"/>
    <w:rsid w:val="00B31DF6"/>
    <w:rsid w:val="00B32513"/>
    <w:rsid w:val="00B32A10"/>
    <w:rsid w:val="00B336C2"/>
    <w:rsid w:val="00B34F19"/>
    <w:rsid w:val="00B350DD"/>
    <w:rsid w:val="00B356D9"/>
    <w:rsid w:val="00B35C34"/>
    <w:rsid w:val="00B36721"/>
    <w:rsid w:val="00B3689E"/>
    <w:rsid w:val="00B36C7E"/>
    <w:rsid w:val="00B36EE5"/>
    <w:rsid w:val="00B37CD0"/>
    <w:rsid w:val="00B40F3D"/>
    <w:rsid w:val="00B41484"/>
    <w:rsid w:val="00B4158D"/>
    <w:rsid w:val="00B41CE8"/>
    <w:rsid w:val="00B41D2C"/>
    <w:rsid w:val="00B429A7"/>
    <w:rsid w:val="00B443D8"/>
    <w:rsid w:val="00B44CEB"/>
    <w:rsid w:val="00B45B18"/>
    <w:rsid w:val="00B45E88"/>
    <w:rsid w:val="00B47003"/>
    <w:rsid w:val="00B47132"/>
    <w:rsid w:val="00B4765D"/>
    <w:rsid w:val="00B50D82"/>
    <w:rsid w:val="00B51562"/>
    <w:rsid w:val="00B52E53"/>
    <w:rsid w:val="00B539DB"/>
    <w:rsid w:val="00B53C0D"/>
    <w:rsid w:val="00B53D59"/>
    <w:rsid w:val="00B54E1A"/>
    <w:rsid w:val="00B550BF"/>
    <w:rsid w:val="00B55272"/>
    <w:rsid w:val="00B559E2"/>
    <w:rsid w:val="00B5653D"/>
    <w:rsid w:val="00B57A48"/>
    <w:rsid w:val="00B60185"/>
    <w:rsid w:val="00B602D0"/>
    <w:rsid w:val="00B61577"/>
    <w:rsid w:val="00B619E3"/>
    <w:rsid w:val="00B61D2A"/>
    <w:rsid w:val="00B6268A"/>
    <w:rsid w:val="00B62DFC"/>
    <w:rsid w:val="00B63A20"/>
    <w:rsid w:val="00B63A5C"/>
    <w:rsid w:val="00B6519F"/>
    <w:rsid w:val="00B65773"/>
    <w:rsid w:val="00B6686F"/>
    <w:rsid w:val="00B66A3E"/>
    <w:rsid w:val="00B66DCD"/>
    <w:rsid w:val="00B66F85"/>
    <w:rsid w:val="00B678F4"/>
    <w:rsid w:val="00B7038B"/>
    <w:rsid w:val="00B709C9"/>
    <w:rsid w:val="00B709E3"/>
    <w:rsid w:val="00B70CB3"/>
    <w:rsid w:val="00B71209"/>
    <w:rsid w:val="00B715BF"/>
    <w:rsid w:val="00B719B0"/>
    <w:rsid w:val="00B71A42"/>
    <w:rsid w:val="00B721A7"/>
    <w:rsid w:val="00B721B8"/>
    <w:rsid w:val="00B7276B"/>
    <w:rsid w:val="00B727A8"/>
    <w:rsid w:val="00B7294D"/>
    <w:rsid w:val="00B732F0"/>
    <w:rsid w:val="00B73DCA"/>
    <w:rsid w:val="00B73F44"/>
    <w:rsid w:val="00B74405"/>
    <w:rsid w:val="00B74641"/>
    <w:rsid w:val="00B746E6"/>
    <w:rsid w:val="00B75378"/>
    <w:rsid w:val="00B75C1E"/>
    <w:rsid w:val="00B76222"/>
    <w:rsid w:val="00B76300"/>
    <w:rsid w:val="00B77633"/>
    <w:rsid w:val="00B77960"/>
    <w:rsid w:val="00B80166"/>
    <w:rsid w:val="00B8020F"/>
    <w:rsid w:val="00B80B87"/>
    <w:rsid w:val="00B80E25"/>
    <w:rsid w:val="00B81767"/>
    <w:rsid w:val="00B81801"/>
    <w:rsid w:val="00B8181E"/>
    <w:rsid w:val="00B8197F"/>
    <w:rsid w:val="00B81B98"/>
    <w:rsid w:val="00B81EC8"/>
    <w:rsid w:val="00B8236D"/>
    <w:rsid w:val="00B83AAF"/>
    <w:rsid w:val="00B843E0"/>
    <w:rsid w:val="00B84E06"/>
    <w:rsid w:val="00B854AD"/>
    <w:rsid w:val="00B8586E"/>
    <w:rsid w:val="00B858C3"/>
    <w:rsid w:val="00B86AD1"/>
    <w:rsid w:val="00B87291"/>
    <w:rsid w:val="00B87F82"/>
    <w:rsid w:val="00B90ACB"/>
    <w:rsid w:val="00B919B9"/>
    <w:rsid w:val="00B91A73"/>
    <w:rsid w:val="00B925D0"/>
    <w:rsid w:val="00B92C84"/>
    <w:rsid w:val="00B92FFD"/>
    <w:rsid w:val="00B93A3A"/>
    <w:rsid w:val="00B93DF9"/>
    <w:rsid w:val="00B94B58"/>
    <w:rsid w:val="00B951D7"/>
    <w:rsid w:val="00B952B9"/>
    <w:rsid w:val="00B9589E"/>
    <w:rsid w:val="00B95DB3"/>
    <w:rsid w:val="00B963A7"/>
    <w:rsid w:val="00B96945"/>
    <w:rsid w:val="00B97282"/>
    <w:rsid w:val="00B97B0A"/>
    <w:rsid w:val="00B97BD2"/>
    <w:rsid w:val="00BA050F"/>
    <w:rsid w:val="00BA0C5C"/>
    <w:rsid w:val="00BA175A"/>
    <w:rsid w:val="00BA194F"/>
    <w:rsid w:val="00BA2AA5"/>
    <w:rsid w:val="00BA3183"/>
    <w:rsid w:val="00BA3457"/>
    <w:rsid w:val="00BA3514"/>
    <w:rsid w:val="00BA395D"/>
    <w:rsid w:val="00BA3B17"/>
    <w:rsid w:val="00BA48D8"/>
    <w:rsid w:val="00BA4A66"/>
    <w:rsid w:val="00BA4E6B"/>
    <w:rsid w:val="00BA5EF1"/>
    <w:rsid w:val="00BA65F1"/>
    <w:rsid w:val="00BA78F3"/>
    <w:rsid w:val="00BB0887"/>
    <w:rsid w:val="00BB1581"/>
    <w:rsid w:val="00BB1590"/>
    <w:rsid w:val="00BB1600"/>
    <w:rsid w:val="00BB1A53"/>
    <w:rsid w:val="00BB41AE"/>
    <w:rsid w:val="00BB442C"/>
    <w:rsid w:val="00BB4433"/>
    <w:rsid w:val="00BB57A4"/>
    <w:rsid w:val="00BB5B06"/>
    <w:rsid w:val="00BB5EB5"/>
    <w:rsid w:val="00BB70BE"/>
    <w:rsid w:val="00BB76BE"/>
    <w:rsid w:val="00BB7CF3"/>
    <w:rsid w:val="00BC0DEE"/>
    <w:rsid w:val="00BC0F9F"/>
    <w:rsid w:val="00BC2C57"/>
    <w:rsid w:val="00BC2CA2"/>
    <w:rsid w:val="00BC37F5"/>
    <w:rsid w:val="00BC3BB0"/>
    <w:rsid w:val="00BC3D4A"/>
    <w:rsid w:val="00BC4184"/>
    <w:rsid w:val="00BC44BF"/>
    <w:rsid w:val="00BC572A"/>
    <w:rsid w:val="00BC64A4"/>
    <w:rsid w:val="00BC6683"/>
    <w:rsid w:val="00BC7B52"/>
    <w:rsid w:val="00BD130E"/>
    <w:rsid w:val="00BD15AC"/>
    <w:rsid w:val="00BD1D2A"/>
    <w:rsid w:val="00BD246A"/>
    <w:rsid w:val="00BD24DB"/>
    <w:rsid w:val="00BD26B9"/>
    <w:rsid w:val="00BD2712"/>
    <w:rsid w:val="00BD27BB"/>
    <w:rsid w:val="00BD4B7F"/>
    <w:rsid w:val="00BD4FB5"/>
    <w:rsid w:val="00BD60F4"/>
    <w:rsid w:val="00BD62A0"/>
    <w:rsid w:val="00BD6986"/>
    <w:rsid w:val="00BD7917"/>
    <w:rsid w:val="00BD7BC2"/>
    <w:rsid w:val="00BD7F0F"/>
    <w:rsid w:val="00BD7F41"/>
    <w:rsid w:val="00BE07B2"/>
    <w:rsid w:val="00BE0F91"/>
    <w:rsid w:val="00BE16A8"/>
    <w:rsid w:val="00BE265E"/>
    <w:rsid w:val="00BE26D8"/>
    <w:rsid w:val="00BE2CAE"/>
    <w:rsid w:val="00BE2E4D"/>
    <w:rsid w:val="00BE3395"/>
    <w:rsid w:val="00BE41BD"/>
    <w:rsid w:val="00BE4848"/>
    <w:rsid w:val="00BE4B0F"/>
    <w:rsid w:val="00BE4CAB"/>
    <w:rsid w:val="00BE5443"/>
    <w:rsid w:val="00BE5A89"/>
    <w:rsid w:val="00BE624F"/>
    <w:rsid w:val="00BE6922"/>
    <w:rsid w:val="00BE6C6F"/>
    <w:rsid w:val="00BE7C62"/>
    <w:rsid w:val="00BF00C2"/>
    <w:rsid w:val="00BF0203"/>
    <w:rsid w:val="00BF08D1"/>
    <w:rsid w:val="00BF1B34"/>
    <w:rsid w:val="00BF4568"/>
    <w:rsid w:val="00BF4C1D"/>
    <w:rsid w:val="00BF4D28"/>
    <w:rsid w:val="00BF4E22"/>
    <w:rsid w:val="00BF5074"/>
    <w:rsid w:val="00BF5203"/>
    <w:rsid w:val="00BF561F"/>
    <w:rsid w:val="00BF60D1"/>
    <w:rsid w:val="00BF64BC"/>
    <w:rsid w:val="00BF7436"/>
    <w:rsid w:val="00C00004"/>
    <w:rsid w:val="00C00A7C"/>
    <w:rsid w:val="00C0196C"/>
    <w:rsid w:val="00C023B2"/>
    <w:rsid w:val="00C02E2C"/>
    <w:rsid w:val="00C03AB0"/>
    <w:rsid w:val="00C03E1A"/>
    <w:rsid w:val="00C05721"/>
    <w:rsid w:val="00C058DB"/>
    <w:rsid w:val="00C05CF6"/>
    <w:rsid w:val="00C05F2D"/>
    <w:rsid w:val="00C07BDE"/>
    <w:rsid w:val="00C10346"/>
    <w:rsid w:val="00C103C9"/>
    <w:rsid w:val="00C11299"/>
    <w:rsid w:val="00C114F4"/>
    <w:rsid w:val="00C12691"/>
    <w:rsid w:val="00C126A0"/>
    <w:rsid w:val="00C12B2A"/>
    <w:rsid w:val="00C12B85"/>
    <w:rsid w:val="00C12F26"/>
    <w:rsid w:val="00C13187"/>
    <w:rsid w:val="00C13338"/>
    <w:rsid w:val="00C13AE3"/>
    <w:rsid w:val="00C13EBD"/>
    <w:rsid w:val="00C14891"/>
    <w:rsid w:val="00C14AF2"/>
    <w:rsid w:val="00C162DF"/>
    <w:rsid w:val="00C169D2"/>
    <w:rsid w:val="00C16FEB"/>
    <w:rsid w:val="00C17B9A"/>
    <w:rsid w:val="00C17BD8"/>
    <w:rsid w:val="00C2030E"/>
    <w:rsid w:val="00C20CA7"/>
    <w:rsid w:val="00C20F00"/>
    <w:rsid w:val="00C216DC"/>
    <w:rsid w:val="00C21BFC"/>
    <w:rsid w:val="00C22A06"/>
    <w:rsid w:val="00C23CD2"/>
    <w:rsid w:val="00C24FCC"/>
    <w:rsid w:val="00C257A9"/>
    <w:rsid w:val="00C26979"/>
    <w:rsid w:val="00C30E85"/>
    <w:rsid w:val="00C312B5"/>
    <w:rsid w:val="00C31D91"/>
    <w:rsid w:val="00C32942"/>
    <w:rsid w:val="00C34351"/>
    <w:rsid w:val="00C345A3"/>
    <w:rsid w:val="00C3479C"/>
    <w:rsid w:val="00C354DC"/>
    <w:rsid w:val="00C35764"/>
    <w:rsid w:val="00C35D58"/>
    <w:rsid w:val="00C36DE2"/>
    <w:rsid w:val="00C37C8D"/>
    <w:rsid w:val="00C37D7B"/>
    <w:rsid w:val="00C406A2"/>
    <w:rsid w:val="00C40BF7"/>
    <w:rsid w:val="00C40E25"/>
    <w:rsid w:val="00C41DE5"/>
    <w:rsid w:val="00C42012"/>
    <w:rsid w:val="00C42547"/>
    <w:rsid w:val="00C42569"/>
    <w:rsid w:val="00C426E8"/>
    <w:rsid w:val="00C42F08"/>
    <w:rsid w:val="00C44E25"/>
    <w:rsid w:val="00C4509C"/>
    <w:rsid w:val="00C45772"/>
    <w:rsid w:val="00C45872"/>
    <w:rsid w:val="00C45C8C"/>
    <w:rsid w:val="00C46110"/>
    <w:rsid w:val="00C46B9A"/>
    <w:rsid w:val="00C4758A"/>
    <w:rsid w:val="00C47F50"/>
    <w:rsid w:val="00C501FD"/>
    <w:rsid w:val="00C502F6"/>
    <w:rsid w:val="00C509CE"/>
    <w:rsid w:val="00C53AA1"/>
    <w:rsid w:val="00C548B0"/>
    <w:rsid w:val="00C5577B"/>
    <w:rsid w:val="00C55D2C"/>
    <w:rsid w:val="00C56330"/>
    <w:rsid w:val="00C56A09"/>
    <w:rsid w:val="00C57355"/>
    <w:rsid w:val="00C575D3"/>
    <w:rsid w:val="00C57CEE"/>
    <w:rsid w:val="00C57DD3"/>
    <w:rsid w:val="00C60ED2"/>
    <w:rsid w:val="00C61AE2"/>
    <w:rsid w:val="00C62419"/>
    <w:rsid w:val="00C628DD"/>
    <w:rsid w:val="00C62E1C"/>
    <w:rsid w:val="00C6374F"/>
    <w:rsid w:val="00C653CA"/>
    <w:rsid w:val="00C65F1F"/>
    <w:rsid w:val="00C66133"/>
    <w:rsid w:val="00C6626E"/>
    <w:rsid w:val="00C668D8"/>
    <w:rsid w:val="00C66E0E"/>
    <w:rsid w:val="00C67CDF"/>
    <w:rsid w:val="00C71732"/>
    <w:rsid w:val="00C71938"/>
    <w:rsid w:val="00C72212"/>
    <w:rsid w:val="00C7291C"/>
    <w:rsid w:val="00C72B94"/>
    <w:rsid w:val="00C730BD"/>
    <w:rsid w:val="00C7381E"/>
    <w:rsid w:val="00C74741"/>
    <w:rsid w:val="00C747F2"/>
    <w:rsid w:val="00C74D4F"/>
    <w:rsid w:val="00C75BF1"/>
    <w:rsid w:val="00C77C8F"/>
    <w:rsid w:val="00C8061F"/>
    <w:rsid w:val="00C83946"/>
    <w:rsid w:val="00C843B2"/>
    <w:rsid w:val="00C84ED8"/>
    <w:rsid w:val="00C8552E"/>
    <w:rsid w:val="00C85F46"/>
    <w:rsid w:val="00C867AF"/>
    <w:rsid w:val="00C87090"/>
    <w:rsid w:val="00C87318"/>
    <w:rsid w:val="00C875D7"/>
    <w:rsid w:val="00C87F62"/>
    <w:rsid w:val="00C904D6"/>
    <w:rsid w:val="00C90F02"/>
    <w:rsid w:val="00C90F22"/>
    <w:rsid w:val="00C9151E"/>
    <w:rsid w:val="00C91566"/>
    <w:rsid w:val="00C9161F"/>
    <w:rsid w:val="00C91674"/>
    <w:rsid w:val="00C91EB1"/>
    <w:rsid w:val="00C92A96"/>
    <w:rsid w:val="00C9398F"/>
    <w:rsid w:val="00C9436F"/>
    <w:rsid w:val="00C94550"/>
    <w:rsid w:val="00C94790"/>
    <w:rsid w:val="00C952F9"/>
    <w:rsid w:val="00C95348"/>
    <w:rsid w:val="00C95406"/>
    <w:rsid w:val="00C955C3"/>
    <w:rsid w:val="00C96285"/>
    <w:rsid w:val="00C96364"/>
    <w:rsid w:val="00C963A4"/>
    <w:rsid w:val="00C96474"/>
    <w:rsid w:val="00C96845"/>
    <w:rsid w:val="00CA1042"/>
    <w:rsid w:val="00CA13B3"/>
    <w:rsid w:val="00CA182E"/>
    <w:rsid w:val="00CA2A67"/>
    <w:rsid w:val="00CA2D74"/>
    <w:rsid w:val="00CA373D"/>
    <w:rsid w:val="00CA39B1"/>
    <w:rsid w:val="00CA44DC"/>
    <w:rsid w:val="00CA4627"/>
    <w:rsid w:val="00CA4F76"/>
    <w:rsid w:val="00CA52C6"/>
    <w:rsid w:val="00CA53D0"/>
    <w:rsid w:val="00CA5726"/>
    <w:rsid w:val="00CA7B71"/>
    <w:rsid w:val="00CB12C5"/>
    <w:rsid w:val="00CB19DB"/>
    <w:rsid w:val="00CB2F4D"/>
    <w:rsid w:val="00CB3CCC"/>
    <w:rsid w:val="00CB4990"/>
    <w:rsid w:val="00CB5FC8"/>
    <w:rsid w:val="00CB7172"/>
    <w:rsid w:val="00CB769F"/>
    <w:rsid w:val="00CB7D39"/>
    <w:rsid w:val="00CC0C09"/>
    <w:rsid w:val="00CC11A8"/>
    <w:rsid w:val="00CC1B30"/>
    <w:rsid w:val="00CC204E"/>
    <w:rsid w:val="00CC3CED"/>
    <w:rsid w:val="00CC448E"/>
    <w:rsid w:val="00CC6313"/>
    <w:rsid w:val="00CC6FC7"/>
    <w:rsid w:val="00CC7F35"/>
    <w:rsid w:val="00CD0147"/>
    <w:rsid w:val="00CD01EA"/>
    <w:rsid w:val="00CD08B2"/>
    <w:rsid w:val="00CD0D74"/>
    <w:rsid w:val="00CD100D"/>
    <w:rsid w:val="00CD1101"/>
    <w:rsid w:val="00CD11BC"/>
    <w:rsid w:val="00CD1230"/>
    <w:rsid w:val="00CD1A15"/>
    <w:rsid w:val="00CD1D33"/>
    <w:rsid w:val="00CD2036"/>
    <w:rsid w:val="00CD24E5"/>
    <w:rsid w:val="00CD2690"/>
    <w:rsid w:val="00CD3423"/>
    <w:rsid w:val="00CD34D2"/>
    <w:rsid w:val="00CD3686"/>
    <w:rsid w:val="00CD3798"/>
    <w:rsid w:val="00CD39E1"/>
    <w:rsid w:val="00CD446D"/>
    <w:rsid w:val="00CD4986"/>
    <w:rsid w:val="00CD4F25"/>
    <w:rsid w:val="00CD63B2"/>
    <w:rsid w:val="00CD654E"/>
    <w:rsid w:val="00CD65DB"/>
    <w:rsid w:val="00CD71AC"/>
    <w:rsid w:val="00CD7954"/>
    <w:rsid w:val="00CE0608"/>
    <w:rsid w:val="00CE0684"/>
    <w:rsid w:val="00CE0867"/>
    <w:rsid w:val="00CE0B9B"/>
    <w:rsid w:val="00CE11FA"/>
    <w:rsid w:val="00CE159B"/>
    <w:rsid w:val="00CE2416"/>
    <w:rsid w:val="00CE2C66"/>
    <w:rsid w:val="00CE373D"/>
    <w:rsid w:val="00CE4137"/>
    <w:rsid w:val="00CE519B"/>
    <w:rsid w:val="00CE5E97"/>
    <w:rsid w:val="00CE71C0"/>
    <w:rsid w:val="00CE76F3"/>
    <w:rsid w:val="00CE7808"/>
    <w:rsid w:val="00CF007C"/>
    <w:rsid w:val="00CF0458"/>
    <w:rsid w:val="00CF0792"/>
    <w:rsid w:val="00CF2A22"/>
    <w:rsid w:val="00CF2A28"/>
    <w:rsid w:val="00CF2E6F"/>
    <w:rsid w:val="00CF32A5"/>
    <w:rsid w:val="00CF341C"/>
    <w:rsid w:val="00CF4BD0"/>
    <w:rsid w:val="00CF5CFF"/>
    <w:rsid w:val="00CF6783"/>
    <w:rsid w:val="00CF6DF7"/>
    <w:rsid w:val="00CF731A"/>
    <w:rsid w:val="00D00091"/>
    <w:rsid w:val="00D00F16"/>
    <w:rsid w:val="00D00FD9"/>
    <w:rsid w:val="00D011BA"/>
    <w:rsid w:val="00D0141A"/>
    <w:rsid w:val="00D01ED0"/>
    <w:rsid w:val="00D04BED"/>
    <w:rsid w:val="00D04D60"/>
    <w:rsid w:val="00D05162"/>
    <w:rsid w:val="00D0596D"/>
    <w:rsid w:val="00D059A6"/>
    <w:rsid w:val="00D05B75"/>
    <w:rsid w:val="00D05C44"/>
    <w:rsid w:val="00D072DB"/>
    <w:rsid w:val="00D074AB"/>
    <w:rsid w:val="00D07944"/>
    <w:rsid w:val="00D07DE3"/>
    <w:rsid w:val="00D10692"/>
    <w:rsid w:val="00D113BE"/>
    <w:rsid w:val="00D1147C"/>
    <w:rsid w:val="00D1200A"/>
    <w:rsid w:val="00D12110"/>
    <w:rsid w:val="00D123C3"/>
    <w:rsid w:val="00D12C0B"/>
    <w:rsid w:val="00D12CF3"/>
    <w:rsid w:val="00D12ED4"/>
    <w:rsid w:val="00D13A00"/>
    <w:rsid w:val="00D14842"/>
    <w:rsid w:val="00D159C5"/>
    <w:rsid w:val="00D164C0"/>
    <w:rsid w:val="00D176F8"/>
    <w:rsid w:val="00D210F4"/>
    <w:rsid w:val="00D21680"/>
    <w:rsid w:val="00D21884"/>
    <w:rsid w:val="00D219C4"/>
    <w:rsid w:val="00D21F93"/>
    <w:rsid w:val="00D22E3A"/>
    <w:rsid w:val="00D236AC"/>
    <w:rsid w:val="00D23CEC"/>
    <w:rsid w:val="00D23D61"/>
    <w:rsid w:val="00D23DAD"/>
    <w:rsid w:val="00D25340"/>
    <w:rsid w:val="00D26305"/>
    <w:rsid w:val="00D26F67"/>
    <w:rsid w:val="00D2715A"/>
    <w:rsid w:val="00D27666"/>
    <w:rsid w:val="00D27D0F"/>
    <w:rsid w:val="00D27E08"/>
    <w:rsid w:val="00D30030"/>
    <w:rsid w:val="00D3089E"/>
    <w:rsid w:val="00D309F3"/>
    <w:rsid w:val="00D32564"/>
    <w:rsid w:val="00D32658"/>
    <w:rsid w:val="00D3424F"/>
    <w:rsid w:val="00D342B7"/>
    <w:rsid w:val="00D346C1"/>
    <w:rsid w:val="00D34EC5"/>
    <w:rsid w:val="00D35449"/>
    <w:rsid w:val="00D35EF9"/>
    <w:rsid w:val="00D361AF"/>
    <w:rsid w:val="00D3731B"/>
    <w:rsid w:val="00D375EC"/>
    <w:rsid w:val="00D377E2"/>
    <w:rsid w:val="00D37C12"/>
    <w:rsid w:val="00D40AA6"/>
    <w:rsid w:val="00D41726"/>
    <w:rsid w:val="00D4182D"/>
    <w:rsid w:val="00D42770"/>
    <w:rsid w:val="00D42F19"/>
    <w:rsid w:val="00D43783"/>
    <w:rsid w:val="00D44371"/>
    <w:rsid w:val="00D468AF"/>
    <w:rsid w:val="00D46A57"/>
    <w:rsid w:val="00D47924"/>
    <w:rsid w:val="00D47931"/>
    <w:rsid w:val="00D47B06"/>
    <w:rsid w:val="00D5041F"/>
    <w:rsid w:val="00D51A94"/>
    <w:rsid w:val="00D51B99"/>
    <w:rsid w:val="00D51C4E"/>
    <w:rsid w:val="00D520E0"/>
    <w:rsid w:val="00D52772"/>
    <w:rsid w:val="00D53815"/>
    <w:rsid w:val="00D53839"/>
    <w:rsid w:val="00D53BFE"/>
    <w:rsid w:val="00D5447E"/>
    <w:rsid w:val="00D544BB"/>
    <w:rsid w:val="00D54B6F"/>
    <w:rsid w:val="00D55210"/>
    <w:rsid w:val="00D56EA4"/>
    <w:rsid w:val="00D6028A"/>
    <w:rsid w:val="00D602EB"/>
    <w:rsid w:val="00D606C0"/>
    <w:rsid w:val="00D60B48"/>
    <w:rsid w:val="00D60BED"/>
    <w:rsid w:val="00D60EFC"/>
    <w:rsid w:val="00D61B38"/>
    <w:rsid w:val="00D61F20"/>
    <w:rsid w:val="00D61FD9"/>
    <w:rsid w:val="00D62261"/>
    <w:rsid w:val="00D633C9"/>
    <w:rsid w:val="00D63481"/>
    <w:rsid w:val="00D63869"/>
    <w:rsid w:val="00D63C37"/>
    <w:rsid w:val="00D64442"/>
    <w:rsid w:val="00D646F9"/>
    <w:rsid w:val="00D64BA7"/>
    <w:rsid w:val="00D6538B"/>
    <w:rsid w:val="00D656E6"/>
    <w:rsid w:val="00D6574E"/>
    <w:rsid w:val="00D6694D"/>
    <w:rsid w:val="00D66981"/>
    <w:rsid w:val="00D66F23"/>
    <w:rsid w:val="00D67428"/>
    <w:rsid w:val="00D678F2"/>
    <w:rsid w:val="00D70847"/>
    <w:rsid w:val="00D72507"/>
    <w:rsid w:val="00D72F17"/>
    <w:rsid w:val="00D731B2"/>
    <w:rsid w:val="00D7324C"/>
    <w:rsid w:val="00D73C42"/>
    <w:rsid w:val="00D7433F"/>
    <w:rsid w:val="00D7463D"/>
    <w:rsid w:val="00D753C3"/>
    <w:rsid w:val="00D75754"/>
    <w:rsid w:val="00D75CF0"/>
    <w:rsid w:val="00D77F9D"/>
    <w:rsid w:val="00D80664"/>
    <w:rsid w:val="00D80AE6"/>
    <w:rsid w:val="00D80E3E"/>
    <w:rsid w:val="00D81BFD"/>
    <w:rsid w:val="00D81CA6"/>
    <w:rsid w:val="00D82A76"/>
    <w:rsid w:val="00D82A8F"/>
    <w:rsid w:val="00D82DC4"/>
    <w:rsid w:val="00D82E42"/>
    <w:rsid w:val="00D8322F"/>
    <w:rsid w:val="00D84027"/>
    <w:rsid w:val="00D84806"/>
    <w:rsid w:val="00D84A47"/>
    <w:rsid w:val="00D85486"/>
    <w:rsid w:val="00D8611D"/>
    <w:rsid w:val="00D865D1"/>
    <w:rsid w:val="00D86B56"/>
    <w:rsid w:val="00D872F5"/>
    <w:rsid w:val="00D875AA"/>
    <w:rsid w:val="00D9011D"/>
    <w:rsid w:val="00D90F53"/>
    <w:rsid w:val="00D91D94"/>
    <w:rsid w:val="00D91F98"/>
    <w:rsid w:val="00D92886"/>
    <w:rsid w:val="00D92D1C"/>
    <w:rsid w:val="00D942A8"/>
    <w:rsid w:val="00D9433C"/>
    <w:rsid w:val="00D9445A"/>
    <w:rsid w:val="00D95180"/>
    <w:rsid w:val="00D951FC"/>
    <w:rsid w:val="00D95DAB"/>
    <w:rsid w:val="00D96279"/>
    <w:rsid w:val="00D9689E"/>
    <w:rsid w:val="00D97406"/>
    <w:rsid w:val="00D9747E"/>
    <w:rsid w:val="00D97AE5"/>
    <w:rsid w:val="00D97BE3"/>
    <w:rsid w:val="00DA0A39"/>
    <w:rsid w:val="00DA0B07"/>
    <w:rsid w:val="00DA1AA3"/>
    <w:rsid w:val="00DA1DF8"/>
    <w:rsid w:val="00DA2EAD"/>
    <w:rsid w:val="00DA3059"/>
    <w:rsid w:val="00DA3A9A"/>
    <w:rsid w:val="00DA3AB4"/>
    <w:rsid w:val="00DA3E75"/>
    <w:rsid w:val="00DA419E"/>
    <w:rsid w:val="00DA45FC"/>
    <w:rsid w:val="00DA4691"/>
    <w:rsid w:val="00DA4D0B"/>
    <w:rsid w:val="00DA4F31"/>
    <w:rsid w:val="00DA6599"/>
    <w:rsid w:val="00DA71D9"/>
    <w:rsid w:val="00DA7518"/>
    <w:rsid w:val="00DA7D5B"/>
    <w:rsid w:val="00DB0099"/>
    <w:rsid w:val="00DB180E"/>
    <w:rsid w:val="00DB1C05"/>
    <w:rsid w:val="00DB1EC6"/>
    <w:rsid w:val="00DB2555"/>
    <w:rsid w:val="00DB38EF"/>
    <w:rsid w:val="00DB491B"/>
    <w:rsid w:val="00DB53FA"/>
    <w:rsid w:val="00DB5407"/>
    <w:rsid w:val="00DB55BC"/>
    <w:rsid w:val="00DB5B0F"/>
    <w:rsid w:val="00DB6007"/>
    <w:rsid w:val="00DB6340"/>
    <w:rsid w:val="00DB6973"/>
    <w:rsid w:val="00DB70A4"/>
    <w:rsid w:val="00DB70D2"/>
    <w:rsid w:val="00DB78EC"/>
    <w:rsid w:val="00DC070B"/>
    <w:rsid w:val="00DC08C8"/>
    <w:rsid w:val="00DC0E11"/>
    <w:rsid w:val="00DC18FC"/>
    <w:rsid w:val="00DC2362"/>
    <w:rsid w:val="00DC268B"/>
    <w:rsid w:val="00DC3012"/>
    <w:rsid w:val="00DC3165"/>
    <w:rsid w:val="00DC3405"/>
    <w:rsid w:val="00DC381B"/>
    <w:rsid w:val="00DC3EC4"/>
    <w:rsid w:val="00DC43E9"/>
    <w:rsid w:val="00DC47D5"/>
    <w:rsid w:val="00DC51B5"/>
    <w:rsid w:val="00DC65F3"/>
    <w:rsid w:val="00DC6C78"/>
    <w:rsid w:val="00DC7275"/>
    <w:rsid w:val="00DD0A4E"/>
    <w:rsid w:val="00DD0CB6"/>
    <w:rsid w:val="00DD1C32"/>
    <w:rsid w:val="00DD1F3B"/>
    <w:rsid w:val="00DD22AC"/>
    <w:rsid w:val="00DD239D"/>
    <w:rsid w:val="00DD23C5"/>
    <w:rsid w:val="00DD273E"/>
    <w:rsid w:val="00DD3759"/>
    <w:rsid w:val="00DD46FF"/>
    <w:rsid w:val="00DD4DCF"/>
    <w:rsid w:val="00DD5974"/>
    <w:rsid w:val="00DD5F73"/>
    <w:rsid w:val="00DD66E5"/>
    <w:rsid w:val="00DD72F4"/>
    <w:rsid w:val="00DD7733"/>
    <w:rsid w:val="00DE047D"/>
    <w:rsid w:val="00DE071A"/>
    <w:rsid w:val="00DE13F3"/>
    <w:rsid w:val="00DE17B6"/>
    <w:rsid w:val="00DE1B10"/>
    <w:rsid w:val="00DE1DCE"/>
    <w:rsid w:val="00DE26A6"/>
    <w:rsid w:val="00DE3058"/>
    <w:rsid w:val="00DE35F9"/>
    <w:rsid w:val="00DE3925"/>
    <w:rsid w:val="00DE3E24"/>
    <w:rsid w:val="00DE475A"/>
    <w:rsid w:val="00DE486A"/>
    <w:rsid w:val="00DE4EEC"/>
    <w:rsid w:val="00DE5327"/>
    <w:rsid w:val="00DE6EBD"/>
    <w:rsid w:val="00DE6EE4"/>
    <w:rsid w:val="00DE7E59"/>
    <w:rsid w:val="00DF0206"/>
    <w:rsid w:val="00DF046E"/>
    <w:rsid w:val="00DF0AF1"/>
    <w:rsid w:val="00DF18C0"/>
    <w:rsid w:val="00DF25F8"/>
    <w:rsid w:val="00DF2CE0"/>
    <w:rsid w:val="00DF44FE"/>
    <w:rsid w:val="00DF47EE"/>
    <w:rsid w:val="00DF4985"/>
    <w:rsid w:val="00DF4BF2"/>
    <w:rsid w:val="00DF50C2"/>
    <w:rsid w:val="00DF593B"/>
    <w:rsid w:val="00DF5B02"/>
    <w:rsid w:val="00DF6373"/>
    <w:rsid w:val="00DF706B"/>
    <w:rsid w:val="00DF73F1"/>
    <w:rsid w:val="00DF75B5"/>
    <w:rsid w:val="00DF7E68"/>
    <w:rsid w:val="00E004BA"/>
    <w:rsid w:val="00E0163D"/>
    <w:rsid w:val="00E01B41"/>
    <w:rsid w:val="00E025A6"/>
    <w:rsid w:val="00E02673"/>
    <w:rsid w:val="00E02A2C"/>
    <w:rsid w:val="00E03325"/>
    <w:rsid w:val="00E034F4"/>
    <w:rsid w:val="00E03589"/>
    <w:rsid w:val="00E03C40"/>
    <w:rsid w:val="00E03CA1"/>
    <w:rsid w:val="00E043C3"/>
    <w:rsid w:val="00E0469F"/>
    <w:rsid w:val="00E05F06"/>
    <w:rsid w:val="00E05F8A"/>
    <w:rsid w:val="00E06D52"/>
    <w:rsid w:val="00E07613"/>
    <w:rsid w:val="00E07679"/>
    <w:rsid w:val="00E103D6"/>
    <w:rsid w:val="00E10867"/>
    <w:rsid w:val="00E10A47"/>
    <w:rsid w:val="00E10E3A"/>
    <w:rsid w:val="00E1138D"/>
    <w:rsid w:val="00E1277F"/>
    <w:rsid w:val="00E12875"/>
    <w:rsid w:val="00E12E90"/>
    <w:rsid w:val="00E12EC9"/>
    <w:rsid w:val="00E12FAE"/>
    <w:rsid w:val="00E132AB"/>
    <w:rsid w:val="00E13D97"/>
    <w:rsid w:val="00E14BEC"/>
    <w:rsid w:val="00E16153"/>
    <w:rsid w:val="00E20234"/>
    <w:rsid w:val="00E202EF"/>
    <w:rsid w:val="00E207EC"/>
    <w:rsid w:val="00E20D1A"/>
    <w:rsid w:val="00E21C97"/>
    <w:rsid w:val="00E22DB1"/>
    <w:rsid w:val="00E2413F"/>
    <w:rsid w:val="00E2462F"/>
    <w:rsid w:val="00E24DC7"/>
    <w:rsid w:val="00E25E2A"/>
    <w:rsid w:val="00E260BE"/>
    <w:rsid w:val="00E26E1A"/>
    <w:rsid w:val="00E26E8E"/>
    <w:rsid w:val="00E27970"/>
    <w:rsid w:val="00E27AEB"/>
    <w:rsid w:val="00E27B23"/>
    <w:rsid w:val="00E309BA"/>
    <w:rsid w:val="00E30D88"/>
    <w:rsid w:val="00E30F12"/>
    <w:rsid w:val="00E312D8"/>
    <w:rsid w:val="00E31665"/>
    <w:rsid w:val="00E320CA"/>
    <w:rsid w:val="00E320D1"/>
    <w:rsid w:val="00E325AB"/>
    <w:rsid w:val="00E326A4"/>
    <w:rsid w:val="00E3358E"/>
    <w:rsid w:val="00E3447B"/>
    <w:rsid w:val="00E3456C"/>
    <w:rsid w:val="00E34E92"/>
    <w:rsid w:val="00E350C6"/>
    <w:rsid w:val="00E3533B"/>
    <w:rsid w:val="00E3553C"/>
    <w:rsid w:val="00E35F5A"/>
    <w:rsid w:val="00E3633B"/>
    <w:rsid w:val="00E36590"/>
    <w:rsid w:val="00E367A4"/>
    <w:rsid w:val="00E36C51"/>
    <w:rsid w:val="00E36FE2"/>
    <w:rsid w:val="00E37E7D"/>
    <w:rsid w:val="00E40732"/>
    <w:rsid w:val="00E41763"/>
    <w:rsid w:val="00E42350"/>
    <w:rsid w:val="00E43024"/>
    <w:rsid w:val="00E431F5"/>
    <w:rsid w:val="00E443AE"/>
    <w:rsid w:val="00E44671"/>
    <w:rsid w:val="00E44D95"/>
    <w:rsid w:val="00E45166"/>
    <w:rsid w:val="00E46565"/>
    <w:rsid w:val="00E46F73"/>
    <w:rsid w:val="00E472BB"/>
    <w:rsid w:val="00E50124"/>
    <w:rsid w:val="00E502A0"/>
    <w:rsid w:val="00E50CCE"/>
    <w:rsid w:val="00E514EB"/>
    <w:rsid w:val="00E51F36"/>
    <w:rsid w:val="00E5209A"/>
    <w:rsid w:val="00E5238A"/>
    <w:rsid w:val="00E53665"/>
    <w:rsid w:val="00E53CD1"/>
    <w:rsid w:val="00E54537"/>
    <w:rsid w:val="00E54711"/>
    <w:rsid w:val="00E55112"/>
    <w:rsid w:val="00E55663"/>
    <w:rsid w:val="00E556E2"/>
    <w:rsid w:val="00E55D26"/>
    <w:rsid w:val="00E579E1"/>
    <w:rsid w:val="00E60BCE"/>
    <w:rsid w:val="00E60CE0"/>
    <w:rsid w:val="00E61FDD"/>
    <w:rsid w:val="00E621CD"/>
    <w:rsid w:val="00E6358E"/>
    <w:rsid w:val="00E63B7D"/>
    <w:rsid w:val="00E64E15"/>
    <w:rsid w:val="00E65379"/>
    <w:rsid w:val="00E65D32"/>
    <w:rsid w:val="00E66D7D"/>
    <w:rsid w:val="00E67B65"/>
    <w:rsid w:val="00E701D7"/>
    <w:rsid w:val="00E70B8D"/>
    <w:rsid w:val="00E71470"/>
    <w:rsid w:val="00E72D23"/>
    <w:rsid w:val="00E75706"/>
    <w:rsid w:val="00E76B9A"/>
    <w:rsid w:val="00E76EF0"/>
    <w:rsid w:val="00E77F82"/>
    <w:rsid w:val="00E8000A"/>
    <w:rsid w:val="00E809E9"/>
    <w:rsid w:val="00E8109B"/>
    <w:rsid w:val="00E82712"/>
    <w:rsid w:val="00E830AB"/>
    <w:rsid w:val="00E8363A"/>
    <w:rsid w:val="00E8389E"/>
    <w:rsid w:val="00E84A02"/>
    <w:rsid w:val="00E84BC7"/>
    <w:rsid w:val="00E85582"/>
    <w:rsid w:val="00E858DB"/>
    <w:rsid w:val="00E860AE"/>
    <w:rsid w:val="00E86260"/>
    <w:rsid w:val="00E86BAE"/>
    <w:rsid w:val="00E879CC"/>
    <w:rsid w:val="00E9128A"/>
    <w:rsid w:val="00E918D2"/>
    <w:rsid w:val="00E92444"/>
    <w:rsid w:val="00E93F9F"/>
    <w:rsid w:val="00E944C2"/>
    <w:rsid w:val="00E957B1"/>
    <w:rsid w:val="00E95C41"/>
    <w:rsid w:val="00E966D8"/>
    <w:rsid w:val="00E96E96"/>
    <w:rsid w:val="00E970B6"/>
    <w:rsid w:val="00E9786E"/>
    <w:rsid w:val="00E97BAC"/>
    <w:rsid w:val="00EA0819"/>
    <w:rsid w:val="00EA0838"/>
    <w:rsid w:val="00EA1592"/>
    <w:rsid w:val="00EA1756"/>
    <w:rsid w:val="00EA18E8"/>
    <w:rsid w:val="00EA1A4D"/>
    <w:rsid w:val="00EA21AE"/>
    <w:rsid w:val="00EA2AC9"/>
    <w:rsid w:val="00EA2B22"/>
    <w:rsid w:val="00EA3228"/>
    <w:rsid w:val="00EA3381"/>
    <w:rsid w:val="00EA38D4"/>
    <w:rsid w:val="00EA3EF0"/>
    <w:rsid w:val="00EA4465"/>
    <w:rsid w:val="00EA51D8"/>
    <w:rsid w:val="00EA6293"/>
    <w:rsid w:val="00EA6377"/>
    <w:rsid w:val="00EB1A48"/>
    <w:rsid w:val="00EB29E6"/>
    <w:rsid w:val="00EB2DFC"/>
    <w:rsid w:val="00EB3D94"/>
    <w:rsid w:val="00EB4448"/>
    <w:rsid w:val="00EB4832"/>
    <w:rsid w:val="00EB51FD"/>
    <w:rsid w:val="00EB579A"/>
    <w:rsid w:val="00EB5DDF"/>
    <w:rsid w:val="00EB5F97"/>
    <w:rsid w:val="00EB6305"/>
    <w:rsid w:val="00EB6A33"/>
    <w:rsid w:val="00EB6D3F"/>
    <w:rsid w:val="00EB70F1"/>
    <w:rsid w:val="00EB77DB"/>
    <w:rsid w:val="00EC06E1"/>
    <w:rsid w:val="00EC2CEC"/>
    <w:rsid w:val="00EC331F"/>
    <w:rsid w:val="00EC3368"/>
    <w:rsid w:val="00EC43A5"/>
    <w:rsid w:val="00EC4831"/>
    <w:rsid w:val="00EC4F61"/>
    <w:rsid w:val="00EC5568"/>
    <w:rsid w:val="00EC6079"/>
    <w:rsid w:val="00EC6E84"/>
    <w:rsid w:val="00EC6F10"/>
    <w:rsid w:val="00EC6FEE"/>
    <w:rsid w:val="00EC7311"/>
    <w:rsid w:val="00ED092F"/>
    <w:rsid w:val="00ED09F6"/>
    <w:rsid w:val="00ED13C8"/>
    <w:rsid w:val="00ED25DA"/>
    <w:rsid w:val="00ED284A"/>
    <w:rsid w:val="00ED2BAF"/>
    <w:rsid w:val="00ED362C"/>
    <w:rsid w:val="00ED3C5F"/>
    <w:rsid w:val="00ED4982"/>
    <w:rsid w:val="00ED4C08"/>
    <w:rsid w:val="00ED5FCA"/>
    <w:rsid w:val="00ED60CF"/>
    <w:rsid w:val="00ED757B"/>
    <w:rsid w:val="00EE0A78"/>
    <w:rsid w:val="00EE1061"/>
    <w:rsid w:val="00EE1B06"/>
    <w:rsid w:val="00EE29FA"/>
    <w:rsid w:val="00EE2B14"/>
    <w:rsid w:val="00EE4456"/>
    <w:rsid w:val="00EE48E6"/>
    <w:rsid w:val="00EE52D8"/>
    <w:rsid w:val="00EE67F5"/>
    <w:rsid w:val="00EE6DE2"/>
    <w:rsid w:val="00EE76DE"/>
    <w:rsid w:val="00EE7CEC"/>
    <w:rsid w:val="00EF0AC1"/>
    <w:rsid w:val="00EF0F79"/>
    <w:rsid w:val="00EF1009"/>
    <w:rsid w:val="00EF17EC"/>
    <w:rsid w:val="00EF18C7"/>
    <w:rsid w:val="00EF191B"/>
    <w:rsid w:val="00EF25E5"/>
    <w:rsid w:val="00EF274C"/>
    <w:rsid w:val="00EF2FB8"/>
    <w:rsid w:val="00EF3352"/>
    <w:rsid w:val="00EF3C2F"/>
    <w:rsid w:val="00EF4348"/>
    <w:rsid w:val="00EF4B91"/>
    <w:rsid w:val="00EF5E2C"/>
    <w:rsid w:val="00EF651B"/>
    <w:rsid w:val="00EF6AAD"/>
    <w:rsid w:val="00EF7EDE"/>
    <w:rsid w:val="00F00A5E"/>
    <w:rsid w:val="00F00FBC"/>
    <w:rsid w:val="00F01B4C"/>
    <w:rsid w:val="00F01CD2"/>
    <w:rsid w:val="00F03875"/>
    <w:rsid w:val="00F03C5C"/>
    <w:rsid w:val="00F04094"/>
    <w:rsid w:val="00F04872"/>
    <w:rsid w:val="00F04C94"/>
    <w:rsid w:val="00F04F3F"/>
    <w:rsid w:val="00F0523F"/>
    <w:rsid w:val="00F054B9"/>
    <w:rsid w:val="00F05C88"/>
    <w:rsid w:val="00F06742"/>
    <w:rsid w:val="00F07352"/>
    <w:rsid w:val="00F1050B"/>
    <w:rsid w:val="00F10D67"/>
    <w:rsid w:val="00F11188"/>
    <w:rsid w:val="00F11519"/>
    <w:rsid w:val="00F11C43"/>
    <w:rsid w:val="00F11E7F"/>
    <w:rsid w:val="00F12253"/>
    <w:rsid w:val="00F129DD"/>
    <w:rsid w:val="00F1327D"/>
    <w:rsid w:val="00F14010"/>
    <w:rsid w:val="00F14831"/>
    <w:rsid w:val="00F1526A"/>
    <w:rsid w:val="00F1551F"/>
    <w:rsid w:val="00F1664F"/>
    <w:rsid w:val="00F16AF8"/>
    <w:rsid w:val="00F16C7E"/>
    <w:rsid w:val="00F16CE6"/>
    <w:rsid w:val="00F174F5"/>
    <w:rsid w:val="00F1776C"/>
    <w:rsid w:val="00F17BBC"/>
    <w:rsid w:val="00F17C28"/>
    <w:rsid w:val="00F206AA"/>
    <w:rsid w:val="00F20A1E"/>
    <w:rsid w:val="00F21951"/>
    <w:rsid w:val="00F230D7"/>
    <w:rsid w:val="00F23407"/>
    <w:rsid w:val="00F23652"/>
    <w:rsid w:val="00F237A2"/>
    <w:rsid w:val="00F24372"/>
    <w:rsid w:val="00F24620"/>
    <w:rsid w:val="00F25615"/>
    <w:rsid w:val="00F25B93"/>
    <w:rsid w:val="00F25C7F"/>
    <w:rsid w:val="00F26A4F"/>
    <w:rsid w:val="00F305E8"/>
    <w:rsid w:val="00F31455"/>
    <w:rsid w:val="00F3201A"/>
    <w:rsid w:val="00F325BF"/>
    <w:rsid w:val="00F32D04"/>
    <w:rsid w:val="00F33203"/>
    <w:rsid w:val="00F3334D"/>
    <w:rsid w:val="00F3378D"/>
    <w:rsid w:val="00F33A68"/>
    <w:rsid w:val="00F3432A"/>
    <w:rsid w:val="00F3515E"/>
    <w:rsid w:val="00F35441"/>
    <w:rsid w:val="00F358E3"/>
    <w:rsid w:val="00F35B4A"/>
    <w:rsid w:val="00F35FC0"/>
    <w:rsid w:val="00F36B2D"/>
    <w:rsid w:val="00F36BE3"/>
    <w:rsid w:val="00F36C0E"/>
    <w:rsid w:val="00F370FB"/>
    <w:rsid w:val="00F37336"/>
    <w:rsid w:val="00F37ED8"/>
    <w:rsid w:val="00F4030F"/>
    <w:rsid w:val="00F40F3D"/>
    <w:rsid w:val="00F41546"/>
    <w:rsid w:val="00F41C81"/>
    <w:rsid w:val="00F41C83"/>
    <w:rsid w:val="00F41CA3"/>
    <w:rsid w:val="00F41D9F"/>
    <w:rsid w:val="00F41DF6"/>
    <w:rsid w:val="00F42696"/>
    <w:rsid w:val="00F4302C"/>
    <w:rsid w:val="00F43256"/>
    <w:rsid w:val="00F43C55"/>
    <w:rsid w:val="00F44003"/>
    <w:rsid w:val="00F441BE"/>
    <w:rsid w:val="00F44254"/>
    <w:rsid w:val="00F44259"/>
    <w:rsid w:val="00F44557"/>
    <w:rsid w:val="00F448BF"/>
    <w:rsid w:val="00F449AE"/>
    <w:rsid w:val="00F449F5"/>
    <w:rsid w:val="00F44B2F"/>
    <w:rsid w:val="00F44FFD"/>
    <w:rsid w:val="00F45995"/>
    <w:rsid w:val="00F45CE5"/>
    <w:rsid w:val="00F47A4D"/>
    <w:rsid w:val="00F47F75"/>
    <w:rsid w:val="00F50CEF"/>
    <w:rsid w:val="00F50E18"/>
    <w:rsid w:val="00F50FF8"/>
    <w:rsid w:val="00F51AFD"/>
    <w:rsid w:val="00F52597"/>
    <w:rsid w:val="00F528D1"/>
    <w:rsid w:val="00F530A7"/>
    <w:rsid w:val="00F53A54"/>
    <w:rsid w:val="00F54C01"/>
    <w:rsid w:val="00F56705"/>
    <w:rsid w:val="00F56DD9"/>
    <w:rsid w:val="00F56E29"/>
    <w:rsid w:val="00F574A7"/>
    <w:rsid w:val="00F578F2"/>
    <w:rsid w:val="00F57D45"/>
    <w:rsid w:val="00F605A8"/>
    <w:rsid w:val="00F61DB8"/>
    <w:rsid w:val="00F61EAC"/>
    <w:rsid w:val="00F61F2C"/>
    <w:rsid w:val="00F621B3"/>
    <w:rsid w:val="00F6253C"/>
    <w:rsid w:val="00F62AA7"/>
    <w:rsid w:val="00F639FD"/>
    <w:rsid w:val="00F63C8C"/>
    <w:rsid w:val="00F641A6"/>
    <w:rsid w:val="00F645D4"/>
    <w:rsid w:val="00F64FAD"/>
    <w:rsid w:val="00F67445"/>
    <w:rsid w:val="00F67716"/>
    <w:rsid w:val="00F677F0"/>
    <w:rsid w:val="00F7015F"/>
    <w:rsid w:val="00F70442"/>
    <w:rsid w:val="00F72183"/>
    <w:rsid w:val="00F729BE"/>
    <w:rsid w:val="00F72B7B"/>
    <w:rsid w:val="00F72D16"/>
    <w:rsid w:val="00F72DFF"/>
    <w:rsid w:val="00F73045"/>
    <w:rsid w:val="00F74229"/>
    <w:rsid w:val="00F75058"/>
    <w:rsid w:val="00F75220"/>
    <w:rsid w:val="00F7547A"/>
    <w:rsid w:val="00F75CBB"/>
    <w:rsid w:val="00F765C1"/>
    <w:rsid w:val="00F766E6"/>
    <w:rsid w:val="00F76728"/>
    <w:rsid w:val="00F76BAC"/>
    <w:rsid w:val="00F76D4A"/>
    <w:rsid w:val="00F76E4F"/>
    <w:rsid w:val="00F7792E"/>
    <w:rsid w:val="00F806B1"/>
    <w:rsid w:val="00F8109E"/>
    <w:rsid w:val="00F81D58"/>
    <w:rsid w:val="00F826C0"/>
    <w:rsid w:val="00F82824"/>
    <w:rsid w:val="00F831C3"/>
    <w:rsid w:val="00F8351A"/>
    <w:rsid w:val="00F83B61"/>
    <w:rsid w:val="00F840B1"/>
    <w:rsid w:val="00F84A38"/>
    <w:rsid w:val="00F84C7C"/>
    <w:rsid w:val="00F856A8"/>
    <w:rsid w:val="00F85946"/>
    <w:rsid w:val="00F8631A"/>
    <w:rsid w:val="00F866EF"/>
    <w:rsid w:val="00F8737C"/>
    <w:rsid w:val="00F87569"/>
    <w:rsid w:val="00F903E5"/>
    <w:rsid w:val="00F9058D"/>
    <w:rsid w:val="00F9117F"/>
    <w:rsid w:val="00F915A1"/>
    <w:rsid w:val="00F91BE6"/>
    <w:rsid w:val="00F91D6D"/>
    <w:rsid w:val="00F92B3A"/>
    <w:rsid w:val="00F93920"/>
    <w:rsid w:val="00F952D5"/>
    <w:rsid w:val="00F953D1"/>
    <w:rsid w:val="00F95AC5"/>
    <w:rsid w:val="00F9625F"/>
    <w:rsid w:val="00F96D76"/>
    <w:rsid w:val="00F970B6"/>
    <w:rsid w:val="00F976DE"/>
    <w:rsid w:val="00FA0CC1"/>
    <w:rsid w:val="00FA1FFE"/>
    <w:rsid w:val="00FA2DBA"/>
    <w:rsid w:val="00FA4473"/>
    <w:rsid w:val="00FA5589"/>
    <w:rsid w:val="00FA60D7"/>
    <w:rsid w:val="00FA6B06"/>
    <w:rsid w:val="00FA75E9"/>
    <w:rsid w:val="00FB09F7"/>
    <w:rsid w:val="00FB10ED"/>
    <w:rsid w:val="00FB182B"/>
    <w:rsid w:val="00FB2A1E"/>
    <w:rsid w:val="00FB2C64"/>
    <w:rsid w:val="00FB3972"/>
    <w:rsid w:val="00FB47E4"/>
    <w:rsid w:val="00FB4A26"/>
    <w:rsid w:val="00FB54DC"/>
    <w:rsid w:val="00FB5978"/>
    <w:rsid w:val="00FB6C9C"/>
    <w:rsid w:val="00FB6E35"/>
    <w:rsid w:val="00FB6F78"/>
    <w:rsid w:val="00FB7749"/>
    <w:rsid w:val="00FC0706"/>
    <w:rsid w:val="00FC1902"/>
    <w:rsid w:val="00FC2315"/>
    <w:rsid w:val="00FC2D4C"/>
    <w:rsid w:val="00FC35B4"/>
    <w:rsid w:val="00FC39F9"/>
    <w:rsid w:val="00FC3D63"/>
    <w:rsid w:val="00FC4167"/>
    <w:rsid w:val="00FC482A"/>
    <w:rsid w:val="00FC5418"/>
    <w:rsid w:val="00FC5A17"/>
    <w:rsid w:val="00FC60B9"/>
    <w:rsid w:val="00FC6BDD"/>
    <w:rsid w:val="00FC76F0"/>
    <w:rsid w:val="00FD028A"/>
    <w:rsid w:val="00FD0A8C"/>
    <w:rsid w:val="00FD0C0D"/>
    <w:rsid w:val="00FD0CE0"/>
    <w:rsid w:val="00FD6653"/>
    <w:rsid w:val="00FD7920"/>
    <w:rsid w:val="00FE0532"/>
    <w:rsid w:val="00FE10D1"/>
    <w:rsid w:val="00FE1210"/>
    <w:rsid w:val="00FE1424"/>
    <w:rsid w:val="00FE2203"/>
    <w:rsid w:val="00FE245F"/>
    <w:rsid w:val="00FE3099"/>
    <w:rsid w:val="00FE452D"/>
    <w:rsid w:val="00FE5371"/>
    <w:rsid w:val="00FE5583"/>
    <w:rsid w:val="00FE6064"/>
    <w:rsid w:val="00FE60EB"/>
    <w:rsid w:val="00FE6228"/>
    <w:rsid w:val="00FE6491"/>
    <w:rsid w:val="00FE6497"/>
    <w:rsid w:val="00FE68EB"/>
    <w:rsid w:val="00FE780C"/>
    <w:rsid w:val="00FE7959"/>
    <w:rsid w:val="00FF0AC1"/>
    <w:rsid w:val="00FF0F80"/>
    <w:rsid w:val="00FF13CC"/>
    <w:rsid w:val="00FF15D8"/>
    <w:rsid w:val="00FF2072"/>
    <w:rsid w:val="00FF2CFD"/>
    <w:rsid w:val="00FF2FDD"/>
    <w:rsid w:val="00FF3119"/>
    <w:rsid w:val="00FF31C3"/>
    <w:rsid w:val="00FF3886"/>
    <w:rsid w:val="00FF4393"/>
    <w:rsid w:val="00FF4DD4"/>
    <w:rsid w:val="00FF50FF"/>
    <w:rsid w:val="00FF5847"/>
    <w:rsid w:val="00FF6618"/>
    <w:rsid w:val="00FF6F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5377C5AB"/>
  <w15:chartTrackingRefBased/>
  <w15:docId w15:val="{759C4BC3-1ED8-487B-BCDD-D07DA209D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CF0458"/>
    <w:pPr>
      <w:widowControl w:val="0"/>
      <w:jc w:val="both"/>
    </w:pPr>
  </w:style>
  <w:style w:type="paragraph" w:styleId="1">
    <w:name w:val="heading 1"/>
    <w:basedOn w:val="a1"/>
    <w:next w:val="a2"/>
    <w:link w:val="11"/>
    <w:autoRedefine/>
    <w:uiPriority w:val="9"/>
    <w:qFormat/>
    <w:rsid w:val="007A5286"/>
    <w:pPr>
      <w:keepNext/>
      <w:numPr>
        <w:numId w:val="39"/>
      </w:numPr>
      <w:outlineLvl w:val="0"/>
    </w:pPr>
    <w:rPr>
      <w:rFonts w:ascii="Times New Roman" w:eastAsiaTheme="minorHAnsi" w:hAnsi="Times New Roman" w:cs="Times New Roman"/>
      <w:b/>
      <w:sz w:val="28"/>
    </w:rPr>
  </w:style>
  <w:style w:type="paragraph" w:styleId="20">
    <w:name w:val="heading 2"/>
    <w:basedOn w:val="a1"/>
    <w:next w:val="a2"/>
    <w:link w:val="22"/>
    <w:uiPriority w:val="9"/>
    <w:unhideWhenUsed/>
    <w:qFormat/>
    <w:rsid w:val="008939D3"/>
    <w:pPr>
      <w:keepNext/>
      <w:numPr>
        <w:ilvl w:val="1"/>
        <w:numId w:val="39"/>
      </w:numPr>
      <w:outlineLvl w:val="1"/>
    </w:pPr>
    <w:rPr>
      <w:rFonts w:ascii="Times New Roman" w:hAnsi="Times New Roman" w:cstheme="majorBidi"/>
      <w:b/>
      <w:sz w:val="24"/>
    </w:rPr>
  </w:style>
  <w:style w:type="paragraph" w:styleId="3">
    <w:name w:val="heading 3"/>
    <w:basedOn w:val="a1"/>
    <w:next w:val="a2"/>
    <w:link w:val="30"/>
    <w:uiPriority w:val="9"/>
    <w:unhideWhenUsed/>
    <w:qFormat/>
    <w:rsid w:val="002A56BC"/>
    <w:pPr>
      <w:keepNext/>
      <w:numPr>
        <w:ilvl w:val="2"/>
        <w:numId w:val="39"/>
      </w:numPr>
      <w:outlineLvl w:val="2"/>
    </w:pPr>
    <w:rPr>
      <w:rFonts w:ascii="Times New Roman" w:eastAsia="游明朝" w:hAnsi="Times New Roman" w:cstheme="majorBidi"/>
      <w:b/>
      <w:sz w:val="24"/>
    </w:rPr>
  </w:style>
  <w:style w:type="paragraph" w:styleId="4">
    <w:name w:val="heading 4"/>
    <w:aliases w:val="タイトル"/>
    <w:basedOn w:val="a1"/>
    <w:next w:val="a1"/>
    <w:link w:val="40"/>
    <w:uiPriority w:val="9"/>
    <w:unhideWhenUsed/>
    <w:qFormat/>
    <w:rsid w:val="001B06A7"/>
    <w:pPr>
      <w:keepNext/>
      <w:jc w:val="center"/>
      <w:outlineLvl w:val="3"/>
    </w:pPr>
    <w:rPr>
      <w:rFonts w:ascii="Times New Roman" w:hAnsi="Times New Roman"/>
      <w:b/>
      <w:bCs/>
      <w:sz w:val="32"/>
    </w:rPr>
  </w:style>
  <w:style w:type="paragraph" w:styleId="5">
    <w:name w:val="heading 5"/>
    <w:aliases w:val="Appendix"/>
    <w:basedOn w:val="1"/>
    <w:next w:val="a2"/>
    <w:link w:val="50"/>
    <w:uiPriority w:val="9"/>
    <w:unhideWhenUsed/>
    <w:qFormat/>
    <w:rsid w:val="0065506D"/>
    <w:pPr>
      <w:numPr>
        <w:numId w:val="29"/>
      </w:numPr>
      <w:outlineLvl w:val="4"/>
    </w:pPr>
    <w:rPr>
      <w:rFonts w:eastAsia="游明朝"/>
      <w:sz w:val="24"/>
    </w:rPr>
  </w:style>
  <w:style w:type="paragraph" w:styleId="6">
    <w:name w:val="heading 6"/>
    <w:basedOn w:val="a1"/>
    <w:next w:val="a1"/>
    <w:link w:val="60"/>
    <w:uiPriority w:val="9"/>
    <w:semiHidden/>
    <w:unhideWhenUsed/>
    <w:qFormat/>
    <w:rsid w:val="00862A91"/>
    <w:pPr>
      <w:keepNext/>
      <w:ind w:leftChars="800" w:left="800"/>
      <w:outlineLvl w:val="5"/>
    </w:pPr>
    <w:rPr>
      <w:b/>
      <w:bCs/>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12">
    <w:name w:val="段落1"/>
    <w:basedOn w:val="a6"/>
    <w:next w:val="a6"/>
    <w:link w:val="13"/>
    <w:autoRedefine/>
    <w:rsid w:val="00350DC9"/>
    <w:rPr>
      <w:b/>
      <w:sz w:val="28"/>
    </w:rPr>
  </w:style>
  <w:style w:type="character" w:customStyle="1" w:styleId="13">
    <w:name w:val="段落1 (文字)"/>
    <w:basedOn w:val="a3"/>
    <w:link w:val="12"/>
    <w:rsid w:val="00350DC9"/>
    <w:rPr>
      <w:b/>
      <w:sz w:val="28"/>
    </w:rPr>
  </w:style>
  <w:style w:type="paragraph" w:styleId="a6">
    <w:name w:val="Body Text"/>
    <w:basedOn w:val="a1"/>
    <w:link w:val="a7"/>
    <w:uiPriority w:val="99"/>
    <w:unhideWhenUsed/>
    <w:rsid w:val="00350DC9"/>
  </w:style>
  <w:style w:type="character" w:customStyle="1" w:styleId="a7">
    <w:name w:val="本文 (文字)"/>
    <w:basedOn w:val="a3"/>
    <w:link w:val="a6"/>
    <w:uiPriority w:val="99"/>
    <w:rsid w:val="00B858C3"/>
  </w:style>
  <w:style w:type="paragraph" w:customStyle="1" w:styleId="23">
    <w:name w:val="段落2"/>
    <w:basedOn w:val="a6"/>
    <w:next w:val="a6"/>
    <w:link w:val="24"/>
    <w:autoRedefine/>
    <w:rsid w:val="00350DC9"/>
    <w:rPr>
      <w:sz w:val="24"/>
    </w:rPr>
  </w:style>
  <w:style w:type="character" w:customStyle="1" w:styleId="24">
    <w:name w:val="段落2 (文字)"/>
    <w:basedOn w:val="a7"/>
    <w:link w:val="23"/>
    <w:rsid w:val="0048323B"/>
    <w:rPr>
      <w:sz w:val="24"/>
    </w:rPr>
  </w:style>
  <w:style w:type="numbering" w:customStyle="1" w:styleId="10">
    <w:name w:val="スタイル1"/>
    <w:uiPriority w:val="99"/>
    <w:rsid w:val="00EC6E84"/>
    <w:pPr>
      <w:numPr>
        <w:numId w:val="1"/>
      </w:numPr>
    </w:pPr>
  </w:style>
  <w:style w:type="numbering" w:customStyle="1" w:styleId="2">
    <w:name w:val="スタイル2"/>
    <w:uiPriority w:val="99"/>
    <w:rsid w:val="008939D3"/>
    <w:pPr>
      <w:numPr>
        <w:numId w:val="2"/>
      </w:numPr>
    </w:pPr>
  </w:style>
  <w:style w:type="numbering" w:customStyle="1" w:styleId="a">
    <w:name w:val="スタイル３"/>
    <w:uiPriority w:val="99"/>
    <w:rsid w:val="008939D3"/>
    <w:pPr>
      <w:numPr>
        <w:numId w:val="3"/>
      </w:numPr>
    </w:pPr>
  </w:style>
  <w:style w:type="numbering" w:customStyle="1" w:styleId="a0">
    <w:name w:val="段落２"/>
    <w:uiPriority w:val="99"/>
    <w:rsid w:val="00350DC9"/>
    <w:pPr>
      <w:numPr>
        <w:numId w:val="4"/>
      </w:numPr>
    </w:pPr>
  </w:style>
  <w:style w:type="paragraph" w:customStyle="1" w:styleId="31">
    <w:name w:val="スタイル3"/>
    <w:basedOn w:val="12"/>
    <w:link w:val="32"/>
    <w:rsid w:val="00350DC9"/>
    <w:pPr>
      <w:ind w:left="425" w:hanging="425"/>
    </w:pPr>
  </w:style>
  <w:style w:type="paragraph" w:customStyle="1" w:styleId="41">
    <w:name w:val="スタイル4"/>
    <w:basedOn w:val="12"/>
    <w:next w:val="a6"/>
    <w:link w:val="42"/>
    <w:autoRedefine/>
    <w:rsid w:val="00350DC9"/>
    <w:rPr>
      <w:rFonts w:eastAsia="Times New Roman"/>
    </w:rPr>
  </w:style>
  <w:style w:type="character" w:customStyle="1" w:styleId="32">
    <w:name w:val="スタイル3 (文字)"/>
    <w:basedOn w:val="13"/>
    <w:link w:val="31"/>
    <w:rsid w:val="00350DC9"/>
    <w:rPr>
      <w:b/>
      <w:sz w:val="28"/>
      <w:szCs w:val="24"/>
    </w:rPr>
  </w:style>
  <w:style w:type="character" w:customStyle="1" w:styleId="22">
    <w:name w:val="見出し 2 (文字)"/>
    <w:basedOn w:val="a3"/>
    <w:link w:val="20"/>
    <w:uiPriority w:val="9"/>
    <w:rsid w:val="00611473"/>
    <w:rPr>
      <w:rFonts w:ascii="Times New Roman" w:hAnsi="Times New Roman" w:cstheme="majorBidi"/>
      <w:b/>
      <w:sz w:val="24"/>
      <w:szCs w:val="24"/>
    </w:rPr>
  </w:style>
  <w:style w:type="character" w:customStyle="1" w:styleId="42">
    <w:name w:val="スタイル4 (文字)"/>
    <w:basedOn w:val="13"/>
    <w:link w:val="41"/>
    <w:rsid w:val="00350DC9"/>
    <w:rPr>
      <w:rFonts w:eastAsia="Times New Roman"/>
      <w:b/>
      <w:sz w:val="28"/>
    </w:rPr>
  </w:style>
  <w:style w:type="character" w:customStyle="1" w:styleId="11">
    <w:name w:val="見出し 1 (文字)"/>
    <w:basedOn w:val="a3"/>
    <w:link w:val="1"/>
    <w:uiPriority w:val="9"/>
    <w:rsid w:val="007A5286"/>
    <w:rPr>
      <w:rFonts w:ascii="Times New Roman" w:eastAsiaTheme="minorHAnsi" w:hAnsi="Times New Roman" w:cs="Times New Roman"/>
      <w:b/>
      <w:sz w:val="28"/>
    </w:rPr>
  </w:style>
  <w:style w:type="paragraph" w:styleId="a8">
    <w:name w:val="List Paragraph"/>
    <w:basedOn w:val="a1"/>
    <w:uiPriority w:val="1"/>
    <w:rsid w:val="0081321E"/>
    <w:pPr>
      <w:ind w:leftChars="400" w:left="840"/>
    </w:pPr>
  </w:style>
  <w:style w:type="character" w:customStyle="1" w:styleId="30">
    <w:name w:val="見出し 3 (文字)"/>
    <w:basedOn w:val="a3"/>
    <w:link w:val="3"/>
    <w:uiPriority w:val="9"/>
    <w:rsid w:val="002A56BC"/>
    <w:rPr>
      <w:rFonts w:ascii="Times New Roman" w:eastAsia="游明朝" w:hAnsi="Times New Roman" w:cstheme="majorBidi"/>
      <w:b/>
      <w:sz w:val="24"/>
    </w:rPr>
  </w:style>
  <w:style w:type="character" w:customStyle="1" w:styleId="40">
    <w:name w:val="見出し 4 (文字)"/>
    <w:aliases w:val="タイトル (文字)"/>
    <w:basedOn w:val="a3"/>
    <w:link w:val="4"/>
    <w:uiPriority w:val="9"/>
    <w:rsid w:val="001B06A7"/>
    <w:rPr>
      <w:rFonts w:ascii="Times New Roman" w:hAnsi="Times New Roman"/>
      <w:b/>
      <w:bCs/>
      <w:sz w:val="32"/>
    </w:rPr>
  </w:style>
  <w:style w:type="paragraph" w:styleId="a9">
    <w:name w:val="Date"/>
    <w:basedOn w:val="a1"/>
    <w:next w:val="a1"/>
    <w:link w:val="aa"/>
    <w:uiPriority w:val="99"/>
    <w:semiHidden/>
    <w:unhideWhenUsed/>
    <w:rsid w:val="00E1138D"/>
  </w:style>
  <w:style w:type="character" w:customStyle="1" w:styleId="aa">
    <w:name w:val="日付 (文字)"/>
    <w:basedOn w:val="a3"/>
    <w:link w:val="a9"/>
    <w:uiPriority w:val="99"/>
    <w:semiHidden/>
    <w:rsid w:val="00E1138D"/>
  </w:style>
  <w:style w:type="character" w:styleId="ab">
    <w:name w:val="Placeholder Text"/>
    <w:basedOn w:val="a3"/>
    <w:uiPriority w:val="99"/>
    <w:semiHidden/>
    <w:rsid w:val="00177316"/>
    <w:rPr>
      <w:color w:val="808080"/>
    </w:rPr>
  </w:style>
  <w:style w:type="table" w:styleId="ac">
    <w:name w:val="Table Grid"/>
    <w:basedOn w:val="a4"/>
    <w:uiPriority w:val="39"/>
    <w:rsid w:val="003A36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1"/>
    <w:next w:val="a1"/>
    <w:uiPriority w:val="35"/>
    <w:unhideWhenUsed/>
    <w:qFormat/>
    <w:rsid w:val="003A369D"/>
    <w:rPr>
      <w:b/>
      <w:bCs/>
    </w:rPr>
  </w:style>
  <w:style w:type="paragraph" w:styleId="ae">
    <w:name w:val="header"/>
    <w:basedOn w:val="a1"/>
    <w:link w:val="af"/>
    <w:uiPriority w:val="99"/>
    <w:unhideWhenUsed/>
    <w:rsid w:val="00D91D94"/>
    <w:pPr>
      <w:tabs>
        <w:tab w:val="center" w:pos="4252"/>
        <w:tab w:val="right" w:pos="8504"/>
      </w:tabs>
      <w:snapToGrid w:val="0"/>
    </w:pPr>
  </w:style>
  <w:style w:type="character" w:customStyle="1" w:styleId="af">
    <w:name w:val="ヘッダー (文字)"/>
    <w:basedOn w:val="a3"/>
    <w:link w:val="ae"/>
    <w:uiPriority w:val="99"/>
    <w:rsid w:val="00D91D94"/>
  </w:style>
  <w:style w:type="paragraph" w:styleId="af0">
    <w:name w:val="footer"/>
    <w:basedOn w:val="a1"/>
    <w:link w:val="af1"/>
    <w:uiPriority w:val="99"/>
    <w:unhideWhenUsed/>
    <w:rsid w:val="00D91D94"/>
    <w:pPr>
      <w:tabs>
        <w:tab w:val="center" w:pos="4252"/>
        <w:tab w:val="right" w:pos="8504"/>
      </w:tabs>
      <w:snapToGrid w:val="0"/>
    </w:pPr>
  </w:style>
  <w:style w:type="character" w:customStyle="1" w:styleId="af1">
    <w:name w:val="フッター (文字)"/>
    <w:basedOn w:val="a3"/>
    <w:link w:val="af0"/>
    <w:uiPriority w:val="99"/>
    <w:rsid w:val="00D91D94"/>
  </w:style>
  <w:style w:type="paragraph" w:styleId="af2">
    <w:name w:val="Balloon Text"/>
    <w:basedOn w:val="a1"/>
    <w:link w:val="af3"/>
    <w:uiPriority w:val="99"/>
    <w:semiHidden/>
    <w:unhideWhenUsed/>
    <w:rsid w:val="009F6375"/>
    <w:rPr>
      <w:rFonts w:asciiTheme="majorHAnsi" w:eastAsiaTheme="majorEastAsia" w:hAnsiTheme="majorHAnsi" w:cstheme="majorBidi"/>
      <w:sz w:val="18"/>
      <w:szCs w:val="18"/>
    </w:rPr>
  </w:style>
  <w:style w:type="character" w:customStyle="1" w:styleId="af3">
    <w:name w:val="吹き出し (文字)"/>
    <w:basedOn w:val="a3"/>
    <w:link w:val="af2"/>
    <w:uiPriority w:val="99"/>
    <w:semiHidden/>
    <w:rsid w:val="009F6375"/>
    <w:rPr>
      <w:rFonts w:asciiTheme="majorHAnsi" w:eastAsiaTheme="majorEastAsia" w:hAnsiTheme="majorHAnsi" w:cstheme="majorBidi"/>
      <w:sz w:val="18"/>
      <w:szCs w:val="18"/>
    </w:rPr>
  </w:style>
  <w:style w:type="paragraph" w:styleId="af4">
    <w:name w:val="footnote text"/>
    <w:basedOn w:val="a1"/>
    <w:link w:val="af5"/>
    <w:uiPriority w:val="99"/>
    <w:semiHidden/>
    <w:unhideWhenUsed/>
    <w:rsid w:val="004D5D9D"/>
    <w:pPr>
      <w:snapToGrid w:val="0"/>
      <w:jc w:val="left"/>
    </w:pPr>
  </w:style>
  <w:style w:type="character" w:customStyle="1" w:styleId="af5">
    <w:name w:val="脚注文字列 (文字)"/>
    <w:basedOn w:val="a3"/>
    <w:link w:val="af4"/>
    <w:uiPriority w:val="99"/>
    <w:semiHidden/>
    <w:rsid w:val="004D5D9D"/>
  </w:style>
  <w:style w:type="character" w:styleId="af6">
    <w:name w:val="footnote reference"/>
    <w:basedOn w:val="a3"/>
    <w:uiPriority w:val="99"/>
    <w:semiHidden/>
    <w:unhideWhenUsed/>
    <w:rsid w:val="004D5D9D"/>
    <w:rPr>
      <w:vertAlign w:val="superscript"/>
    </w:rPr>
  </w:style>
  <w:style w:type="paragraph" w:styleId="af7">
    <w:name w:val="No Spacing"/>
    <w:uiPriority w:val="1"/>
    <w:rsid w:val="00BC2CA2"/>
    <w:pPr>
      <w:widowControl w:val="0"/>
      <w:jc w:val="both"/>
    </w:pPr>
    <w:rPr>
      <w:szCs w:val="24"/>
    </w:rPr>
  </w:style>
  <w:style w:type="character" w:styleId="af8">
    <w:name w:val="annotation reference"/>
    <w:basedOn w:val="a3"/>
    <w:uiPriority w:val="99"/>
    <w:semiHidden/>
    <w:unhideWhenUsed/>
    <w:rsid w:val="00884B51"/>
    <w:rPr>
      <w:sz w:val="18"/>
      <w:szCs w:val="18"/>
    </w:rPr>
  </w:style>
  <w:style w:type="paragraph" w:styleId="af9">
    <w:name w:val="annotation text"/>
    <w:basedOn w:val="a1"/>
    <w:link w:val="afa"/>
    <w:uiPriority w:val="99"/>
    <w:semiHidden/>
    <w:unhideWhenUsed/>
    <w:rsid w:val="00884B51"/>
    <w:pPr>
      <w:jc w:val="left"/>
    </w:pPr>
  </w:style>
  <w:style w:type="character" w:customStyle="1" w:styleId="afa">
    <w:name w:val="コメント文字列 (文字)"/>
    <w:basedOn w:val="a3"/>
    <w:link w:val="af9"/>
    <w:uiPriority w:val="99"/>
    <w:semiHidden/>
    <w:rsid w:val="00884B51"/>
    <w:rPr>
      <w:szCs w:val="24"/>
    </w:rPr>
  </w:style>
  <w:style w:type="paragraph" w:styleId="afb">
    <w:name w:val="annotation subject"/>
    <w:basedOn w:val="af9"/>
    <w:next w:val="af9"/>
    <w:link w:val="afc"/>
    <w:uiPriority w:val="99"/>
    <w:semiHidden/>
    <w:unhideWhenUsed/>
    <w:rsid w:val="00884B51"/>
    <w:rPr>
      <w:b/>
      <w:bCs/>
    </w:rPr>
  </w:style>
  <w:style w:type="character" w:customStyle="1" w:styleId="afc">
    <w:name w:val="コメント内容 (文字)"/>
    <w:basedOn w:val="afa"/>
    <w:link w:val="afb"/>
    <w:uiPriority w:val="99"/>
    <w:semiHidden/>
    <w:rsid w:val="00884B51"/>
    <w:rPr>
      <w:b/>
      <w:bCs/>
      <w:szCs w:val="24"/>
    </w:rPr>
  </w:style>
  <w:style w:type="character" w:styleId="afd">
    <w:name w:val="Hyperlink"/>
    <w:basedOn w:val="a3"/>
    <w:uiPriority w:val="99"/>
    <w:unhideWhenUsed/>
    <w:rsid w:val="000704D4"/>
    <w:rPr>
      <w:color w:val="0563C1" w:themeColor="hyperlink"/>
      <w:u w:val="single"/>
    </w:rPr>
  </w:style>
  <w:style w:type="character" w:styleId="afe">
    <w:name w:val="Unresolved Mention"/>
    <w:basedOn w:val="a3"/>
    <w:uiPriority w:val="99"/>
    <w:semiHidden/>
    <w:unhideWhenUsed/>
    <w:rsid w:val="000704D4"/>
    <w:rPr>
      <w:color w:val="605E5C"/>
      <w:shd w:val="clear" w:color="auto" w:fill="E1DFDD"/>
    </w:rPr>
  </w:style>
  <w:style w:type="paragraph" w:customStyle="1" w:styleId="TableParagraph">
    <w:name w:val="Table Paragraph"/>
    <w:basedOn w:val="a1"/>
    <w:uiPriority w:val="1"/>
    <w:rsid w:val="00DE3058"/>
    <w:pPr>
      <w:autoSpaceDE w:val="0"/>
      <w:autoSpaceDN w:val="0"/>
      <w:spacing w:before="32"/>
      <w:ind w:left="118"/>
      <w:jc w:val="left"/>
    </w:pPr>
    <w:rPr>
      <w:rFonts w:ascii="Cambria" w:eastAsia="Cambria" w:hAnsi="Cambria" w:cs="Cambria"/>
      <w:kern w:val="0"/>
      <w:sz w:val="22"/>
      <w:szCs w:val="22"/>
      <w:lang w:eastAsia="en-US"/>
    </w:rPr>
  </w:style>
  <w:style w:type="character" w:customStyle="1" w:styleId="50">
    <w:name w:val="見出し 5 (文字)"/>
    <w:aliases w:val="Appendix (文字)"/>
    <w:basedOn w:val="a3"/>
    <w:link w:val="5"/>
    <w:uiPriority w:val="9"/>
    <w:rsid w:val="0065506D"/>
    <w:rPr>
      <w:rFonts w:ascii="Times New Roman" w:eastAsia="游明朝" w:hAnsi="Times New Roman" w:cs="Times New Roman"/>
      <w:b/>
      <w:sz w:val="24"/>
    </w:rPr>
  </w:style>
  <w:style w:type="character" w:customStyle="1" w:styleId="60">
    <w:name w:val="見出し 6 (文字)"/>
    <w:basedOn w:val="a3"/>
    <w:link w:val="6"/>
    <w:uiPriority w:val="9"/>
    <w:semiHidden/>
    <w:rsid w:val="00862A91"/>
    <w:rPr>
      <w:b/>
      <w:bCs/>
      <w:szCs w:val="24"/>
    </w:rPr>
  </w:style>
  <w:style w:type="character" w:styleId="aff">
    <w:name w:val="Strong"/>
    <w:basedOn w:val="a3"/>
    <w:uiPriority w:val="22"/>
    <w:rsid w:val="001B6BCA"/>
    <w:rPr>
      <w:b/>
      <w:bCs/>
    </w:rPr>
  </w:style>
  <w:style w:type="character" w:styleId="aff0">
    <w:name w:val="FollowedHyperlink"/>
    <w:basedOn w:val="a3"/>
    <w:uiPriority w:val="99"/>
    <w:semiHidden/>
    <w:unhideWhenUsed/>
    <w:rsid w:val="000051F9"/>
    <w:rPr>
      <w:color w:val="954F72" w:themeColor="followedHyperlink"/>
      <w:u w:val="single"/>
    </w:rPr>
  </w:style>
  <w:style w:type="paragraph" w:customStyle="1" w:styleId="msonormal0">
    <w:name w:val="msonormal"/>
    <w:basedOn w:val="a1"/>
    <w:rsid w:val="006005E4"/>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Web">
    <w:name w:val="Normal (Web)"/>
    <w:basedOn w:val="a1"/>
    <w:uiPriority w:val="99"/>
    <w:semiHidden/>
    <w:unhideWhenUsed/>
    <w:rsid w:val="006005E4"/>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m-taglistitem">
    <w:name w:val="m-taglist__item"/>
    <w:basedOn w:val="a1"/>
    <w:rsid w:val="006005E4"/>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customStyle="1" w:styleId="m-iconbuttonlabelwithicon">
    <w:name w:val="m-iconbutton__labelwithicon"/>
    <w:basedOn w:val="a3"/>
    <w:rsid w:val="006005E4"/>
  </w:style>
  <w:style w:type="character" w:customStyle="1" w:styleId="is-clickable">
    <w:name w:val="is-clickable"/>
    <w:basedOn w:val="a3"/>
    <w:rsid w:val="006005E4"/>
  </w:style>
  <w:style w:type="paragraph" w:customStyle="1" w:styleId="m-creatorsociallinksitem">
    <w:name w:val="m-creatorsociallinks__item"/>
    <w:basedOn w:val="a1"/>
    <w:rsid w:val="006005E4"/>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customStyle="1" w:styleId="o-smallnotesummarystatusicon">
    <w:name w:val="o-smallnotesummary__statusicon"/>
    <w:basedOn w:val="a3"/>
    <w:rsid w:val="006005E4"/>
  </w:style>
  <w:style w:type="character" w:customStyle="1" w:styleId="o-smallnotesummarystatuscount">
    <w:name w:val="o-smallnotesummary__statuscount"/>
    <w:basedOn w:val="a3"/>
    <w:rsid w:val="006005E4"/>
  </w:style>
  <w:style w:type="table" w:customStyle="1" w:styleId="TableNormal1">
    <w:name w:val="Table Normal1"/>
    <w:uiPriority w:val="2"/>
    <w:semiHidden/>
    <w:unhideWhenUsed/>
    <w:qFormat/>
    <w:rsid w:val="002955FC"/>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styleId="a2">
    <w:name w:val="Body Text First Indent"/>
    <w:basedOn w:val="a6"/>
    <w:link w:val="aff1"/>
    <w:uiPriority w:val="99"/>
    <w:unhideWhenUsed/>
    <w:rsid w:val="0029554D"/>
    <w:pPr>
      <w:ind w:firstLineChars="100" w:firstLine="210"/>
    </w:pPr>
  </w:style>
  <w:style w:type="character" w:customStyle="1" w:styleId="aff1">
    <w:name w:val="本文字下げ (文字)"/>
    <w:basedOn w:val="a7"/>
    <w:link w:val="a2"/>
    <w:uiPriority w:val="99"/>
    <w:rsid w:val="0029554D"/>
    <w:rPr>
      <w:szCs w:val="24"/>
    </w:rPr>
  </w:style>
  <w:style w:type="character" w:styleId="aff2">
    <w:name w:val="Subtle Reference"/>
    <w:basedOn w:val="a3"/>
    <w:uiPriority w:val="31"/>
    <w:rsid w:val="008939D3"/>
    <w:rPr>
      <w:smallCaps/>
      <w:color w:val="5A5A5A" w:themeColor="text1" w:themeTint="A5"/>
    </w:rPr>
  </w:style>
  <w:style w:type="paragraph" w:styleId="aff3">
    <w:name w:val="Body Text Indent"/>
    <w:basedOn w:val="a1"/>
    <w:link w:val="aff4"/>
    <w:uiPriority w:val="99"/>
    <w:semiHidden/>
    <w:unhideWhenUsed/>
    <w:rsid w:val="00F07352"/>
    <w:pPr>
      <w:ind w:leftChars="400" w:left="851"/>
    </w:pPr>
  </w:style>
  <w:style w:type="character" w:customStyle="1" w:styleId="aff4">
    <w:name w:val="本文インデント (文字)"/>
    <w:basedOn w:val="a3"/>
    <w:link w:val="aff3"/>
    <w:uiPriority w:val="99"/>
    <w:semiHidden/>
    <w:rsid w:val="00F07352"/>
    <w:rPr>
      <w:szCs w:val="24"/>
    </w:rPr>
  </w:style>
  <w:style w:type="character" w:styleId="25">
    <w:name w:val="Intense Reference"/>
    <w:basedOn w:val="a3"/>
    <w:uiPriority w:val="32"/>
    <w:qFormat/>
    <w:rsid w:val="008939D3"/>
    <w:rPr>
      <w:b/>
      <w:bCs/>
      <w:smallCaps/>
      <w:color w:val="4472C4" w:themeColor="accent1"/>
      <w:spacing w:val="5"/>
    </w:rPr>
  </w:style>
  <w:style w:type="numbering" w:customStyle="1" w:styleId="21">
    <w:name w:val="見出し2"/>
    <w:uiPriority w:val="99"/>
    <w:rsid w:val="008939D3"/>
    <w:pPr>
      <w:numPr>
        <w:numId w:val="34"/>
      </w:numPr>
    </w:pPr>
  </w:style>
  <w:style w:type="paragraph" w:styleId="26">
    <w:name w:val="Body Text First Indent 2"/>
    <w:basedOn w:val="aff3"/>
    <w:link w:val="27"/>
    <w:uiPriority w:val="99"/>
    <w:semiHidden/>
    <w:unhideWhenUsed/>
    <w:rsid w:val="00B97282"/>
    <w:pPr>
      <w:ind w:firstLineChars="100" w:firstLine="210"/>
    </w:pPr>
  </w:style>
  <w:style w:type="character" w:customStyle="1" w:styleId="27">
    <w:name w:val="本文字下げ 2 (文字)"/>
    <w:basedOn w:val="aff4"/>
    <w:link w:val="26"/>
    <w:uiPriority w:val="99"/>
    <w:semiHidden/>
    <w:rsid w:val="00B97282"/>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190559">
      <w:bodyDiv w:val="1"/>
      <w:marLeft w:val="0"/>
      <w:marRight w:val="0"/>
      <w:marTop w:val="0"/>
      <w:marBottom w:val="0"/>
      <w:divBdr>
        <w:top w:val="none" w:sz="0" w:space="0" w:color="auto"/>
        <w:left w:val="none" w:sz="0" w:space="0" w:color="auto"/>
        <w:bottom w:val="none" w:sz="0" w:space="0" w:color="auto"/>
        <w:right w:val="none" w:sz="0" w:space="0" w:color="auto"/>
      </w:divBdr>
    </w:div>
    <w:div w:id="1193029901">
      <w:bodyDiv w:val="1"/>
      <w:marLeft w:val="0"/>
      <w:marRight w:val="0"/>
      <w:marTop w:val="0"/>
      <w:marBottom w:val="0"/>
      <w:divBdr>
        <w:top w:val="none" w:sz="0" w:space="0" w:color="auto"/>
        <w:left w:val="none" w:sz="0" w:space="0" w:color="auto"/>
        <w:bottom w:val="none" w:sz="0" w:space="0" w:color="auto"/>
        <w:right w:val="none" w:sz="0" w:space="0" w:color="auto"/>
      </w:divBdr>
      <w:divsChild>
        <w:div w:id="957880044">
          <w:marLeft w:val="0"/>
          <w:marRight w:val="0"/>
          <w:marTop w:val="720"/>
          <w:marBottom w:val="720"/>
          <w:divBdr>
            <w:top w:val="none" w:sz="0" w:space="0" w:color="auto"/>
            <w:left w:val="none" w:sz="0" w:space="0" w:color="auto"/>
            <w:bottom w:val="none" w:sz="0" w:space="0" w:color="auto"/>
            <w:right w:val="none" w:sz="0" w:space="0" w:color="auto"/>
          </w:divBdr>
          <w:divsChild>
            <w:div w:id="2059549825">
              <w:marLeft w:val="0"/>
              <w:marRight w:val="0"/>
              <w:marTop w:val="0"/>
              <w:marBottom w:val="0"/>
              <w:divBdr>
                <w:top w:val="none" w:sz="0" w:space="0" w:color="auto"/>
                <w:left w:val="none" w:sz="0" w:space="0" w:color="auto"/>
                <w:bottom w:val="none" w:sz="0" w:space="0" w:color="auto"/>
                <w:right w:val="none" w:sz="0" w:space="0" w:color="auto"/>
              </w:divBdr>
              <w:divsChild>
                <w:div w:id="803276376">
                  <w:marLeft w:val="0"/>
                  <w:marRight w:val="0"/>
                  <w:marTop w:val="0"/>
                  <w:marBottom w:val="0"/>
                  <w:divBdr>
                    <w:top w:val="none" w:sz="0" w:space="0" w:color="auto"/>
                    <w:left w:val="none" w:sz="0" w:space="0" w:color="auto"/>
                    <w:bottom w:val="none" w:sz="0" w:space="0" w:color="auto"/>
                    <w:right w:val="none" w:sz="0" w:space="0" w:color="auto"/>
                  </w:divBdr>
                  <w:divsChild>
                    <w:div w:id="694430641">
                      <w:marLeft w:val="0"/>
                      <w:marRight w:val="0"/>
                      <w:marTop w:val="0"/>
                      <w:marBottom w:val="0"/>
                      <w:divBdr>
                        <w:top w:val="none" w:sz="0" w:space="0" w:color="auto"/>
                        <w:left w:val="none" w:sz="0" w:space="0" w:color="auto"/>
                        <w:bottom w:val="none" w:sz="0" w:space="0" w:color="auto"/>
                        <w:right w:val="none" w:sz="0" w:space="0" w:color="auto"/>
                      </w:divBdr>
                      <w:divsChild>
                        <w:div w:id="1507554105">
                          <w:blockQuote w:val="1"/>
                          <w:marLeft w:val="0"/>
                          <w:marRight w:val="0"/>
                          <w:marTop w:val="540"/>
                          <w:marBottom w:val="540"/>
                          <w:divBdr>
                            <w:top w:val="none" w:sz="0" w:space="0" w:color="auto"/>
                            <w:left w:val="none" w:sz="0" w:space="0" w:color="auto"/>
                            <w:bottom w:val="none" w:sz="0" w:space="0" w:color="auto"/>
                            <w:right w:val="none" w:sz="0" w:space="0" w:color="auto"/>
                          </w:divBdr>
                        </w:div>
                        <w:div w:id="173110591">
                          <w:blockQuote w:val="1"/>
                          <w:marLeft w:val="0"/>
                          <w:marRight w:val="0"/>
                          <w:marTop w:val="540"/>
                          <w:marBottom w:val="540"/>
                          <w:divBdr>
                            <w:top w:val="none" w:sz="0" w:space="0" w:color="auto"/>
                            <w:left w:val="none" w:sz="0" w:space="0" w:color="auto"/>
                            <w:bottom w:val="none" w:sz="0" w:space="0" w:color="auto"/>
                            <w:right w:val="none" w:sz="0" w:space="0" w:color="auto"/>
                          </w:divBdr>
                        </w:div>
                        <w:div w:id="424347587">
                          <w:blockQuote w:val="1"/>
                          <w:marLeft w:val="0"/>
                          <w:marRight w:val="0"/>
                          <w:marTop w:val="540"/>
                          <w:marBottom w:val="540"/>
                          <w:divBdr>
                            <w:top w:val="none" w:sz="0" w:space="0" w:color="auto"/>
                            <w:left w:val="none" w:sz="0" w:space="0" w:color="auto"/>
                            <w:bottom w:val="none" w:sz="0" w:space="0" w:color="auto"/>
                            <w:right w:val="none" w:sz="0" w:space="0" w:color="auto"/>
                          </w:divBdr>
                        </w:div>
                        <w:div w:id="1253472502">
                          <w:blockQuote w:val="1"/>
                          <w:marLeft w:val="0"/>
                          <w:marRight w:val="0"/>
                          <w:marTop w:val="540"/>
                          <w:marBottom w:val="540"/>
                          <w:divBdr>
                            <w:top w:val="none" w:sz="0" w:space="0" w:color="auto"/>
                            <w:left w:val="none" w:sz="0" w:space="0" w:color="auto"/>
                            <w:bottom w:val="none" w:sz="0" w:space="0" w:color="auto"/>
                            <w:right w:val="none" w:sz="0" w:space="0" w:color="auto"/>
                          </w:divBdr>
                        </w:div>
                        <w:div w:id="2012833501">
                          <w:marLeft w:val="0"/>
                          <w:marRight w:val="0"/>
                          <w:marTop w:val="600"/>
                          <w:marBottom w:val="600"/>
                          <w:divBdr>
                            <w:top w:val="none" w:sz="0" w:space="0" w:color="auto"/>
                            <w:left w:val="none" w:sz="0" w:space="0" w:color="auto"/>
                            <w:bottom w:val="none" w:sz="0" w:space="0" w:color="auto"/>
                            <w:right w:val="none" w:sz="0" w:space="0" w:color="auto"/>
                          </w:divBdr>
                          <w:divsChild>
                            <w:div w:id="796336480">
                              <w:marLeft w:val="0"/>
                              <w:marRight w:val="0"/>
                              <w:marTop w:val="0"/>
                              <w:marBottom w:val="0"/>
                              <w:divBdr>
                                <w:top w:val="none" w:sz="0" w:space="0" w:color="auto"/>
                                <w:left w:val="none" w:sz="0" w:space="0" w:color="auto"/>
                                <w:bottom w:val="none" w:sz="0" w:space="0" w:color="auto"/>
                                <w:right w:val="none" w:sz="0" w:space="0" w:color="auto"/>
                              </w:divBdr>
                            </w:div>
                          </w:divsChild>
                        </w:div>
                        <w:div w:id="1322198619">
                          <w:blockQuote w:val="1"/>
                          <w:marLeft w:val="0"/>
                          <w:marRight w:val="0"/>
                          <w:marTop w:val="540"/>
                          <w:marBottom w:val="540"/>
                          <w:divBdr>
                            <w:top w:val="none" w:sz="0" w:space="0" w:color="auto"/>
                            <w:left w:val="none" w:sz="0" w:space="0" w:color="auto"/>
                            <w:bottom w:val="none" w:sz="0" w:space="0" w:color="auto"/>
                            <w:right w:val="none" w:sz="0" w:space="0" w:color="auto"/>
                          </w:divBdr>
                        </w:div>
                        <w:div w:id="119223541">
                          <w:blockQuote w:val="1"/>
                          <w:marLeft w:val="0"/>
                          <w:marRight w:val="0"/>
                          <w:marTop w:val="540"/>
                          <w:marBottom w:val="540"/>
                          <w:divBdr>
                            <w:top w:val="none" w:sz="0" w:space="0" w:color="auto"/>
                            <w:left w:val="none" w:sz="0" w:space="0" w:color="auto"/>
                            <w:bottom w:val="none" w:sz="0" w:space="0" w:color="auto"/>
                            <w:right w:val="none" w:sz="0" w:space="0" w:color="auto"/>
                          </w:divBdr>
                        </w:div>
                        <w:div w:id="568074381">
                          <w:blockQuote w:val="1"/>
                          <w:marLeft w:val="0"/>
                          <w:marRight w:val="0"/>
                          <w:marTop w:val="540"/>
                          <w:marBottom w:val="540"/>
                          <w:divBdr>
                            <w:top w:val="none" w:sz="0" w:space="0" w:color="auto"/>
                            <w:left w:val="none" w:sz="0" w:space="0" w:color="auto"/>
                            <w:bottom w:val="none" w:sz="0" w:space="0" w:color="auto"/>
                            <w:right w:val="none" w:sz="0" w:space="0" w:color="auto"/>
                          </w:divBdr>
                        </w:div>
                        <w:div w:id="1556308014">
                          <w:blockQuote w:val="1"/>
                          <w:marLeft w:val="0"/>
                          <w:marRight w:val="0"/>
                          <w:marTop w:val="540"/>
                          <w:marBottom w:val="540"/>
                          <w:divBdr>
                            <w:top w:val="none" w:sz="0" w:space="0" w:color="auto"/>
                            <w:left w:val="none" w:sz="0" w:space="0" w:color="auto"/>
                            <w:bottom w:val="none" w:sz="0" w:space="0" w:color="auto"/>
                            <w:right w:val="none" w:sz="0" w:space="0" w:color="auto"/>
                          </w:divBdr>
                        </w:div>
                        <w:div w:id="1549142412">
                          <w:blockQuote w:val="1"/>
                          <w:marLeft w:val="0"/>
                          <w:marRight w:val="0"/>
                          <w:marTop w:val="540"/>
                          <w:marBottom w:val="540"/>
                          <w:divBdr>
                            <w:top w:val="none" w:sz="0" w:space="0" w:color="auto"/>
                            <w:left w:val="none" w:sz="0" w:space="0" w:color="auto"/>
                            <w:bottom w:val="none" w:sz="0" w:space="0" w:color="auto"/>
                            <w:right w:val="none" w:sz="0" w:space="0" w:color="auto"/>
                          </w:divBdr>
                        </w:div>
                        <w:div w:id="981158913">
                          <w:blockQuote w:val="1"/>
                          <w:marLeft w:val="0"/>
                          <w:marRight w:val="0"/>
                          <w:marTop w:val="540"/>
                          <w:marBottom w:val="540"/>
                          <w:divBdr>
                            <w:top w:val="none" w:sz="0" w:space="0" w:color="auto"/>
                            <w:left w:val="none" w:sz="0" w:space="0" w:color="auto"/>
                            <w:bottom w:val="none" w:sz="0" w:space="0" w:color="auto"/>
                            <w:right w:val="none" w:sz="0" w:space="0" w:color="auto"/>
                          </w:divBdr>
                        </w:div>
                        <w:div w:id="1344740984">
                          <w:blockQuote w:val="1"/>
                          <w:marLeft w:val="0"/>
                          <w:marRight w:val="0"/>
                          <w:marTop w:val="540"/>
                          <w:marBottom w:val="540"/>
                          <w:divBdr>
                            <w:top w:val="none" w:sz="0" w:space="0" w:color="auto"/>
                            <w:left w:val="none" w:sz="0" w:space="0" w:color="auto"/>
                            <w:bottom w:val="none" w:sz="0" w:space="0" w:color="auto"/>
                            <w:right w:val="none" w:sz="0" w:space="0" w:color="auto"/>
                          </w:divBdr>
                        </w:div>
                        <w:div w:id="2020964912">
                          <w:blockQuote w:val="1"/>
                          <w:marLeft w:val="0"/>
                          <w:marRight w:val="0"/>
                          <w:marTop w:val="540"/>
                          <w:marBottom w:val="540"/>
                          <w:divBdr>
                            <w:top w:val="none" w:sz="0" w:space="0" w:color="auto"/>
                            <w:left w:val="none" w:sz="0" w:space="0" w:color="auto"/>
                            <w:bottom w:val="none" w:sz="0" w:space="0" w:color="auto"/>
                            <w:right w:val="none" w:sz="0" w:space="0" w:color="auto"/>
                          </w:divBdr>
                        </w:div>
                        <w:div w:id="873081645">
                          <w:blockQuote w:val="1"/>
                          <w:marLeft w:val="0"/>
                          <w:marRight w:val="0"/>
                          <w:marTop w:val="540"/>
                          <w:marBottom w:val="540"/>
                          <w:divBdr>
                            <w:top w:val="none" w:sz="0" w:space="0" w:color="auto"/>
                            <w:left w:val="none" w:sz="0" w:space="0" w:color="auto"/>
                            <w:bottom w:val="none" w:sz="0" w:space="0" w:color="auto"/>
                            <w:right w:val="none" w:sz="0" w:space="0" w:color="auto"/>
                          </w:divBdr>
                        </w:div>
                        <w:div w:id="62488340">
                          <w:blockQuote w:val="1"/>
                          <w:marLeft w:val="0"/>
                          <w:marRight w:val="0"/>
                          <w:marTop w:val="540"/>
                          <w:marBottom w:val="540"/>
                          <w:divBdr>
                            <w:top w:val="none" w:sz="0" w:space="0" w:color="auto"/>
                            <w:left w:val="none" w:sz="0" w:space="0" w:color="auto"/>
                            <w:bottom w:val="none" w:sz="0" w:space="0" w:color="auto"/>
                            <w:right w:val="none" w:sz="0" w:space="0" w:color="auto"/>
                          </w:divBdr>
                        </w:div>
                        <w:div w:id="1148205068">
                          <w:blockQuote w:val="1"/>
                          <w:marLeft w:val="0"/>
                          <w:marRight w:val="0"/>
                          <w:marTop w:val="540"/>
                          <w:marBottom w:val="540"/>
                          <w:divBdr>
                            <w:top w:val="none" w:sz="0" w:space="0" w:color="auto"/>
                            <w:left w:val="none" w:sz="0" w:space="0" w:color="auto"/>
                            <w:bottom w:val="none" w:sz="0" w:space="0" w:color="auto"/>
                            <w:right w:val="none" w:sz="0" w:space="0" w:color="auto"/>
                          </w:divBdr>
                        </w:div>
                        <w:div w:id="770930903">
                          <w:blockQuote w:val="1"/>
                          <w:marLeft w:val="0"/>
                          <w:marRight w:val="0"/>
                          <w:marTop w:val="540"/>
                          <w:marBottom w:val="540"/>
                          <w:divBdr>
                            <w:top w:val="none" w:sz="0" w:space="0" w:color="auto"/>
                            <w:left w:val="none" w:sz="0" w:space="0" w:color="auto"/>
                            <w:bottom w:val="none" w:sz="0" w:space="0" w:color="auto"/>
                            <w:right w:val="none" w:sz="0" w:space="0" w:color="auto"/>
                          </w:divBdr>
                        </w:div>
                        <w:div w:id="1954825426">
                          <w:blockQuote w:val="1"/>
                          <w:marLeft w:val="0"/>
                          <w:marRight w:val="0"/>
                          <w:marTop w:val="540"/>
                          <w:marBottom w:val="540"/>
                          <w:divBdr>
                            <w:top w:val="none" w:sz="0" w:space="0" w:color="auto"/>
                            <w:left w:val="none" w:sz="0" w:space="0" w:color="auto"/>
                            <w:bottom w:val="none" w:sz="0" w:space="0" w:color="auto"/>
                            <w:right w:val="none" w:sz="0" w:space="0" w:color="auto"/>
                          </w:divBdr>
                        </w:div>
                        <w:div w:id="1017923852">
                          <w:blockQuote w:val="1"/>
                          <w:marLeft w:val="0"/>
                          <w:marRight w:val="0"/>
                          <w:marTop w:val="540"/>
                          <w:marBottom w:val="540"/>
                          <w:divBdr>
                            <w:top w:val="none" w:sz="0" w:space="0" w:color="auto"/>
                            <w:left w:val="none" w:sz="0" w:space="0" w:color="auto"/>
                            <w:bottom w:val="none" w:sz="0" w:space="0" w:color="auto"/>
                            <w:right w:val="none" w:sz="0" w:space="0" w:color="auto"/>
                          </w:divBdr>
                        </w:div>
                        <w:div w:id="1862737527">
                          <w:blockQuote w:val="1"/>
                          <w:marLeft w:val="0"/>
                          <w:marRight w:val="0"/>
                          <w:marTop w:val="540"/>
                          <w:marBottom w:val="540"/>
                          <w:divBdr>
                            <w:top w:val="none" w:sz="0" w:space="0" w:color="auto"/>
                            <w:left w:val="none" w:sz="0" w:space="0" w:color="auto"/>
                            <w:bottom w:val="none" w:sz="0" w:space="0" w:color="auto"/>
                            <w:right w:val="none" w:sz="0" w:space="0" w:color="auto"/>
                          </w:divBdr>
                        </w:div>
                        <w:div w:id="1017736522">
                          <w:blockQuote w:val="1"/>
                          <w:marLeft w:val="0"/>
                          <w:marRight w:val="0"/>
                          <w:marTop w:val="540"/>
                          <w:marBottom w:val="540"/>
                          <w:divBdr>
                            <w:top w:val="none" w:sz="0" w:space="0" w:color="auto"/>
                            <w:left w:val="none" w:sz="0" w:space="0" w:color="auto"/>
                            <w:bottom w:val="none" w:sz="0" w:space="0" w:color="auto"/>
                            <w:right w:val="none" w:sz="0" w:space="0" w:color="auto"/>
                          </w:divBdr>
                        </w:div>
                        <w:div w:id="1661690411">
                          <w:blockQuote w:val="1"/>
                          <w:marLeft w:val="0"/>
                          <w:marRight w:val="0"/>
                          <w:marTop w:val="540"/>
                          <w:marBottom w:val="540"/>
                          <w:divBdr>
                            <w:top w:val="none" w:sz="0" w:space="0" w:color="auto"/>
                            <w:left w:val="none" w:sz="0" w:space="0" w:color="auto"/>
                            <w:bottom w:val="none" w:sz="0" w:space="0" w:color="auto"/>
                            <w:right w:val="none" w:sz="0" w:space="0" w:color="auto"/>
                          </w:divBdr>
                        </w:div>
                        <w:div w:id="729230248">
                          <w:blockQuote w:val="1"/>
                          <w:marLeft w:val="0"/>
                          <w:marRight w:val="0"/>
                          <w:marTop w:val="540"/>
                          <w:marBottom w:val="540"/>
                          <w:divBdr>
                            <w:top w:val="none" w:sz="0" w:space="0" w:color="auto"/>
                            <w:left w:val="none" w:sz="0" w:space="0" w:color="auto"/>
                            <w:bottom w:val="none" w:sz="0" w:space="0" w:color="auto"/>
                            <w:right w:val="none" w:sz="0" w:space="0" w:color="auto"/>
                          </w:divBdr>
                        </w:div>
                        <w:div w:id="1674650238">
                          <w:blockQuote w:val="1"/>
                          <w:marLeft w:val="0"/>
                          <w:marRight w:val="0"/>
                          <w:marTop w:val="540"/>
                          <w:marBottom w:val="540"/>
                          <w:divBdr>
                            <w:top w:val="none" w:sz="0" w:space="0" w:color="auto"/>
                            <w:left w:val="none" w:sz="0" w:space="0" w:color="auto"/>
                            <w:bottom w:val="none" w:sz="0" w:space="0" w:color="auto"/>
                            <w:right w:val="none" w:sz="0" w:space="0" w:color="auto"/>
                          </w:divBdr>
                        </w:div>
                        <w:div w:id="1364791166">
                          <w:blockQuote w:val="1"/>
                          <w:marLeft w:val="0"/>
                          <w:marRight w:val="0"/>
                          <w:marTop w:val="540"/>
                          <w:marBottom w:val="540"/>
                          <w:divBdr>
                            <w:top w:val="none" w:sz="0" w:space="0" w:color="auto"/>
                            <w:left w:val="none" w:sz="0" w:space="0" w:color="auto"/>
                            <w:bottom w:val="none" w:sz="0" w:space="0" w:color="auto"/>
                            <w:right w:val="none" w:sz="0" w:space="0" w:color="auto"/>
                          </w:divBdr>
                        </w:div>
                        <w:div w:id="1312248322">
                          <w:blockQuote w:val="1"/>
                          <w:marLeft w:val="0"/>
                          <w:marRight w:val="0"/>
                          <w:marTop w:val="540"/>
                          <w:marBottom w:val="540"/>
                          <w:divBdr>
                            <w:top w:val="none" w:sz="0" w:space="0" w:color="auto"/>
                            <w:left w:val="none" w:sz="0" w:space="0" w:color="auto"/>
                            <w:bottom w:val="none" w:sz="0" w:space="0" w:color="auto"/>
                            <w:right w:val="none" w:sz="0" w:space="0" w:color="auto"/>
                          </w:divBdr>
                        </w:div>
                        <w:div w:id="917440737">
                          <w:blockQuote w:val="1"/>
                          <w:marLeft w:val="0"/>
                          <w:marRight w:val="0"/>
                          <w:marTop w:val="540"/>
                          <w:marBottom w:val="540"/>
                          <w:divBdr>
                            <w:top w:val="none" w:sz="0" w:space="0" w:color="auto"/>
                            <w:left w:val="none" w:sz="0" w:space="0" w:color="auto"/>
                            <w:bottom w:val="none" w:sz="0" w:space="0" w:color="auto"/>
                            <w:right w:val="none" w:sz="0" w:space="0" w:color="auto"/>
                          </w:divBdr>
                        </w:div>
                        <w:div w:id="430663547">
                          <w:blockQuote w:val="1"/>
                          <w:marLeft w:val="0"/>
                          <w:marRight w:val="0"/>
                          <w:marTop w:val="540"/>
                          <w:marBottom w:val="540"/>
                          <w:divBdr>
                            <w:top w:val="none" w:sz="0" w:space="0" w:color="auto"/>
                            <w:left w:val="none" w:sz="0" w:space="0" w:color="auto"/>
                            <w:bottom w:val="none" w:sz="0" w:space="0" w:color="auto"/>
                            <w:right w:val="none" w:sz="0" w:space="0" w:color="auto"/>
                          </w:divBdr>
                        </w:div>
                        <w:div w:id="70659205">
                          <w:blockQuote w:val="1"/>
                          <w:marLeft w:val="0"/>
                          <w:marRight w:val="0"/>
                          <w:marTop w:val="540"/>
                          <w:marBottom w:val="540"/>
                          <w:divBdr>
                            <w:top w:val="none" w:sz="0" w:space="0" w:color="auto"/>
                            <w:left w:val="none" w:sz="0" w:space="0" w:color="auto"/>
                            <w:bottom w:val="none" w:sz="0" w:space="0" w:color="auto"/>
                            <w:right w:val="none" w:sz="0" w:space="0" w:color="auto"/>
                          </w:divBdr>
                        </w:div>
                        <w:div w:id="2128812497">
                          <w:blockQuote w:val="1"/>
                          <w:marLeft w:val="0"/>
                          <w:marRight w:val="0"/>
                          <w:marTop w:val="540"/>
                          <w:marBottom w:val="540"/>
                          <w:divBdr>
                            <w:top w:val="none" w:sz="0" w:space="0" w:color="auto"/>
                            <w:left w:val="none" w:sz="0" w:space="0" w:color="auto"/>
                            <w:bottom w:val="none" w:sz="0" w:space="0" w:color="auto"/>
                            <w:right w:val="none" w:sz="0" w:space="0" w:color="auto"/>
                          </w:divBdr>
                        </w:div>
                        <w:div w:id="1737240314">
                          <w:blockQuote w:val="1"/>
                          <w:marLeft w:val="0"/>
                          <w:marRight w:val="0"/>
                          <w:marTop w:val="540"/>
                          <w:marBottom w:val="540"/>
                          <w:divBdr>
                            <w:top w:val="none" w:sz="0" w:space="0" w:color="auto"/>
                            <w:left w:val="none" w:sz="0" w:space="0" w:color="auto"/>
                            <w:bottom w:val="none" w:sz="0" w:space="0" w:color="auto"/>
                            <w:right w:val="none" w:sz="0" w:space="0" w:color="auto"/>
                          </w:divBdr>
                        </w:div>
                        <w:div w:id="1125079412">
                          <w:blockQuote w:val="1"/>
                          <w:marLeft w:val="0"/>
                          <w:marRight w:val="0"/>
                          <w:marTop w:val="540"/>
                          <w:marBottom w:val="540"/>
                          <w:divBdr>
                            <w:top w:val="none" w:sz="0" w:space="0" w:color="auto"/>
                            <w:left w:val="none" w:sz="0" w:space="0" w:color="auto"/>
                            <w:bottom w:val="none" w:sz="0" w:space="0" w:color="auto"/>
                            <w:right w:val="none" w:sz="0" w:space="0" w:color="auto"/>
                          </w:divBdr>
                        </w:div>
                        <w:div w:id="1534345122">
                          <w:blockQuote w:val="1"/>
                          <w:marLeft w:val="0"/>
                          <w:marRight w:val="0"/>
                          <w:marTop w:val="540"/>
                          <w:marBottom w:val="540"/>
                          <w:divBdr>
                            <w:top w:val="none" w:sz="0" w:space="0" w:color="auto"/>
                            <w:left w:val="none" w:sz="0" w:space="0" w:color="auto"/>
                            <w:bottom w:val="none" w:sz="0" w:space="0" w:color="auto"/>
                            <w:right w:val="none" w:sz="0" w:space="0" w:color="auto"/>
                          </w:divBdr>
                        </w:div>
                        <w:div w:id="971637161">
                          <w:blockQuote w:val="1"/>
                          <w:marLeft w:val="0"/>
                          <w:marRight w:val="0"/>
                          <w:marTop w:val="540"/>
                          <w:marBottom w:val="540"/>
                          <w:divBdr>
                            <w:top w:val="none" w:sz="0" w:space="0" w:color="auto"/>
                            <w:left w:val="none" w:sz="0" w:space="0" w:color="auto"/>
                            <w:bottom w:val="none" w:sz="0" w:space="0" w:color="auto"/>
                            <w:right w:val="none" w:sz="0" w:space="0" w:color="auto"/>
                          </w:divBdr>
                        </w:div>
                        <w:div w:id="1182665128">
                          <w:blockQuote w:val="1"/>
                          <w:marLeft w:val="0"/>
                          <w:marRight w:val="0"/>
                          <w:marTop w:val="540"/>
                          <w:marBottom w:val="540"/>
                          <w:divBdr>
                            <w:top w:val="none" w:sz="0" w:space="0" w:color="auto"/>
                            <w:left w:val="none" w:sz="0" w:space="0" w:color="auto"/>
                            <w:bottom w:val="none" w:sz="0" w:space="0" w:color="auto"/>
                            <w:right w:val="none" w:sz="0" w:space="0" w:color="auto"/>
                          </w:divBdr>
                        </w:div>
                        <w:div w:id="243800476">
                          <w:blockQuote w:val="1"/>
                          <w:marLeft w:val="0"/>
                          <w:marRight w:val="0"/>
                          <w:marTop w:val="540"/>
                          <w:marBottom w:val="540"/>
                          <w:divBdr>
                            <w:top w:val="none" w:sz="0" w:space="0" w:color="auto"/>
                            <w:left w:val="none" w:sz="0" w:space="0" w:color="auto"/>
                            <w:bottom w:val="none" w:sz="0" w:space="0" w:color="auto"/>
                            <w:right w:val="none" w:sz="0" w:space="0" w:color="auto"/>
                          </w:divBdr>
                        </w:div>
                        <w:div w:id="165903465">
                          <w:blockQuote w:val="1"/>
                          <w:marLeft w:val="0"/>
                          <w:marRight w:val="0"/>
                          <w:marTop w:val="540"/>
                          <w:marBottom w:val="540"/>
                          <w:divBdr>
                            <w:top w:val="none" w:sz="0" w:space="0" w:color="auto"/>
                            <w:left w:val="none" w:sz="0" w:space="0" w:color="auto"/>
                            <w:bottom w:val="none" w:sz="0" w:space="0" w:color="auto"/>
                            <w:right w:val="none" w:sz="0" w:space="0" w:color="auto"/>
                          </w:divBdr>
                        </w:div>
                        <w:div w:id="2085446567">
                          <w:blockQuote w:val="1"/>
                          <w:marLeft w:val="0"/>
                          <w:marRight w:val="0"/>
                          <w:marTop w:val="540"/>
                          <w:marBottom w:val="540"/>
                          <w:divBdr>
                            <w:top w:val="none" w:sz="0" w:space="0" w:color="auto"/>
                            <w:left w:val="none" w:sz="0" w:space="0" w:color="auto"/>
                            <w:bottom w:val="none" w:sz="0" w:space="0" w:color="auto"/>
                            <w:right w:val="none" w:sz="0" w:space="0" w:color="auto"/>
                          </w:divBdr>
                        </w:div>
                        <w:div w:id="889657132">
                          <w:blockQuote w:val="1"/>
                          <w:marLeft w:val="0"/>
                          <w:marRight w:val="0"/>
                          <w:marTop w:val="540"/>
                          <w:marBottom w:val="540"/>
                          <w:divBdr>
                            <w:top w:val="none" w:sz="0" w:space="0" w:color="auto"/>
                            <w:left w:val="none" w:sz="0" w:space="0" w:color="auto"/>
                            <w:bottom w:val="none" w:sz="0" w:space="0" w:color="auto"/>
                            <w:right w:val="none" w:sz="0" w:space="0" w:color="auto"/>
                          </w:divBdr>
                        </w:div>
                        <w:div w:id="1886872916">
                          <w:blockQuote w:val="1"/>
                          <w:marLeft w:val="0"/>
                          <w:marRight w:val="0"/>
                          <w:marTop w:val="540"/>
                          <w:marBottom w:val="540"/>
                          <w:divBdr>
                            <w:top w:val="none" w:sz="0" w:space="0" w:color="auto"/>
                            <w:left w:val="none" w:sz="0" w:space="0" w:color="auto"/>
                            <w:bottom w:val="none" w:sz="0" w:space="0" w:color="auto"/>
                            <w:right w:val="none" w:sz="0" w:space="0" w:color="auto"/>
                          </w:divBdr>
                        </w:div>
                        <w:div w:id="1679963740">
                          <w:blockQuote w:val="1"/>
                          <w:marLeft w:val="0"/>
                          <w:marRight w:val="0"/>
                          <w:marTop w:val="540"/>
                          <w:marBottom w:val="540"/>
                          <w:divBdr>
                            <w:top w:val="none" w:sz="0" w:space="0" w:color="auto"/>
                            <w:left w:val="none" w:sz="0" w:space="0" w:color="auto"/>
                            <w:bottom w:val="none" w:sz="0" w:space="0" w:color="auto"/>
                            <w:right w:val="none" w:sz="0" w:space="0" w:color="auto"/>
                          </w:divBdr>
                        </w:div>
                        <w:div w:id="2109158432">
                          <w:blockQuote w:val="1"/>
                          <w:marLeft w:val="0"/>
                          <w:marRight w:val="0"/>
                          <w:marTop w:val="540"/>
                          <w:marBottom w:val="540"/>
                          <w:divBdr>
                            <w:top w:val="none" w:sz="0" w:space="0" w:color="auto"/>
                            <w:left w:val="none" w:sz="0" w:space="0" w:color="auto"/>
                            <w:bottom w:val="none" w:sz="0" w:space="0" w:color="auto"/>
                            <w:right w:val="none" w:sz="0" w:space="0" w:color="auto"/>
                          </w:divBdr>
                        </w:div>
                        <w:div w:id="1306928953">
                          <w:blockQuote w:val="1"/>
                          <w:marLeft w:val="0"/>
                          <w:marRight w:val="0"/>
                          <w:marTop w:val="540"/>
                          <w:marBottom w:val="540"/>
                          <w:divBdr>
                            <w:top w:val="none" w:sz="0" w:space="0" w:color="auto"/>
                            <w:left w:val="none" w:sz="0" w:space="0" w:color="auto"/>
                            <w:bottom w:val="none" w:sz="0" w:space="0" w:color="auto"/>
                            <w:right w:val="none" w:sz="0" w:space="0" w:color="auto"/>
                          </w:divBdr>
                        </w:div>
                        <w:div w:id="984286360">
                          <w:blockQuote w:val="1"/>
                          <w:marLeft w:val="0"/>
                          <w:marRight w:val="0"/>
                          <w:marTop w:val="540"/>
                          <w:marBottom w:val="540"/>
                          <w:divBdr>
                            <w:top w:val="none" w:sz="0" w:space="0" w:color="auto"/>
                            <w:left w:val="none" w:sz="0" w:space="0" w:color="auto"/>
                            <w:bottom w:val="none" w:sz="0" w:space="0" w:color="auto"/>
                            <w:right w:val="none" w:sz="0" w:space="0" w:color="auto"/>
                          </w:divBdr>
                        </w:div>
                        <w:div w:id="1043822568">
                          <w:blockQuote w:val="1"/>
                          <w:marLeft w:val="0"/>
                          <w:marRight w:val="0"/>
                          <w:marTop w:val="540"/>
                          <w:marBottom w:val="540"/>
                          <w:divBdr>
                            <w:top w:val="none" w:sz="0" w:space="0" w:color="auto"/>
                            <w:left w:val="none" w:sz="0" w:space="0" w:color="auto"/>
                            <w:bottom w:val="none" w:sz="0" w:space="0" w:color="auto"/>
                            <w:right w:val="none" w:sz="0" w:space="0" w:color="auto"/>
                          </w:divBdr>
                        </w:div>
                        <w:div w:id="874804467">
                          <w:blockQuote w:val="1"/>
                          <w:marLeft w:val="0"/>
                          <w:marRight w:val="0"/>
                          <w:marTop w:val="540"/>
                          <w:marBottom w:val="540"/>
                          <w:divBdr>
                            <w:top w:val="none" w:sz="0" w:space="0" w:color="auto"/>
                            <w:left w:val="none" w:sz="0" w:space="0" w:color="auto"/>
                            <w:bottom w:val="none" w:sz="0" w:space="0" w:color="auto"/>
                            <w:right w:val="none" w:sz="0" w:space="0" w:color="auto"/>
                          </w:divBdr>
                        </w:div>
                        <w:div w:id="986327481">
                          <w:blockQuote w:val="1"/>
                          <w:marLeft w:val="0"/>
                          <w:marRight w:val="0"/>
                          <w:marTop w:val="540"/>
                          <w:marBottom w:val="540"/>
                          <w:divBdr>
                            <w:top w:val="none" w:sz="0" w:space="0" w:color="auto"/>
                            <w:left w:val="none" w:sz="0" w:space="0" w:color="auto"/>
                            <w:bottom w:val="none" w:sz="0" w:space="0" w:color="auto"/>
                            <w:right w:val="none" w:sz="0" w:space="0" w:color="auto"/>
                          </w:divBdr>
                        </w:div>
                        <w:div w:id="1154489196">
                          <w:blockQuote w:val="1"/>
                          <w:marLeft w:val="0"/>
                          <w:marRight w:val="0"/>
                          <w:marTop w:val="540"/>
                          <w:marBottom w:val="540"/>
                          <w:divBdr>
                            <w:top w:val="none" w:sz="0" w:space="0" w:color="auto"/>
                            <w:left w:val="none" w:sz="0" w:space="0" w:color="auto"/>
                            <w:bottom w:val="none" w:sz="0" w:space="0" w:color="auto"/>
                            <w:right w:val="none" w:sz="0" w:space="0" w:color="auto"/>
                          </w:divBdr>
                        </w:div>
                        <w:div w:id="274677683">
                          <w:blockQuote w:val="1"/>
                          <w:marLeft w:val="0"/>
                          <w:marRight w:val="0"/>
                          <w:marTop w:val="540"/>
                          <w:marBottom w:val="540"/>
                          <w:divBdr>
                            <w:top w:val="none" w:sz="0" w:space="0" w:color="auto"/>
                            <w:left w:val="none" w:sz="0" w:space="0" w:color="auto"/>
                            <w:bottom w:val="none" w:sz="0" w:space="0" w:color="auto"/>
                            <w:right w:val="none" w:sz="0" w:space="0" w:color="auto"/>
                          </w:divBdr>
                        </w:div>
                        <w:div w:id="1439526173">
                          <w:blockQuote w:val="1"/>
                          <w:marLeft w:val="0"/>
                          <w:marRight w:val="0"/>
                          <w:marTop w:val="540"/>
                          <w:marBottom w:val="540"/>
                          <w:divBdr>
                            <w:top w:val="none" w:sz="0" w:space="0" w:color="auto"/>
                            <w:left w:val="none" w:sz="0" w:space="0" w:color="auto"/>
                            <w:bottom w:val="none" w:sz="0" w:space="0" w:color="auto"/>
                            <w:right w:val="none" w:sz="0" w:space="0" w:color="auto"/>
                          </w:divBdr>
                        </w:div>
                        <w:div w:id="187648222">
                          <w:blockQuote w:val="1"/>
                          <w:marLeft w:val="0"/>
                          <w:marRight w:val="0"/>
                          <w:marTop w:val="540"/>
                          <w:marBottom w:val="540"/>
                          <w:divBdr>
                            <w:top w:val="none" w:sz="0" w:space="0" w:color="auto"/>
                            <w:left w:val="none" w:sz="0" w:space="0" w:color="auto"/>
                            <w:bottom w:val="none" w:sz="0" w:space="0" w:color="auto"/>
                            <w:right w:val="none" w:sz="0" w:space="0" w:color="auto"/>
                          </w:divBdr>
                        </w:div>
                        <w:div w:id="136992593">
                          <w:blockQuote w:val="1"/>
                          <w:marLeft w:val="0"/>
                          <w:marRight w:val="0"/>
                          <w:marTop w:val="540"/>
                          <w:marBottom w:val="540"/>
                          <w:divBdr>
                            <w:top w:val="none" w:sz="0" w:space="0" w:color="auto"/>
                            <w:left w:val="none" w:sz="0" w:space="0" w:color="auto"/>
                            <w:bottom w:val="none" w:sz="0" w:space="0" w:color="auto"/>
                            <w:right w:val="none" w:sz="0" w:space="0" w:color="auto"/>
                          </w:divBdr>
                        </w:div>
                        <w:div w:id="1461992112">
                          <w:blockQuote w:val="1"/>
                          <w:marLeft w:val="0"/>
                          <w:marRight w:val="0"/>
                          <w:marTop w:val="540"/>
                          <w:marBottom w:val="540"/>
                          <w:divBdr>
                            <w:top w:val="none" w:sz="0" w:space="0" w:color="auto"/>
                            <w:left w:val="none" w:sz="0" w:space="0" w:color="auto"/>
                            <w:bottom w:val="none" w:sz="0" w:space="0" w:color="auto"/>
                            <w:right w:val="none" w:sz="0" w:space="0" w:color="auto"/>
                          </w:divBdr>
                        </w:div>
                        <w:div w:id="355085040">
                          <w:blockQuote w:val="1"/>
                          <w:marLeft w:val="0"/>
                          <w:marRight w:val="0"/>
                          <w:marTop w:val="540"/>
                          <w:marBottom w:val="540"/>
                          <w:divBdr>
                            <w:top w:val="none" w:sz="0" w:space="0" w:color="auto"/>
                            <w:left w:val="none" w:sz="0" w:space="0" w:color="auto"/>
                            <w:bottom w:val="none" w:sz="0" w:space="0" w:color="auto"/>
                            <w:right w:val="none" w:sz="0" w:space="0" w:color="auto"/>
                          </w:divBdr>
                        </w:div>
                        <w:div w:id="1494760502">
                          <w:blockQuote w:val="1"/>
                          <w:marLeft w:val="0"/>
                          <w:marRight w:val="0"/>
                          <w:marTop w:val="540"/>
                          <w:marBottom w:val="540"/>
                          <w:divBdr>
                            <w:top w:val="none" w:sz="0" w:space="0" w:color="auto"/>
                            <w:left w:val="none" w:sz="0" w:space="0" w:color="auto"/>
                            <w:bottom w:val="none" w:sz="0" w:space="0" w:color="auto"/>
                            <w:right w:val="none" w:sz="0" w:space="0" w:color="auto"/>
                          </w:divBdr>
                        </w:div>
                        <w:div w:id="145754749">
                          <w:blockQuote w:val="1"/>
                          <w:marLeft w:val="0"/>
                          <w:marRight w:val="0"/>
                          <w:marTop w:val="540"/>
                          <w:marBottom w:val="540"/>
                          <w:divBdr>
                            <w:top w:val="none" w:sz="0" w:space="0" w:color="auto"/>
                            <w:left w:val="none" w:sz="0" w:space="0" w:color="auto"/>
                            <w:bottom w:val="none" w:sz="0" w:space="0" w:color="auto"/>
                            <w:right w:val="none" w:sz="0" w:space="0" w:color="auto"/>
                          </w:divBdr>
                        </w:div>
                        <w:div w:id="1881160706">
                          <w:blockQuote w:val="1"/>
                          <w:marLeft w:val="0"/>
                          <w:marRight w:val="0"/>
                          <w:marTop w:val="540"/>
                          <w:marBottom w:val="540"/>
                          <w:divBdr>
                            <w:top w:val="none" w:sz="0" w:space="0" w:color="auto"/>
                            <w:left w:val="none" w:sz="0" w:space="0" w:color="auto"/>
                            <w:bottom w:val="none" w:sz="0" w:space="0" w:color="auto"/>
                            <w:right w:val="none" w:sz="0" w:space="0" w:color="auto"/>
                          </w:divBdr>
                        </w:div>
                        <w:div w:id="921571076">
                          <w:blockQuote w:val="1"/>
                          <w:marLeft w:val="0"/>
                          <w:marRight w:val="0"/>
                          <w:marTop w:val="540"/>
                          <w:marBottom w:val="540"/>
                          <w:divBdr>
                            <w:top w:val="none" w:sz="0" w:space="0" w:color="auto"/>
                            <w:left w:val="none" w:sz="0" w:space="0" w:color="auto"/>
                            <w:bottom w:val="none" w:sz="0" w:space="0" w:color="auto"/>
                            <w:right w:val="none" w:sz="0" w:space="0" w:color="auto"/>
                          </w:divBdr>
                        </w:div>
                        <w:div w:id="197742369">
                          <w:blockQuote w:val="1"/>
                          <w:marLeft w:val="0"/>
                          <w:marRight w:val="0"/>
                          <w:marTop w:val="540"/>
                          <w:marBottom w:val="540"/>
                          <w:divBdr>
                            <w:top w:val="none" w:sz="0" w:space="0" w:color="auto"/>
                            <w:left w:val="none" w:sz="0" w:space="0" w:color="auto"/>
                            <w:bottom w:val="none" w:sz="0" w:space="0" w:color="auto"/>
                            <w:right w:val="none" w:sz="0" w:space="0" w:color="auto"/>
                          </w:divBdr>
                        </w:div>
                        <w:div w:id="1417509867">
                          <w:blockQuote w:val="1"/>
                          <w:marLeft w:val="0"/>
                          <w:marRight w:val="0"/>
                          <w:marTop w:val="540"/>
                          <w:marBottom w:val="540"/>
                          <w:divBdr>
                            <w:top w:val="none" w:sz="0" w:space="0" w:color="auto"/>
                            <w:left w:val="none" w:sz="0" w:space="0" w:color="auto"/>
                            <w:bottom w:val="none" w:sz="0" w:space="0" w:color="auto"/>
                            <w:right w:val="none" w:sz="0" w:space="0" w:color="auto"/>
                          </w:divBdr>
                        </w:div>
                        <w:div w:id="359890687">
                          <w:blockQuote w:val="1"/>
                          <w:marLeft w:val="0"/>
                          <w:marRight w:val="0"/>
                          <w:marTop w:val="540"/>
                          <w:marBottom w:val="540"/>
                          <w:divBdr>
                            <w:top w:val="none" w:sz="0" w:space="0" w:color="auto"/>
                            <w:left w:val="none" w:sz="0" w:space="0" w:color="auto"/>
                            <w:bottom w:val="none" w:sz="0" w:space="0" w:color="auto"/>
                            <w:right w:val="none" w:sz="0" w:space="0" w:color="auto"/>
                          </w:divBdr>
                        </w:div>
                        <w:div w:id="952519672">
                          <w:blockQuote w:val="1"/>
                          <w:marLeft w:val="0"/>
                          <w:marRight w:val="0"/>
                          <w:marTop w:val="540"/>
                          <w:marBottom w:val="540"/>
                          <w:divBdr>
                            <w:top w:val="none" w:sz="0" w:space="0" w:color="auto"/>
                            <w:left w:val="none" w:sz="0" w:space="0" w:color="auto"/>
                            <w:bottom w:val="none" w:sz="0" w:space="0" w:color="auto"/>
                            <w:right w:val="none" w:sz="0" w:space="0" w:color="auto"/>
                          </w:divBdr>
                        </w:div>
                        <w:div w:id="251938703">
                          <w:blockQuote w:val="1"/>
                          <w:marLeft w:val="0"/>
                          <w:marRight w:val="0"/>
                          <w:marTop w:val="540"/>
                          <w:marBottom w:val="540"/>
                          <w:divBdr>
                            <w:top w:val="none" w:sz="0" w:space="0" w:color="auto"/>
                            <w:left w:val="none" w:sz="0" w:space="0" w:color="auto"/>
                            <w:bottom w:val="none" w:sz="0" w:space="0" w:color="auto"/>
                            <w:right w:val="none" w:sz="0" w:space="0" w:color="auto"/>
                          </w:divBdr>
                        </w:div>
                        <w:div w:id="1634943846">
                          <w:blockQuote w:val="1"/>
                          <w:marLeft w:val="0"/>
                          <w:marRight w:val="0"/>
                          <w:marTop w:val="540"/>
                          <w:marBottom w:val="540"/>
                          <w:divBdr>
                            <w:top w:val="none" w:sz="0" w:space="0" w:color="auto"/>
                            <w:left w:val="none" w:sz="0" w:space="0" w:color="auto"/>
                            <w:bottom w:val="none" w:sz="0" w:space="0" w:color="auto"/>
                            <w:right w:val="none" w:sz="0" w:space="0" w:color="auto"/>
                          </w:divBdr>
                        </w:div>
                        <w:div w:id="1149715538">
                          <w:blockQuote w:val="1"/>
                          <w:marLeft w:val="0"/>
                          <w:marRight w:val="0"/>
                          <w:marTop w:val="540"/>
                          <w:marBottom w:val="540"/>
                          <w:divBdr>
                            <w:top w:val="none" w:sz="0" w:space="0" w:color="auto"/>
                            <w:left w:val="none" w:sz="0" w:space="0" w:color="auto"/>
                            <w:bottom w:val="none" w:sz="0" w:space="0" w:color="auto"/>
                            <w:right w:val="none" w:sz="0" w:space="0" w:color="auto"/>
                          </w:divBdr>
                        </w:div>
                        <w:div w:id="427972418">
                          <w:blockQuote w:val="1"/>
                          <w:marLeft w:val="0"/>
                          <w:marRight w:val="0"/>
                          <w:marTop w:val="540"/>
                          <w:marBottom w:val="540"/>
                          <w:divBdr>
                            <w:top w:val="none" w:sz="0" w:space="0" w:color="auto"/>
                            <w:left w:val="none" w:sz="0" w:space="0" w:color="auto"/>
                            <w:bottom w:val="none" w:sz="0" w:space="0" w:color="auto"/>
                            <w:right w:val="none" w:sz="0" w:space="0" w:color="auto"/>
                          </w:divBdr>
                        </w:div>
                        <w:div w:id="670838809">
                          <w:blockQuote w:val="1"/>
                          <w:marLeft w:val="0"/>
                          <w:marRight w:val="0"/>
                          <w:marTop w:val="540"/>
                          <w:marBottom w:val="540"/>
                          <w:divBdr>
                            <w:top w:val="none" w:sz="0" w:space="0" w:color="auto"/>
                            <w:left w:val="none" w:sz="0" w:space="0" w:color="auto"/>
                            <w:bottom w:val="none" w:sz="0" w:space="0" w:color="auto"/>
                            <w:right w:val="none" w:sz="0" w:space="0" w:color="auto"/>
                          </w:divBdr>
                        </w:div>
                        <w:div w:id="937713295">
                          <w:blockQuote w:val="1"/>
                          <w:marLeft w:val="0"/>
                          <w:marRight w:val="0"/>
                          <w:marTop w:val="540"/>
                          <w:marBottom w:val="540"/>
                          <w:divBdr>
                            <w:top w:val="none" w:sz="0" w:space="0" w:color="auto"/>
                            <w:left w:val="none" w:sz="0" w:space="0" w:color="auto"/>
                            <w:bottom w:val="none" w:sz="0" w:space="0" w:color="auto"/>
                            <w:right w:val="none" w:sz="0" w:space="0" w:color="auto"/>
                          </w:divBdr>
                        </w:div>
                        <w:div w:id="821119904">
                          <w:blockQuote w:val="1"/>
                          <w:marLeft w:val="0"/>
                          <w:marRight w:val="0"/>
                          <w:marTop w:val="540"/>
                          <w:marBottom w:val="540"/>
                          <w:divBdr>
                            <w:top w:val="none" w:sz="0" w:space="0" w:color="auto"/>
                            <w:left w:val="none" w:sz="0" w:space="0" w:color="auto"/>
                            <w:bottom w:val="none" w:sz="0" w:space="0" w:color="auto"/>
                            <w:right w:val="none" w:sz="0" w:space="0" w:color="auto"/>
                          </w:divBdr>
                        </w:div>
                        <w:div w:id="1632589064">
                          <w:blockQuote w:val="1"/>
                          <w:marLeft w:val="0"/>
                          <w:marRight w:val="0"/>
                          <w:marTop w:val="540"/>
                          <w:marBottom w:val="540"/>
                          <w:divBdr>
                            <w:top w:val="none" w:sz="0" w:space="0" w:color="auto"/>
                            <w:left w:val="none" w:sz="0" w:space="0" w:color="auto"/>
                            <w:bottom w:val="none" w:sz="0" w:space="0" w:color="auto"/>
                            <w:right w:val="none" w:sz="0" w:space="0" w:color="auto"/>
                          </w:divBdr>
                        </w:div>
                        <w:div w:id="768043346">
                          <w:blockQuote w:val="1"/>
                          <w:marLeft w:val="0"/>
                          <w:marRight w:val="0"/>
                          <w:marTop w:val="540"/>
                          <w:marBottom w:val="540"/>
                          <w:divBdr>
                            <w:top w:val="none" w:sz="0" w:space="0" w:color="auto"/>
                            <w:left w:val="none" w:sz="0" w:space="0" w:color="auto"/>
                            <w:bottom w:val="none" w:sz="0" w:space="0" w:color="auto"/>
                            <w:right w:val="none" w:sz="0" w:space="0" w:color="auto"/>
                          </w:divBdr>
                        </w:div>
                        <w:div w:id="110251635">
                          <w:blockQuote w:val="1"/>
                          <w:marLeft w:val="0"/>
                          <w:marRight w:val="0"/>
                          <w:marTop w:val="540"/>
                          <w:marBottom w:val="540"/>
                          <w:divBdr>
                            <w:top w:val="none" w:sz="0" w:space="0" w:color="auto"/>
                            <w:left w:val="none" w:sz="0" w:space="0" w:color="auto"/>
                            <w:bottom w:val="none" w:sz="0" w:space="0" w:color="auto"/>
                            <w:right w:val="none" w:sz="0" w:space="0" w:color="auto"/>
                          </w:divBdr>
                        </w:div>
                        <w:div w:id="758597223">
                          <w:blockQuote w:val="1"/>
                          <w:marLeft w:val="0"/>
                          <w:marRight w:val="0"/>
                          <w:marTop w:val="540"/>
                          <w:marBottom w:val="540"/>
                          <w:divBdr>
                            <w:top w:val="none" w:sz="0" w:space="0" w:color="auto"/>
                            <w:left w:val="none" w:sz="0" w:space="0" w:color="auto"/>
                            <w:bottom w:val="none" w:sz="0" w:space="0" w:color="auto"/>
                            <w:right w:val="none" w:sz="0" w:space="0" w:color="auto"/>
                          </w:divBdr>
                        </w:div>
                        <w:div w:id="1987473490">
                          <w:blockQuote w:val="1"/>
                          <w:marLeft w:val="0"/>
                          <w:marRight w:val="0"/>
                          <w:marTop w:val="540"/>
                          <w:marBottom w:val="540"/>
                          <w:divBdr>
                            <w:top w:val="none" w:sz="0" w:space="0" w:color="auto"/>
                            <w:left w:val="none" w:sz="0" w:space="0" w:color="auto"/>
                            <w:bottom w:val="none" w:sz="0" w:space="0" w:color="auto"/>
                            <w:right w:val="none" w:sz="0" w:space="0" w:color="auto"/>
                          </w:divBdr>
                        </w:div>
                        <w:div w:id="601914101">
                          <w:blockQuote w:val="1"/>
                          <w:marLeft w:val="0"/>
                          <w:marRight w:val="0"/>
                          <w:marTop w:val="540"/>
                          <w:marBottom w:val="540"/>
                          <w:divBdr>
                            <w:top w:val="none" w:sz="0" w:space="0" w:color="auto"/>
                            <w:left w:val="none" w:sz="0" w:space="0" w:color="auto"/>
                            <w:bottom w:val="none" w:sz="0" w:space="0" w:color="auto"/>
                            <w:right w:val="none" w:sz="0" w:space="0" w:color="auto"/>
                          </w:divBdr>
                        </w:div>
                        <w:div w:id="1054352981">
                          <w:blockQuote w:val="1"/>
                          <w:marLeft w:val="0"/>
                          <w:marRight w:val="0"/>
                          <w:marTop w:val="540"/>
                          <w:marBottom w:val="540"/>
                          <w:divBdr>
                            <w:top w:val="none" w:sz="0" w:space="0" w:color="auto"/>
                            <w:left w:val="none" w:sz="0" w:space="0" w:color="auto"/>
                            <w:bottom w:val="none" w:sz="0" w:space="0" w:color="auto"/>
                            <w:right w:val="none" w:sz="0" w:space="0" w:color="auto"/>
                          </w:divBdr>
                        </w:div>
                        <w:div w:id="389496571">
                          <w:blockQuote w:val="1"/>
                          <w:marLeft w:val="0"/>
                          <w:marRight w:val="0"/>
                          <w:marTop w:val="540"/>
                          <w:marBottom w:val="540"/>
                          <w:divBdr>
                            <w:top w:val="none" w:sz="0" w:space="0" w:color="auto"/>
                            <w:left w:val="none" w:sz="0" w:space="0" w:color="auto"/>
                            <w:bottom w:val="none" w:sz="0" w:space="0" w:color="auto"/>
                            <w:right w:val="none" w:sz="0" w:space="0" w:color="auto"/>
                          </w:divBdr>
                        </w:div>
                        <w:div w:id="1088886480">
                          <w:blockQuote w:val="1"/>
                          <w:marLeft w:val="0"/>
                          <w:marRight w:val="0"/>
                          <w:marTop w:val="540"/>
                          <w:marBottom w:val="540"/>
                          <w:divBdr>
                            <w:top w:val="none" w:sz="0" w:space="0" w:color="auto"/>
                            <w:left w:val="none" w:sz="0" w:space="0" w:color="auto"/>
                            <w:bottom w:val="none" w:sz="0" w:space="0" w:color="auto"/>
                            <w:right w:val="none" w:sz="0" w:space="0" w:color="auto"/>
                          </w:divBdr>
                        </w:div>
                      </w:divsChild>
                    </w:div>
                  </w:divsChild>
                </w:div>
              </w:divsChild>
            </w:div>
          </w:divsChild>
        </w:div>
        <w:div w:id="695615642">
          <w:marLeft w:val="0"/>
          <w:marRight w:val="0"/>
          <w:marTop w:val="240"/>
          <w:marBottom w:val="720"/>
          <w:divBdr>
            <w:top w:val="none" w:sz="0" w:space="0" w:color="auto"/>
            <w:left w:val="none" w:sz="0" w:space="0" w:color="auto"/>
            <w:bottom w:val="none" w:sz="0" w:space="0" w:color="auto"/>
            <w:right w:val="none" w:sz="0" w:space="0" w:color="auto"/>
          </w:divBdr>
          <w:divsChild>
            <w:div w:id="1388645057">
              <w:marLeft w:val="0"/>
              <w:marRight w:val="0"/>
              <w:marTop w:val="0"/>
              <w:marBottom w:val="0"/>
              <w:divBdr>
                <w:top w:val="none" w:sz="0" w:space="0" w:color="auto"/>
                <w:left w:val="none" w:sz="0" w:space="0" w:color="auto"/>
                <w:bottom w:val="none" w:sz="0" w:space="0" w:color="auto"/>
                <w:right w:val="none" w:sz="0" w:space="0" w:color="auto"/>
              </w:divBdr>
              <w:divsChild>
                <w:div w:id="2026511998">
                  <w:marLeft w:val="0"/>
                  <w:marRight w:val="0"/>
                  <w:marTop w:val="0"/>
                  <w:marBottom w:val="0"/>
                  <w:divBdr>
                    <w:top w:val="none" w:sz="0" w:space="0" w:color="auto"/>
                    <w:left w:val="none" w:sz="0" w:space="0" w:color="auto"/>
                    <w:bottom w:val="none" w:sz="0" w:space="0" w:color="auto"/>
                    <w:right w:val="none" w:sz="0" w:space="0" w:color="auto"/>
                  </w:divBdr>
                  <w:divsChild>
                    <w:div w:id="980117007">
                      <w:marLeft w:val="0"/>
                      <w:marRight w:val="0"/>
                      <w:marTop w:val="0"/>
                      <w:marBottom w:val="0"/>
                      <w:divBdr>
                        <w:top w:val="none" w:sz="0" w:space="0" w:color="auto"/>
                        <w:left w:val="none" w:sz="0" w:space="0" w:color="auto"/>
                        <w:bottom w:val="none" w:sz="0" w:space="0" w:color="auto"/>
                        <w:right w:val="none" w:sz="0" w:space="0" w:color="auto"/>
                      </w:divBdr>
                      <w:divsChild>
                        <w:div w:id="2119327485">
                          <w:marLeft w:val="0"/>
                          <w:marRight w:val="0"/>
                          <w:marTop w:val="0"/>
                          <w:marBottom w:val="0"/>
                          <w:divBdr>
                            <w:top w:val="none" w:sz="0" w:space="0" w:color="auto"/>
                            <w:left w:val="none" w:sz="0" w:space="0" w:color="auto"/>
                            <w:bottom w:val="none" w:sz="0" w:space="0" w:color="auto"/>
                            <w:right w:val="none" w:sz="0" w:space="0" w:color="auto"/>
                          </w:divBdr>
                        </w:div>
                      </w:divsChild>
                    </w:div>
                    <w:div w:id="570624124">
                      <w:marLeft w:val="0"/>
                      <w:marRight w:val="0"/>
                      <w:marTop w:val="0"/>
                      <w:marBottom w:val="0"/>
                      <w:divBdr>
                        <w:top w:val="none" w:sz="0" w:space="0" w:color="auto"/>
                        <w:left w:val="none" w:sz="0" w:space="0" w:color="auto"/>
                        <w:bottom w:val="none" w:sz="0" w:space="0" w:color="auto"/>
                        <w:right w:val="none" w:sz="0" w:space="0" w:color="auto"/>
                      </w:divBdr>
                      <w:divsChild>
                        <w:div w:id="906185490">
                          <w:marLeft w:val="0"/>
                          <w:marRight w:val="0"/>
                          <w:marTop w:val="0"/>
                          <w:marBottom w:val="0"/>
                          <w:divBdr>
                            <w:top w:val="none" w:sz="0" w:space="0" w:color="auto"/>
                            <w:left w:val="none" w:sz="0" w:space="0" w:color="auto"/>
                            <w:bottom w:val="none" w:sz="0" w:space="0" w:color="auto"/>
                            <w:right w:val="none" w:sz="0" w:space="0" w:color="auto"/>
                          </w:divBdr>
                        </w:div>
                      </w:divsChild>
                    </w:div>
                    <w:div w:id="2036150225">
                      <w:marLeft w:val="0"/>
                      <w:marRight w:val="0"/>
                      <w:marTop w:val="0"/>
                      <w:marBottom w:val="0"/>
                      <w:divBdr>
                        <w:top w:val="none" w:sz="0" w:space="0" w:color="auto"/>
                        <w:left w:val="none" w:sz="0" w:space="0" w:color="auto"/>
                        <w:bottom w:val="none" w:sz="0" w:space="0" w:color="auto"/>
                        <w:right w:val="none" w:sz="0" w:space="0" w:color="auto"/>
                      </w:divBdr>
                      <w:divsChild>
                        <w:div w:id="1485465891">
                          <w:marLeft w:val="0"/>
                          <w:marRight w:val="0"/>
                          <w:marTop w:val="0"/>
                          <w:marBottom w:val="0"/>
                          <w:divBdr>
                            <w:top w:val="none" w:sz="0" w:space="0" w:color="auto"/>
                            <w:left w:val="none" w:sz="0" w:space="0" w:color="auto"/>
                            <w:bottom w:val="none" w:sz="0" w:space="0" w:color="auto"/>
                            <w:right w:val="none" w:sz="0" w:space="0" w:color="auto"/>
                          </w:divBdr>
                        </w:div>
                      </w:divsChild>
                    </w:div>
                    <w:div w:id="1421372012">
                      <w:marLeft w:val="0"/>
                      <w:marRight w:val="0"/>
                      <w:marTop w:val="0"/>
                      <w:marBottom w:val="0"/>
                      <w:divBdr>
                        <w:top w:val="none" w:sz="0" w:space="0" w:color="auto"/>
                        <w:left w:val="none" w:sz="0" w:space="0" w:color="auto"/>
                        <w:bottom w:val="none" w:sz="0" w:space="0" w:color="auto"/>
                        <w:right w:val="none" w:sz="0" w:space="0" w:color="auto"/>
                      </w:divBdr>
                      <w:divsChild>
                        <w:div w:id="1381785729">
                          <w:marLeft w:val="0"/>
                          <w:marRight w:val="0"/>
                          <w:marTop w:val="0"/>
                          <w:marBottom w:val="0"/>
                          <w:divBdr>
                            <w:top w:val="none" w:sz="0" w:space="0" w:color="auto"/>
                            <w:left w:val="none" w:sz="0" w:space="0" w:color="auto"/>
                            <w:bottom w:val="none" w:sz="0" w:space="0" w:color="auto"/>
                            <w:right w:val="none" w:sz="0" w:space="0" w:color="auto"/>
                          </w:divBdr>
                        </w:div>
                      </w:divsChild>
                    </w:div>
                    <w:div w:id="374426172">
                      <w:marLeft w:val="0"/>
                      <w:marRight w:val="0"/>
                      <w:marTop w:val="0"/>
                      <w:marBottom w:val="0"/>
                      <w:divBdr>
                        <w:top w:val="none" w:sz="0" w:space="0" w:color="auto"/>
                        <w:left w:val="none" w:sz="0" w:space="0" w:color="auto"/>
                        <w:bottom w:val="none" w:sz="0" w:space="0" w:color="auto"/>
                        <w:right w:val="none" w:sz="0" w:space="0" w:color="auto"/>
                      </w:divBdr>
                      <w:divsChild>
                        <w:div w:id="1006900680">
                          <w:marLeft w:val="0"/>
                          <w:marRight w:val="0"/>
                          <w:marTop w:val="0"/>
                          <w:marBottom w:val="0"/>
                          <w:divBdr>
                            <w:top w:val="none" w:sz="0" w:space="0" w:color="auto"/>
                            <w:left w:val="none" w:sz="0" w:space="0" w:color="auto"/>
                            <w:bottom w:val="none" w:sz="0" w:space="0" w:color="auto"/>
                            <w:right w:val="none" w:sz="0" w:space="0" w:color="auto"/>
                          </w:divBdr>
                        </w:div>
                      </w:divsChild>
                    </w:div>
                    <w:div w:id="709299833">
                      <w:marLeft w:val="0"/>
                      <w:marRight w:val="0"/>
                      <w:marTop w:val="0"/>
                      <w:marBottom w:val="0"/>
                      <w:divBdr>
                        <w:top w:val="none" w:sz="0" w:space="0" w:color="auto"/>
                        <w:left w:val="none" w:sz="0" w:space="0" w:color="auto"/>
                        <w:bottom w:val="none" w:sz="0" w:space="0" w:color="auto"/>
                        <w:right w:val="none" w:sz="0" w:space="0" w:color="auto"/>
                      </w:divBdr>
                      <w:divsChild>
                        <w:div w:id="1339770012">
                          <w:marLeft w:val="0"/>
                          <w:marRight w:val="0"/>
                          <w:marTop w:val="0"/>
                          <w:marBottom w:val="0"/>
                          <w:divBdr>
                            <w:top w:val="none" w:sz="0" w:space="0" w:color="auto"/>
                            <w:left w:val="none" w:sz="0" w:space="0" w:color="auto"/>
                            <w:bottom w:val="none" w:sz="0" w:space="0" w:color="auto"/>
                            <w:right w:val="none" w:sz="0" w:space="0" w:color="auto"/>
                          </w:divBdr>
                        </w:div>
                      </w:divsChild>
                    </w:div>
                    <w:div w:id="780493701">
                      <w:marLeft w:val="0"/>
                      <w:marRight w:val="0"/>
                      <w:marTop w:val="0"/>
                      <w:marBottom w:val="0"/>
                      <w:divBdr>
                        <w:top w:val="none" w:sz="0" w:space="0" w:color="auto"/>
                        <w:left w:val="none" w:sz="0" w:space="0" w:color="auto"/>
                        <w:bottom w:val="none" w:sz="0" w:space="0" w:color="auto"/>
                        <w:right w:val="none" w:sz="0" w:space="0" w:color="auto"/>
                      </w:divBdr>
                      <w:divsChild>
                        <w:div w:id="90630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676018">
          <w:marLeft w:val="0"/>
          <w:marRight w:val="0"/>
          <w:marTop w:val="240"/>
          <w:marBottom w:val="240"/>
          <w:divBdr>
            <w:top w:val="none" w:sz="0" w:space="0" w:color="auto"/>
            <w:left w:val="none" w:sz="0" w:space="0" w:color="auto"/>
            <w:bottom w:val="none" w:sz="0" w:space="0" w:color="auto"/>
            <w:right w:val="none" w:sz="0" w:space="0" w:color="auto"/>
          </w:divBdr>
          <w:divsChild>
            <w:div w:id="2036496266">
              <w:marLeft w:val="0"/>
              <w:marRight w:val="0"/>
              <w:marTop w:val="0"/>
              <w:marBottom w:val="240"/>
              <w:divBdr>
                <w:top w:val="none" w:sz="0" w:space="0" w:color="auto"/>
                <w:left w:val="none" w:sz="0" w:space="0" w:color="auto"/>
                <w:bottom w:val="none" w:sz="0" w:space="0" w:color="auto"/>
                <w:right w:val="none" w:sz="0" w:space="0" w:color="auto"/>
              </w:divBdr>
              <w:divsChild>
                <w:div w:id="897713930">
                  <w:marLeft w:val="0"/>
                  <w:marRight w:val="0"/>
                  <w:marTop w:val="0"/>
                  <w:marBottom w:val="0"/>
                  <w:divBdr>
                    <w:top w:val="none" w:sz="0" w:space="0" w:color="auto"/>
                    <w:left w:val="none" w:sz="0" w:space="0" w:color="auto"/>
                    <w:bottom w:val="none" w:sz="0" w:space="0" w:color="auto"/>
                    <w:right w:val="none" w:sz="0" w:space="0" w:color="auto"/>
                  </w:divBdr>
                  <w:divsChild>
                    <w:div w:id="1877891296">
                      <w:marLeft w:val="0"/>
                      <w:marRight w:val="0"/>
                      <w:marTop w:val="0"/>
                      <w:marBottom w:val="0"/>
                      <w:divBdr>
                        <w:top w:val="none" w:sz="0" w:space="0" w:color="auto"/>
                        <w:left w:val="none" w:sz="0" w:space="0" w:color="auto"/>
                        <w:bottom w:val="none" w:sz="0" w:space="0" w:color="auto"/>
                        <w:right w:val="none" w:sz="0" w:space="0" w:color="auto"/>
                      </w:divBdr>
                      <w:divsChild>
                        <w:div w:id="211413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82553">
                  <w:marLeft w:val="0"/>
                  <w:marRight w:val="0"/>
                  <w:marTop w:val="120"/>
                  <w:marBottom w:val="0"/>
                  <w:divBdr>
                    <w:top w:val="none" w:sz="0" w:space="0" w:color="auto"/>
                    <w:left w:val="none" w:sz="0" w:space="0" w:color="auto"/>
                    <w:bottom w:val="none" w:sz="0" w:space="0" w:color="auto"/>
                    <w:right w:val="none" w:sz="0" w:space="0" w:color="auto"/>
                  </w:divBdr>
                  <w:divsChild>
                    <w:div w:id="419301834">
                      <w:marLeft w:val="0"/>
                      <w:marRight w:val="0"/>
                      <w:marTop w:val="0"/>
                      <w:marBottom w:val="0"/>
                      <w:divBdr>
                        <w:top w:val="none" w:sz="0" w:space="0" w:color="auto"/>
                        <w:left w:val="none" w:sz="0" w:space="0" w:color="auto"/>
                        <w:bottom w:val="none" w:sz="0" w:space="0" w:color="auto"/>
                        <w:right w:val="none" w:sz="0" w:space="0" w:color="auto"/>
                      </w:divBdr>
                      <w:divsChild>
                        <w:div w:id="409816747">
                          <w:marLeft w:val="0"/>
                          <w:marRight w:val="120"/>
                          <w:marTop w:val="0"/>
                          <w:marBottom w:val="0"/>
                          <w:divBdr>
                            <w:top w:val="none" w:sz="0" w:space="0" w:color="auto"/>
                            <w:left w:val="none" w:sz="0" w:space="0" w:color="auto"/>
                            <w:bottom w:val="none" w:sz="0" w:space="0" w:color="auto"/>
                            <w:right w:val="none" w:sz="0" w:space="0" w:color="auto"/>
                          </w:divBdr>
                          <w:divsChild>
                            <w:div w:id="2059236374">
                              <w:marLeft w:val="0"/>
                              <w:marRight w:val="0"/>
                              <w:marTop w:val="0"/>
                              <w:marBottom w:val="0"/>
                              <w:divBdr>
                                <w:top w:val="none" w:sz="0" w:space="0" w:color="auto"/>
                                <w:left w:val="none" w:sz="0" w:space="0" w:color="auto"/>
                                <w:bottom w:val="none" w:sz="0" w:space="0" w:color="auto"/>
                                <w:right w:val="none" w:sz="0" w:space="0" w:color="auto"/>
                              </w:divBdr>
                              <w:divsChild>
                                <w:div w:id="1993874764">
                                  <w:marLeft w:val="0"/>
                                  <w:marRight w:val="0"/>
                                  <w:marTop w:val="0"/>
                                  <w:marBottom w:val="0"/>
                                  <w:divBdr>
                                    <w:top w:val="none" w:sz="0" w:space="0" w:color="auto"/>
                                    <w:left w:val="none" w:sz="0" w:space="0" w:color="auto"/>
                                    <w:bottom w:val="none" w:sz="0" w:space="0" w:color="auto"/>
                                    <w:right w:val="none" w:sz="0" w:space="0" w:color="auto"/>
                                  </w:divBdr>
                                  <w:divsChild>
                                    <w:div w:id="10874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3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39357">
                  <w:marLeft w:val="0"/>
                  <w:marRight w:val="0"/>
                  <w:marTop w:val="120"/>
                  <w:marBottom w:val="0"/>
                  <w:divBdr>
                    <w:top w:val="none" w:sz="0" w:space="0" w:color="auto"/>
                    <w:left w:val="none" w:sz="0" w:space="0" w:color="auto"/>
                    <w:bottom w:val="none" w:sz="0" w:space="0" w:color="auto"/>
                    <w:right w:val="none" w:sz="0" w:space="0" w:color="auto"/>
                  </w:divBdr>
                  <w:divsChild>
                    <w:div w:id="1731033364">
                      <w:marLeft w:val="0"/>
                      <w:marRight w:val="0"/>
                      <w:marTop w:val="0"/>
                      <w:marBottom w:val="0"/>
                      <w:divBdr>
                        <w:top w:val="none" w:sz="0" w:space="0" w:color="auto"/>
                        <w:left w:val="none" w:sz="0" w:space="0" w:color="auto"/>
                        <w:bottom w:val="none" w:sz="0" w:space="0" w:color="auto"/>
                        <w:right w:val="none" w:sz="0" w:space="0" w:color="auto"/>
                      </w:divBdr>
                    </w:div>
                  </w:divsChild>
                </w:div>
                <w:div w:id="53531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99446">
          <w:marLeft w:val="0"/>
          <w:marRight w:val="0"/>
          <w:marTop w:val="240"/>
          <w:marBottom w:val="480"/>
          <w:divBdr>
            <w:top w:val="none" w:sz="0" w:space="0" w:color="auto"/>
            <w:left w:val="none" w:sz="0" w:space="0" w:color="auto"/>
            <w:bottom w:val="none" w:sz="0" w:space="0" w:color="auto"/>
            <w:right w:val="none" w:sz="0" w:space="0" w:color="auto"/>
          </w:divBdr>
          <w:divsChild>
            <w:div w:id="1097822655">
              <w:marLeft w:val="0"/>
              <w:marRight w:val="0"/>
              <w:marTop w:val="0"/>
              <w:marBottom w:val="0"/>
              <w:divBdr>
                <w:top w:val="none" w:sz="0" w:space="0" w:color="auto"/>
                <w:left w:val="none" w:sz="0" w:space="0" w:color="auto"/>
                <w:bottom w:val="none" w:sz="0" w:space="0" w:color="auto"/>
                <w:right w:val="none" w:sz="0" w:space="0" w:color="auto"/>
              </w:divBdr>
              <w:divsChild>
                <w:div w:id="502866398">
                  <w:marLeft w:val="0"/>
                  <w:marRight w:val="0"/>
                  <w:marTop w:val="0"/>
                  <w:marBottom w:val="240"/>
                  <w:divBdr>
                    <w:top w:val="none" w:sz="0" w:space="0" w:color="auto"/>
                    <w:left w:val="none" w:sz="0" w:space="0" w:color="auto"/>
                    <w:bottom w:val="none" w:sz="0" w:space="0" w:color="auto"/>
                    <w:right w:val="none" w:sz="0" w:space="0" w:color="auto"/>
                  </w:divBdr>
                </w:div>
                <w:div w:id="1025525079">
                  <w:marLeft w:val="0"/>
                  <w:marRight w:val="0"/>
                  <w:marTop w:val="0"/>
                  <w:marBottom w:val="0"/>
                  <w:divBdr>
                    <w:top w:val="none" w:sz="0" w:space="0" w:color="auto"/>
                    <w:left w:val="none" w:sz="0" w:space="0" w:color="auto"/>
                    <w:bottom w:val="none" w:sz="0" w:space="0" w:color="auto"/>
                    <w:right w:val="none" w:sz="0" w:space="0" w:color="auto"/>
                  </w:divBdr>
                  <w:divsChild>
                    <w:div w:id="82995269">
                      <w:marLeft w:val="0"/>
                      <w:marRight w:val="0"/>
                      <w:marTop w:val="0"/>
                      <w:marBottom w:val="0"/>
                      <w:divBdr>
                        <w:top w:val="none" w:sz="0" w:space="0" w:color="auto"/>
                        <w:left w:val="none" w:sz="0" w:space="0" w:color="auto"/>
                        <w:bottom w:val="none" w:sz="0" w:space="0" w:color="auto"/>
                        <w:right w:val="none" w:sz="0" w:space="0" w:color="auto"/>
                      </w:divBdr>
                      <w:divsChild>
                        <w:div w:id="146580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121601">
          <w:marLeft w:val="0"/>
          <w:marRight w:val="0"/>
          <w:marTop w:val="480"/>
          <w:marBottom w:val="480"/>
          <w:divBdr>
            <w:top w:val="none" w:sz="0" w:space="0" w:color="auto"/>
            <w:left w:val="none" w:sz="0" w:space="0" w:color="auto"/>
            <w:bottom w:val="none" w:sz="0" w:space="0" w:color="auto"/>
            <w:right w:val="none" w:sz="0" w:space="0" w:color="auto"/>
          </w:divBdr>
          <w:divsChild>
            <w:div w:id="719480504">
              <w:marLeft w:val="0"/>
              <w:marRight w:val="0"/>
              <w:marTop w:val="0"/>
              <w:marBottom w:val="0"/>
              <w:divBdr>
                <w:top w:val="none" w:sz="0" w:space="0" w:color="auto"/>
                <w:left w:val="none" w:sz="0" w:space="0" w:color="auto"/>
                <w:bottom w:val="none" w:sz="0" w:space="0" w:color="auto"/>
                <w:right w:val="none" w:sz="0" w:space="0" w:color="auto"/>
              </w:divBdr>
              <w:divsChild>
                <w:div w:id="1726023074">
                  <w:marLeft w:val="0"/>
                  <w:marRight w:val="480"/>
                  <w:marTop w:val="0"/>
                  <w:marBottom w:val="0"/>
                  <w:divBdr>
                    <w:top w:val="none" w:sz="0" w:space="0" w:color="auto"/>
                    <w:left w:val="none" w:sz="0" w:space="0" w:color="auto"/>
                    <w:bottom w:val="none" w:sz="0" w:space="0" w:color="auto"/>
                    <w:right w:val="none" w:sz="0" w:space="0" w:color="auto"/>
                  </w:divBdr>
                  <w:divsChild>
                    <w:div w:id="1127622751">
                      <w:marLeft w:val="0"/>
                      <w:marRight w:val="0"/>
                      <w:marTop w:val="0"/>
                      <w:marBottom w:val="0"/>
                      <w:divBdr>
                        <w:top w:val="none" w:sz="0" w:space="0" w:color="auto"/>
                        <w:left w:val="none" w:sz="0" w:space="0" w:color="auto"/>
                        <w:bottom w:val="none" w:sz="0" w:space="0" w:color="auto"/>
                        <w:right w:val="none" w:sz="0" w:space="0" w:color="auto"/>
                      </w:divBdr>
                      <w:divsChild>
                        <w:div w:id="214037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917757">
          <w:marLeft w:val="0"/>
          <w:marRight w:val="0"/>
          <w:marTop w:val="480"/>
          <w:marBottom w:val="480"/>
          <w:divBdr>
            <w:top w:val="none" w:sz="0" w:space="0" w:color="auto"/>
            <w:left w:val="none" w:sz="0" w:space="0" w:color="auto"/>
            <w:bottom w:val="none" w:sz="0" w:space="0" w:color="auto"/>
            <w:right w:val="none" w:sz="0" w:space="0" w:color="auto"/>
          </w:divBdr>
          <w:divsChild>
            <w:div w:id="645167049">
              <w:marLeft w:val="0"/>
              <w:marRight w:val="0"/>
              <w:marTop w:val="0"/>
              <w:marBottom w:val="0"/>
              <w:divBdr>
                <w:top w:val="none" w:sz="0" w:space="0" w:color="auto"/>
                <w:left w:val="none" w:sz="0" w:space="0" w:color="auto"/>
                <w:bottom w:val="none" w:sz="0" w:space="0" w:color="auto"/>
                <w:right w:val="none" w:sz="0" w:space="0" w:color="auto"/>
              </w:divBdr>
              <w:divsChild>
                <w:div w:id="470052229">
                  <w:marLeft w:val="0"/>
                  <w:marRight w:val="0"/>
                  <w:marTop w:val="0"/>
                  <w:marBottom w:val="0"/>
                  <w:divBdr>
                    <w:top w:val="none" w:sz="0" w:space="0" w:color="auto"/>
                    <w:left w:val="none" w:sz="0" w:space="0" w:color="auto"/>
                    <w:bottom w:val="none" w:sz="0" w:space="0" w:color="auto"/>
                    <w:right w:val="none" w:sz="0" w:space="0" w:color="auto"/>
                  </w:divBdr>
                </w:div>
              </w:divsChild>
            </w:div>
            <w:div w:id="1734813070">
              <w:marLeft w:val="240"/>
              <w:marRight w:val="0"/>
              <w:marTop w:val="0"/>
              <w:marBottom w:val="0"/>
              <w:divBdr>
                <w:top w:val="none" w:sz="0" w:space="0" w:color="auto"/>
                <w:left w:val="none" w:sz="0" w:space="0" w:color="auto"/>
                <w:bottom w:val="none" w:sz="0" w:space="0" w:color="auto"/>
                <w:right w:val="none" w:sz="0" w:space="0" w:color="auto"/>
              </w:divBdr>
              <w:divsChild>
                <w:div w:id="924344834">
                  <w:marLeft w:val="0"/>
                  <w:marRight w:val="0"/>
                  <w:marTop w:val="0"/>
                  <w:marBottom w:val="120"/>
                  <w:divBdr>
                    <w:top w:val="none" w:sz="0" w:space="0" w:color="auto"/>
                    <w:left w:val="none" w:sz="0" w:space="0" w:color="auto"/>
                    <w:bottom w:val="none" w:sz="0" w:space="0" w:color="auto"/>
                    <w:right w:val="none" w:sz="0" w:space="0" w:color="auto"/>
                  </w:divBdr>
                  <w:divsChild>
                    <w:div w:id="196620783">
                      <w:marLeft w:val="0"/>
                      <w:marRight w:val="0"/>
                      <w:marTop w:val="0"/>
                      <w:marBottom w:val="0"/>
                      <w:divBdr>
                        <w:top w:val="none" w:sz="0" w:space="0" w:color="auto"/>
                        <w:left w:val="none" w:sz="0" w:space="0" w:color="auto"/>
                        <w:bottom w:val="none" w:sz="0" w:space="0" w:color="auto"/>
                        <w:right w:val="none" w:sz="0" w:space="0" w:color="auto"/>
                      </w:divBdr>
                    </w:div>
                    <w:div w:id="809328885">
                      <w:marLeft w:val="240"/>
                      <w:marRight w:val="0"/>
                      <w:marTop w:val="0"/>
                      <w:marBottom w:val="0"/>
                      <w:divBdr>
                        <w:top w:val="none" w:sz="0" w:space="0" w:color="auto"/>
                        <w:left w:val="none" w:sz="0" w:space="0" w:color="auto"/>
                        <w:bottom w:val="none" w:sz="0" w:space="0" w:color="auto"/>
                        <w:right w:val="none" w:sz="0" w:space="0" w:color="auto"/>
                      </w:divBdr>
                      <w:divsChild>
                        <w:div w:id="107704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01407">
                  <w:marLeft w:val="0"/>
                  <w:marRight w:val="0"/>
                  <w:marTop w:val="0"/>
                  <w:marBottom w:val="0"/>
                  <w:divBdr>
                    <w:top w:val="none" w:sz="0" w:space="0" w:color="auto"/>
                    <w:left w:val="none" w:sz="0" w:space="0" w:color="auto"/>
                    <w:bottom w:val="none" w:sz="0" w:space="0" w:color="auto"/>
                    <w:right w:val="none" w:sz="0" w:space="0" w:color="auto"/>
                  </w:divBdr>
                  <w:divsChild>
                    <w:div w:id="1900747566">
                      <w:marLeft w:val="0"/>
                      <w:marRight w:val="0"/>
                      <w:marTop w:val="0"/>
                      <w:marBottom w:val="0"/>
                      <w:divBdr>
                        <w:top w:val="none" w:sz="0" w:space="0" w:color="auto"/>
                        <w:left w:val="none" w:sz="0" w:space="0" w:color="auto"/>
                        <w:bottom w:val="none" w:sz="0" w:space="0" w:color="auto"/>
                        <w:right w:val="none" w:sz="0" w:space="0" w:color="auto"/>
                      </w:divBdr>
                      <w:divsChild>
                        <w:div w:id="2112042217">
                          <w:marLeft w:val="0"/>
                          <w:marRight w:val="0"/>
                          <w:marTop w:val="0"/>
                          <w:marBottom w:val="120"/>
                          <w:divBdr>
                            <w:top w:val="none" w:sz="0" w:space="0" w:color="auto"/>
                            <w:left w:val="none" w:sz="0" w:space="0" w:color="auto"/>
                            <w:bottom w:val="none" w:sz="0" w:space="0" w:color="auto"/>
                            <w:right w:val="none" w:sz="0" w:space="0" w:color="auto"/>
                          </w:divBdr>
                        </w:div>
                        <w:div w:id="296767226">
                          <w:marLeft w:val="0"/>
                          <w:marRight w:val="0"/>
                          <w:marTop w:val="0"/>
                          <w:marBottom w:val="0"/>
                          <w:divBdr>
                            <w:top w:val="none" w:sz="0" w:space="0" w:color="auto"/>
                            <w:left w:val="none" w:sz="0" w:space="0" w:color="auto"/>
                            <w:bottom w:val="none" w:sz="0" w:space="0" w:color="auto"/>
                            <w:right w:val="none" w:sz="0" w:space="0" w:color="auto"/>
                          </w:divBdr>
                          <w:divsChild>
                            <w:div w:id="116682394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5906206">
          <w:marLeft w:val="0"/>
          <w:marRight w:val="0"/>
          <w:marTop w:val="480"/>
          <w:marBottom w:val="480"/>
          <w:divBdr>
            <w:top w:val="none" w:sz="0" w:space="0" w:color="auto"/>
            <w:left w:val="none" w:sz="0" w:space="0" w:color="auto"/>
            <w:bottom w:val="none" w:sz="0" w:space="0" w:color="auto"/>
            <w:right w:val="none" w:sz="0" w:space="0" w:color="auto"/>
          </w:divBdr>
          <w:divsChild>
            <w:div w:id="1972133776">
              <w:marLeft w:val="0"/>
              <w:marRight w:val="0"/>
              <w:marTop w:val="0"/>
              <w:marBottom w:val="0"/>
              <w:divBdr>
                <w:top w:val="none" w:sz="0" w:space="0" w:color="auto"/>
                <w:left w:val="none" w:sz="0" w:space="0" w:color="auto"/>
                <w:bottom w:val="none" w:sz="0" w:space="0" w:color="auto"/>
                <w:right w:val="none" w:sz="0" w:space="0" w:color="auto"/>
              </w:divBdr>
              <w:divsChild>
                <w:div w:id="1098403950">
                  <w:marLeft w:val="0"/>
                  <w:marRight w:val="0"/>
                  <w:marTop w:val="0"/>
                  <w:marBottom w:val="0"/>
                  <w:divBdr>
                    <w:top w:val="none" w:sz="0" w:space="0" w:color="auto"/>
                    <w:left w:val="none" w:sz="0" w:space="0" w:color="auto"/>
                    <w:bottom w:val="none" w:sz="0" w:space="0" w:color="auto"/>
                    <w:right w:val="none" w:sz="0" w:space="0" w:color="auto"/>
                  </w:divBdr>
                  <w:divsChild>
                    <w:div w:id="1273394786">
                      <w:marLeft w:val="0"/>
                      <w:marRight w:val="0"/>
                      <w:marTop w:val="0"/>
                      <w:marBottom w:val="0"/>
                      <w:divBdr>
                        <w:top w:val="none" w:sz="0" w:space="0" w:color="auto"/>
                        <w:left w:val="none" w:sz="0" w:space="0" w:color="auto"/>
                        <w:bottom w:val="none" w:sz="0" w:space="0" w:color="auto"/>
                        <w:right w:val="none" w:sz="0" w:space="0" w:color="auto"/>
                      </w:divBdr>
                      <w:divsChild>
                        <w:div w:id="905334851">
                          <w:marLeft w:val="0"/>
                          <w:marRight w:val="0"/>
                          <w:marTop w:val="0"/>
                          <w:marBottom w:val="0"/>
                          <w:divBdr>
                            <w:top w:val="none" w:sz="0" w:space="0" w:color="auto"/>
                            <w:left w:val="none" w:sz="0" w:space="0" w:color="auto"/>
                            <w:bottom w:val="none" w:sz="0" w:space="0" w:color="auto"/>
                            <w:right w:val="none" w:sz="0" w:space="0" w:color="auto"/>
                          </w:divBdr>
                          <w:divsChild>
                            <w:div w:id="1321033619">
                              <w:marLeft w:val="0"/>
                              <w:marRight w:val="0"/>
                              <w:marTop w:val="60"/>
                              <w:marBottom w:val="0"/>
                              <w:divBdr>
                                <w:top w:val="none" w:sz="0" w:space="0" w:color="auto"/>
                                <w:left w:val="none" w:sz="0" w:space="0" w:color="auto"/>
                                <w:bottom w:val="none" w:sz="0" w:space="0" w:color="auto"/>
                                <w:right w:val="none" w:sz="0" w:space="0" w:color="auto"/>
                              </w:divBdr>
                              <w:divsChild>
                                <w:div w:id="1508861997">
                                  <w:marLeft w:val="0"/>
                                  <w:marRight w:val="120"/>
                                  <w:marTop w:val="0"/>
                                  <w:marBottom w:val="0"/>
                                  <w:divBdr>
                                    <w:top w:val="none" w:sz="0" w:space="0" w:color="auto"/>
                                    <w:left w:val="none" w:sz="0" w:space="0" w:color="auto"/>
                                    <w:bottom w:val="none" w:sz="0" w:space="0" w:color="auto"/>
                                    <w:right w:val="none" w:sz="0" w:space="0" w:color="auto"/>
                                  </w:divBdr>
                                </w:div>
                                <w:div w:id="93621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1074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77110479">
                  <w:marLeft w:val="0"/>
                  <w:marRight w:val="0"/>
                  <w:marTop w:val="0"/>
                  <w:marBottom w:val="0"/>
                  <w:divBdr>
                    <w:top w:val="none" w:sz="0" w:space="0" w:color="auto"/>
                    <w:left w:val="none" w:sz="0" w:space="0" w:color="auto"/>
                    <w:bottom w:val="none" w:sz="0" w:space="0" w:color="auto"/>
                    <w:right w:val="none" w:sz="0" w:space="0" w:color="auto"/>
                  </w:divBdr>
                  <w:divsChild>
                    <w:div w:id="1005284901">
                      <w:marLeft w:val="0"/>
                      <w:marRight w:val="0"/>
                      <w:marTop w:val="0"/>
                      <w:marBottom w:val="0"/>
                      <w:divBdr>
                        <w:top w:val="none" w:sz="0" w:space="0" w:color="auto"/>
                        <w:left w:val="none" w:sz="0" w:space="0" w:color="auto"/>
                        <w:bottom w:val="none" w:sz="0" w:space="0" w:color="auto"/>
                        <w:right w:val="none" w:sz="0" w:space="0" w:color="auto"/>
                      </w:divBdr>
                      <w:divsChild>
                        <w:div w:id="1251769437">
                          <w:marLeft w:val="0"/>
                          <w:marRight w:val="0"/>
                          <w:marTop w:val="0"/>
                          <w:marBottom w:val="0"/>
                          <w:divBdr>
                            <w:top w:val="none" w:sz="0" w:space="0" w:color="auto"/>
                            <w:left w:val="none" w:sz="0" w:space="0" w:color="auto"/>
                            <w:bottom w:val="none" w:sz="0" w:space="0" w:color="auto"/>
                            <w:right w:val="none" w:sz="0" w:space="0" w:color="auto"/>
                          </w:divBdr>
                          <w:divsChild>
                            <w:div w:id="696348495">
                              <w:marLeft w:val="0"/>
                              <w:marRight w:val="0"/>
                              <w:marTop w:val="60"/>
                              <w:marBottom w:val="0"/>
                              <w:divBdr>
                                <w:top w:val="none" w:sz="0" w:space="0" w:color="auto"/>
                                <w:left w:val="none" w:sz="0" w:space="0" w:color="auto"/>
                                <w:bottom w:val="none" w:sz="0" w:space="0" w:color="auto"/>
                                <w:right w:val="none" w:sz="0" w:space="0" w:color="auto"/>
                              </w:divBdr>
                              <w:divsChild>
                                <w:div w:id="780101931">
                                  <w:marLeft w:val="0"/>
                                  <w:marRight w:val="120"/>
                                  <w:marTop w:val="0"/>
                                  <w:marBottom w:val="0"/>
                                  <w:divBdr>
                                    <w:top w:val="none" w:sz="0" w:space="0" w:color="auto"/>
                                    <w:left w:val="none" w:sz="0" w:space="0" w:color="auto"/>
                                    <w:bottom w:val="none" w:sz="0" w:space="0" w:color="auto"/>
                                    <w:right w:val="none" w:sz="0" w:space="0" w:color="auto"/>
                                  </w:divBdr>
                                </w:div>
                                <w:div w:id="116270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9095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11686014">
                  <w:marLeft w:val="0"/>
                  <w:marRight w:val="0"/>
                  <w:marTop w:val="0"/>
                  <w:marBottom w:val="0"/>
                  <w:divBdr>
                    <w:top w:val="none" w:sz="0" w:space="0" w:color="auto"/>
                    <w:left w:val="none" w:sz="0" w:space="0" w:color="auto"/>
                    <w:bottom w:val="none" w:sz="0" w:space="0" w:color="auto"/>
                    <w:right w:val="none" w:sz="0" w:space="0" w:color="auto"/>
                  </w:divBdr>
                  <w:divsChild>
                    <w:div w:id="1705249921">
                      <w:marLeft w:val="0"/>
                      <w:marRight w:val="0"/>
                      <w:marTop w:val="0"/>
                      <w:marBottom w:val="0"/>
                      <w:divBdr>
                        <w:top w:val="none" w:sz="0" w:space="0" w:color="auto"/>
                        <w:left w:val="none" w:sz="0" w:space="0" w:color="auto"/>
                        <w:bottom w:val="none" w:sz="0" w:space="0" w:color="auto"/>
                        <w:right w:val="none" w:sz="0" w:space="0" w:color="auto"/>
                      </w:divBdr>
                      <w:divsChild>
                        <w:div w:id="1487744629">
                          <w:marLeft w:val="0"/>
                          <w:marRight w:val="0"/>
                          <w:marTop w:val="0"/>
                          <w:marBottom w:val="0"/>
                          <w:divBdr>
                            <w:top w:val="none" w:sz="0" w:space="0" w:color="auto"/>
                            <w:left w:val="none" w:sz="0" w:space="0" w:color="auto"/>
                            <w:bottom w:val="none" w:sz="0" w:space="0" w:color="auto"/>
                            <w:right w:val="none" w:sz="0" w:space="0" w:color="auto"/>
                          </w:divBdr>
                          <w:divsChild>
                            <w:div w:id="1277563741">
                              <w:marLeft w:val="0"/>
                              <w:marRight w:val="0"/>
                              <w:marTop w:val="60"/>
                              <w:marBottom w:val="0"/>
                              <w:divBdr>
                                <w:top w:val="none" w:sz="0" w:space="0" w:color="auto"/>
                                <w:left w:val="none" w:sz="0" w:space="0" w:color="auto"/>
                                <w:bottom w:val="none" w:sz="0" w:space="0" w:color="auto"/>
                                <w:right w:val="none" w:sz="0" w:space="0" w:color="auto"/>
                              </w:divBdr>
                              <w:divsChild>
                                <w:div w:id="681394230">
                                  <w:marLeft w:val="0"/>
                                  <w:marRight w:val="120"/>
                                  <w:marTop w:val="0"/>
                                  <w:marBottom w:val="0"/>
                                  <w:divBdr>
                                    <w:top w:val="none" w:sz="0" w:space="0" w:color="auto"/>
                                    <w:left w:val="none" w:sz="0" w:space="0" w:color="auto"/>
                                    <w:bottom w:val="none" w:sz="0" w:space="0" w:color="auto"/>
                                    <w:right w:val="none" w:sz="0" w:space="0" w:color="auto"/>
                                  </w:divBdr>
                                </w:div>
                                <w:div w:id="175651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1776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775761">
          <w:marLeft w:val="0"/>
          <w:marRight w:val="0"/>
          <w:marTop w:val="480"/>
          <w:marBottom w:val="480"/>
          <w:divBdr>
            <w:top w:val="none" w:sz="0" w:space="0" w:color="auto"/>
            <w:left w:val="none" w:sz="0" w:space="0" w:color="auto"/>
            <w:bottom w:val="none" w:sz="0" w:space="0" w:color="auto"/>
            <w:right w:val="none" w:sz="0" w:space="0" w:color="auto"/>
          </w:divBdr>
          <w:divsChild>
            <w:div w:id="147404653">
              <w:marLeft w:val="0"/>
              <w:marRight w:val="0"/>
              <w:marTop w:val="0"/>
              <w:marBottom w:val="0"/>
              <w:divBdr>
                <w:top w:val="none" w:sz="0" w:space="0" w:color="auto"/>
                <w:left w:val="none" w:sz="0" w:space="0" w:color="auto"/>
                <w:bottom w:val="none" w:sz="0" w:space="0" w:color="auto"/>
                <w:right w:val="none" w:sz="0" w:space="0" w:color="auto"/>
              </w:divBdr>
              <w:divsChild>
                <w:div w:id="148342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038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D5A55-6A1E-4861-96E3-1CB576837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15</Pages>
  <Words>3740</Words>
  <Characters>21321</Characters>
  <Application>Microsoft Office Word</Application>
  <DocSecurity>0</DocSecurity>
  <Lines>177</Lines>
  <Paragraphs>50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西村 翼</dc:creator>
  <cp:keywords/>
  <dc:description/>
  <cp:lastModifiedBy>西村 翼</cp:lastModifiedBy>
  <cp:revision>112</cp:revision>
  <dcterms:created xsi:type="dcterms:W3CDTF">2023-02-01T13:20:00Z</dcterms:created>
  <dcterms:modified xsi:type="dcterms:W3CDTF">2023-02-01T14:53:00Z</dcterms:modified>
</cp:coreProperties>
</file>