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BFF0" w14:textId="3448AA11" w:rsidR="000B790D" w:rsidRDefault="00F309E7" w:rsidP="00F309E7">
      <w:pPr>
        <w:pStyle w:val="4"/>
      </w:pPr>
      <w:r>
        <w:rPr>
          <w:rFonts w:hint="eastAsia"/>
        </w:rPr>
        <w:t>Time Series Momentum</w:t>
      </w:r>
    </w:p>
    <w:p w14:paraId="3E621544" w14:textId="21732F47" w:rsidR="00F309E7" w:rsidRDefault="00555EBA" w:rsidP="00555EBA">
      <w:pPr>
        <w:jc w:val="right"/>
      </w:pPr>
      <w:r>
        <w:rPr>
          <w:rFonts w:hint="eastAsia"/>
        </w:rPr>
        <w:t>作成者：西村AN</w:t>
      </w:r>
    </w:p>
    <w:p w14:paraId="48E93BDE" w14:textId="5FAEC5D1" w:rsidR="00555EBA" w:rsidRDefault="00555EBA" w:rsidP="00555EBA">
      <w:pPr>
        <w:jc w:val="center"/>
        <w:rPr>
          <w:b/>
          <w:bCs/>
        </w:rPr>
      </w:pPr>
      <w:r w:rsidRPr="00555EBA">
        <w:rPr>
          <w:rFonts w:hint="eastAsia"/>
          <w:b/>
          <w:bCs/>
        </w:rPr>
        <w:t>概要</w:t>
      </w:r>
    </w:p>
    <w:tbl>
      <w:tblPr>
        <w:tblStyle w:val="ac"/>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tblGrid>
      <w:tr w:rsidR="00555EBA" w14:paraId="0C7AF852" w14:textId="77777777" w:rsidTr="00555EBA">
        <w:tc>
          <w:tcPr>
            <w:tcW w:w="8222" w:type="dxa"/>
          </w:tcPr>
          <w:p w14:paraId="30962E4C" w14:textId="684B4D2C" w:rsidR="00555EBA" w:rsidRDefault="00274A31" w:rsidP="00274A31">
            <w:pPr>
              <w:rPr>
                <w:rFonts w:hint="eastAsia"/>
                <w:b/>
                <w:bCs/>
              </w:rPr>
            </w:pPr>
            <w:r w:rsidRPr="00274A31">
              <w:rPr>
                <w:rFonts w:hint="eastAsia"/>
              </w:rPr>
              <w:t>我々は、</w:t>
            </w:r>
            <w:r w:rsidRPr="00274A31">
              <w:t>58の流動的な商品それぞれについて、株価指数、通貨、商品、債券先物の有意な「時系列モメンタム」を記録している。その結果、1ヶ月から12ヶ月のリターンの持続性が認められ、より長い期間では部分的に反転し、初期過小反応と遅延過剰反応というセンチメントの理論と一致する。</w:t>
            </w:r>
            <w:r w:rsidRPr="00274A31">
              <w:rPr>
                <w:rFonts w:hint="eastAsia"/>
              </w:rPr>
              <w:t>すべての資産クラスにわたる時系列モメンタム戦略の分散ポートフォリオは、標準的な資産価格要因にほとんど影響を与えることなく、大幅な異常リターンをもたらし、極端な市場において最高のパフォーマンスを発揮する。投機家とヘッジャーの取引活動を調査した結果、投機家はヘッジャーを犠牲にして時系列モメンタムから利益を得ていることが分かった。</w:t>
            </w:r>
          </w:p>
        </w:tc>
      </w:tr>
    </w:tbl>
    <w:p w14:paraId="24C2E59A" w14:textId="77777777" w:rsidR="00555EBA" w:rsidRDefault="00555EBA" w:rsidP="00555EBA">
      <w:pPr>
        <w:jc w:val="left"/>
        <w:rPr>
          <w:b/>
          <w:bCs/>
        </w:rPr>
      </w:pPr>
    </w:p>
    <w:p w14:paraId="1F6C8D98" w14:textId="0EF6FF21" w:rsidR="00555EBA" w:rsidRDefault="00A27C2D" w:rsidP="00555EBA">
      <w:pPr>
        <w:pStyle w:val="1"/>
      </w:pPr>
      <w:r w:rsidRPr="00A27C2D">
        <w:t>Introduction: a trending walk down Wall Street</w:t>
      </w:r>
    </w:p>
    <w:p w14:paraId="6A78EBED" w14:textId="7D2B2B23" w:rsidR="00A27C2D" w:rsidRDefault="004E1227" w:rsidP="004E1227">
      <w:pPr>
        <w:pStyle w:val="a2"/>
      </w:pPr>
      <w:r>
        <w:rPr>
          <w:rFonts w:hint="eastAsia"/>
        </w:rPr>
        <w:t>我々は、「時系列モメンタム」と呼ぶ資産価格異常を記録しているが、これは非常に異なる資産クラスや市場において驚くほど一貫している。具体的には、</w:t>
      </w:r>
      <w:r>
        <w:t>25年以上にわたるデータから、各国の株価指数、通貨、商品、ソブリン債を含むほぼ5ダースの多様な先物・先渡契約について、証券自身の過去のリターンから強い正の予測性を見出した。その結果、各商品の過去12ヶ月の超過収益率は、その商品の将来の収益率を予測する正の要因であることが分かった。この時系列のモメンタムまたは「トレンド」効果は約1年間持続し、その後、長期的な視野で部分的に</w:t>
      </w:r>
      <w:r>
        <w:rPr>
          <w:rFonts w:hint="eastAsia"/>
        </w:rPr>
        <w:t>逆転している。これらの知見は、多くのサブサンプル、ルックバック期間、保有期間にわたってロバストである。</w:t>
      </w:r>
      <w:r>
        <w:t>12ヶ月の時系列モメンタム利益は、これらの資産全体の平均だけでなく、調査したすべての資産契約（合計58）においてプラスであることが分かった。</w:t>
      </w:r>
    </w:p>
    <w:p w14:paraId="5E7D8B27" w14:textId="77777777" w:rsidR="00121490" w:rsidRDefault="00121490" w:rsidP="004E1227">
      <w:pPr>
        <w:pStyle w:val="a2"/>
      </w:pPr>
    </w:p>
    <w:p w14:paraId="4CF365B5" w14:textId="28CBEA5B" w:rsidR="00121490" w:rsidRDefault="00331740" w:rsidP="004E1227">
      <w:pPr>
        <w:pStyle w:val="a2"/>
      </w:pPr>
      <w:r w:rsidRPr="00331740">
        <w:rPr>
          <w:rFonts w:hint="eastAsia"/>
        </w:rPr>
        <w:t>時系列のモメンタムは、主にクロスセクションの性質を持つ金融の文献で「モメンタム」として知られている現象と関連していますが、それとは異なります。モメンタムの文献では、クロスセクションにおける証券の相対的なパフォーマンスに焦点を当て、過去</w:t>
      </w:r>
      <w:r w:rsidRPr="00331740">
        <w:t>3ヶ月から12ヶ月の間に最近同業他社をアウトパフォームした証券は、次の月も平均的に同業他社をアウトパフォームし続けることを発見しています。時系列モメンタムは、クロスセクションにおける証券の相対的なリターンに注目するのではなく、純粋に証券自身の過去のリターンに注目します。</w:t>
      </w:r>
    </w:p>
    <w:p w14:paraId="081F3CC1" w14:textId="77777777" w:rsidR="00331740" w:rsidRDefault="00331740" w:rsidP="004E1227">
      <w:pPr>
        <w:pStyle w:val="a2"/>
      </w:pPr>
    </w:p>
    <w:p w14:paraId="59891EB8" w14:textId="44158F49" w:rsidR="00331740" w:rsidRDefault="00373065" w:rsidP="004E1227">
      <w:pPr>
        <w:pStyle w:val="a2"/>
      </w:pPr>
      <w:r w:rsidRPr="00373065">
        <w:rPr>
          <w:rFonts w:hint="eastAsia"/>
        </w:rPr>
        <w:t>我々は、時系列モメンタムが多くの著名な行動・合理的資産価格理論の予測と直接的に一致することを主張する。</w:t>
      </w:r>
      <w:proofErr w:type="spellStart"/>
      <w:r w:rsidRPr="00373065">
        <w:t>Barberis</w:t>
      </w:r>
      <w:proofErr w:type="spellEnd"/>
      <w:r w:rsidRPr="00373065">
        <w:t xml:space="preserve">, Shleifer, and </w:t>
      </w:r>
      <w:proofErr w:type="spellStart"/>
      <w:r w:rsidRPr="00373065">
        <w:t>Vishny</w:t>
      </w:r>
      <w:proofErr w:type="spellEnd"/>
      <w:r w:rsidRPr="00373065">
        <w:t xml:space="preserve"> (1998), Daniel, </w:t>
      </w:r>
      <w:proofErr w:type="spellStart"/>
      <w:r w:rsidRPr="00373065">
        <w:t>Hirshleifer</w:t>
      </w:r>
      <w:proofErr w:type="spellEnd"/>
      <w:r w:rsidRPr="00373065">
        <w:t xml:space="preserve">, and Subrahmanyam (1998), and Hong and Stein (1999) all focus on a single risky asset, therefore having direct implications for time series rather than </w:t>
      </w:r>
      <w:proofErr w:type="spellStart"/>
      <w:r w:rsidRPr="00373065">
        <w:t>crosssectional</w:t>
      </w:r>
      <w:proofErr w:type="spellEnd"/>
      <w:r w:rsidRPr="00373065">
        <w:t xml:space="preserve">, predictability. 同様に、モメンタムの合理的な理論（Berk, Green, and Naik, 1999; Johnson, 2002; </w:t>
      </w:r>
      <w:proofErr w:type="spellStart"/>
      <w:r w:rsidRPr="00373065">
        <w:t>Ahn</w:t>
      </w:r>
      <w:proofErr w:type="spellEnd"/>
      <w:r w:rsidRPr="00373065">
        <w:t xml:space="preserve">, Conrad, and Dittmar 2003; Liu and Zhang, 2008; </w:t>
      </w:r>
      <w:proofErr w:type="spellStart"/>
      <w:r w:rsidRPr="00373065">
        <w:t>Sagi</w:t>
      </w:r>
      <w:proofErr w:type="spellEnd"/>
      <w:r w:rsidRPr="00373065">
        <w:t xml:space="preserve"> and </w:t>
      </w:r>
      <w:proofErr w:type="spellStart"/>
      <w:r w:rsidRPr="00373065">
        <w:t>Seasholes</w:t>
      </w:r>
      <w:proofErr w:type="spellEnd"/>
      <w:r w:rsidRPr="00373065">
        <w:t>, 2007）も単一のリスク資産に関係している。</w:t>
      </w:r>
    </w:p>
    <w:p w14:paraId="0BE05B6A" w14:textId="77777777" w:rsidR="00373065" w:rsidRDefault="00373065" w:rsidP="004E1227">
      <w:pPr>
        <w:pStyle w:val="a2"/>
      </w:pPr>
    </w:p>
    <w:p w14:paraId="0F7ED869" w14:textId="77464517" w:rsidR="00373065" w:rsidRDefault="00573158" w:rsidP="00573158">
      <w:pPr>
        <w:pStyle w:val="a2"/>
      </w:pPr>
      <w:r>
        <w:rPr>
          <w:rFonts w:hint="eastAsia"/>
        </w:rPr>
        <w:t>長期的に部分的に逆転する正の時系列モメンタムという我々の発見は、センチメントの理論が示唆するこれらのリターンパターンを生み出す可能性のある初期過小反応と遅延過剰反応と整合的であるかもしれない。</w:t>
      </w:r>
      <w:r>
        <w:t>しかし、我々の結果はこれらの理論にいくつかの難題を突きつけている。第一に、資産クラス間の時系列モメンタム戦略の相関は、資産クラス自体の相関よりも大きいことが分かった。</w:t>
      </w:r>
      <w:r>
        <w:rPr>
          <w:rFonts w:hint="eastAsia"/>
        </w:rPr>
        <w:t>このことは、異なる資産間の時系列モメンタムには、資産自体の間に存在するよりも強い共通要素があることを示唆している。このような相関構造は、既存の行動モデルでは対処できない。第二に、異なる資産市場における非常に異なるタイプの投資家が、同時に同じパ</w:t>
      </w:r>
      <w:r>
        <w:rPr>
          <w:rFonts w:hint="eastAsia"/>
        </w:rPr>
        <w:lastRenderedPageBreak/>
        <w:t>ターンを生み出していることである。第三に、時系列モメンタムと文献で使用されている投資家心理の測定値との間に関連性を見出すことができない（</w:t>
      </w:r>
      <w:r>
        <w:t xml:space="preserve">Baker and </w:t>
      </w:r>
      <w:proofErr w:type="spellStart"/>
      <w:r>
        <w:t>Wurgler</w:t>
      </w:r>
      <w:proofErr w:type="spellEnd"/>
      <w:r>
        <w:t xml:space="preserve">, 2006; </w:t>
      </w:r>
      <w:proofErr w:type="spellStart"/>
      <w:r>
        <w:t>Qiu</w:t>
      </w:r>
      <w:proofErr w:type="spellEnd"/>
      <w:r>
        <w:t xml:space="preserve"> and Welch, 2006）。</w:t>
      </w:r>
    </w:p>
    <w:p w14:paraId="25250EE2" w14:textId="77777777" w:rsidR="00373065" w:rsidRDefault="00373065" w:rsidP="004E1227">
      <w:pPr>
        <w:pStyle w:val="a2"/>
      </w:pPr>
    </w:p>
    <w:p w14:paraId="6006BC23" w14:textId="5E862EED" w:rsidR="00373065" w:rsidRDefault="00B23C1B" w:rsidP="00502543">
      <w:pPr>
        <w:pStyle w:val="a2"/>
      </w:pPr>
      <w:r>
        <w:rPr>
          <w:rFonts w:hint="eastAsia"/>
        </w:rPr>
        <w:t>時系列とクロスセクショナル・モメンタムの関係、その根底にあるドライバー、理論との関係を理解するために、</w:t>
      </w:r>
      <w:r>
        <w:t>Lo and Mackinlay (1990) と Lewellen (2002) の枠組みに従って時系列とクロスセクショナル・モメンタム戦略へのリターンを分解しています。</w:t>
      </w:r>
      <w:r>
        <w:rPr>
          <w:rFonts w:hint="eastAsia"/>
        </w:rPr>
        <w:t>この分解により、これらのパターンに寄与するリターンの特性、およびどのような特徴が</w:t>
      </w:r>
      <w:r>
        <w:t>2つの戦略に共通し、ユニークであるかを特定することができる。我々は、先物契約のリターンの正の自己共分散が、データに見られる時系列およびクロスセクションのモメンタム効果の大部分を駆動することを発見した。他の 2 つのリターン構成要素である系列相互相関と平均リターン の変動の寄与度は小さい。</w:t>
      </w:r>
      <w:r>
        <w:rPr>
          <w:rFonts w:hint="eastAsia"/>
        </w:rPr>
        <w:t>実際、クロスセクションのモメンタムに影響を与える負の系列相互相関（すなわち、証券間のリード・ラグ効果）はごくわずかであり、時系列のモメンタムを説明する我々の手法の中では「誤った」符号を持つものです。時系列およびクロスセクションのモメンタム利益は自己共分散によって生じるという我々の発見は、上記の理論と整合的である。さらに、時系列モメンタムは全く異なる有価証券のセットから構築されているにもかかわらず、</w:t>
      </w:r>
      <w:proofErr w:type="spellStart"/>
      <w:r>
        <w:t>Fama</w:t>
      </w:r>
      <w:proofErr w:type="spellEnd"/>
      <w:r>
        <w:t>とFrenchのUMDファクターに代表される個別株（クロスセクショナル）モメンタムと関連するリターンを捕捉していることが判明した。この発見は、異なる資産に適用した場合でも、時系列モメンタムとクロスセクショナル</w:t>
      </w:r>
      <w:r w:rsidR="002E6938">
        <w:rPr>
          <w:rFonts w:hint="eastAsia"/>
        </w:rPr>
        <w:t>・</w:t>
      </w:r>
      <w:r>
        <w:t>モメンタムの間に強い相関構造を示しており、我々の時系列モメンタムポートフォリオが個別株のモメンタムを捕捉していることを示唆している。</w:t>
      </w:r>
    </w:p>
    <w:p w14:paraId="45684A15" w14:textId="77777777" w:rsidR="00373065" w:rsidRDefault="00373065" w:rsidP="004E1227">
      <w:pPr>
        <w:pStyle w:val="a2"/>
      </w:pPr>
    </w:p>
    <w:p w14:paraId="01FF1946" w14:textId="473BD404" w:rsidR="00373065" w:rsidRDefault="00A55C69" w:rsidP="00A55C69">
      <w:pPr>
        <w:pStyle w:val="a2"/>
      </w:pPr>
      <w:r>
        <w:rPr>
          <w:rFonts w:hint="eastAsia"/>
        </w:rPr>
        <w:t>時系列モメンタムの原動力となり得るものをより良く理解するために、</w:t>
      </w:r>
      <w:r>
        <w:t>Commodity Futures Trading Commission（CFTC）の週次ポジションデータを用いて、これらのリターンパターンにおける投機筋とヘッジャーの取引活動を検証した。</w:t>
      </w:r>
      <w:r>
        <w:rPr>
          <w:rFonts w:hint="eastAsia"/>
        </w:rPr>
        <w:t>投機筋は時系列のモメンタムを利用して取引を行い、平均して最初の</w:t>
      </w:r>
      <w:r>
        <w:t>12ヶ月間はリターンのプラストレンドを利用するようなポジションを取り、トレンドが反転し始めるとポジションを減らすことが分かりました。その結果、投機家はヘッジャーを犠牲にして時系列のモメンタムから利益を得ているように見える。</w:t>
      </w:r>
      <w:r>
        <w:rPr>
          <w:rFonts w:hint="eastAsia"/>
        </w:rPr>
        <w:t>ベクトル自己回帰（</w:t>
      </w:r>
      <w:r>
        <w:t>VAR）を用いると、投機家はリターンショックと同じ方向に取引を行い、ショックが消えるとポジションを減らすのに対し、ヘッジャーはこれらの取引の反対側に立つことが確認された。</w:t>
      </w:r>
    </w:p>
    <w:p w14:paraId="7BB1C5D9" w14:textId="77777777" w:rsidR="00447723" w:rsidRDefault="00447723" w:rsidP="004E1227">
      <w:pPr>
        <w:pStyle w:val="a2"/>
      </w:pPr>
    </w:p>
    <w:p w14:paraId="2CDA78F9" w14:textId="2C40AD5B" w:rsidR="00AB68EE" w:rsidRDefault="00025A85" w:rsidP="00025A85">
      <w:pPr>
        <w:pStyle w:val="a2"/>
      </w:pPr>
      <w:r>
        <w:rPr>
          <w:rFonts w:hint="eastAsia"/>
        </w:rPr>
        <w:t>最後に、時系列モメンタムをスポット価格の予測可能性から来る成分と、先物カーブの形状から来る「ロールイールド」に分解する。スポット価格の変動は主に情報ショックによって引き起こされるのに対し、ロールイールドは先物市場における流動性や価格圧力効果によって引き起こされ、必ずしもスポット価格を変えることなく先物を保有することのリターンに影響を与える可能性があります。したがって、この分解は、情報伝播の効果とヘッジ圧力の効果を区別する方法となりうる。我々は、これらの効果の両方が時系列のモメンタムに寄与しているが、スポット価格の変化のみが長期の反転に関連していることを発見した。これは、投資家がスポット市場の情報に過剰反応しているかもしれないが、ヘッジ圧力の方が長期的で、過剰反応の影響を受けないという考え方と一致している。</w:t>
      </w:r>
    </w:p>
    <w:p w14:paraId="7765FE05" w14:textId="77777777" w:rsidR="00AB68EE" w:rsidRDefault="00AB68EE" w:rsidP="004E1227">
      <w:pPr>
        <w:pStyle w:val="a2"/>
      </w:pPr>
    </w:p>
    <w:p w14:paraId="087FB00C" w14:textId="3BDE4554" w:rsidR="00AB68EE" w:rsidRDefault="00B64652" w:rsidP="00B64652">
      <w:pPr>
        <w:pStyle w:val="a2"/>
        <w:rPr>
          <w:rFonts w:hint="eastAsia"/>
        </w:rPr>
      </w:pPr>
      <w:r>
        <w:rPr>
          <w:rFonts w:hint="eastAsia"/>
        </w:rPr>
        <w:t>この仮説は、最も基本的な形では、価格が過去に上昇したか下降したかを知ることは、それが将来上昇するか下降するかについて情報を与えるものではないことを意味するものである。ランダムウォーク仮説の否定は、時間変動するリスクプレミアムを伴うより洗練された市場効率性の概念の否定を必ずしも意味しないが、我々はさらに、すべての資産にわたる時系列モメンタムの分散ポートフォリオは、各資産クラスまたは多くの標準資産価格要因にほとんど相関せず、年間ベースで</w:t>
      </w:r>
      <w:r>
        <w:t>1以上のシャープ比、または株式市場のポートフォリオのシャープ比の約2.5倍を</w:t>
      </w:r>
      <w:r>
        <w:rPr>
          <w:rFonts w:hint="eastAsia"/>
        </w:rPr>
        <w:t>得て著しく安定かつ強固であることを示している。時系列モメンタムの異常なリターンは、暴落リスクやテールイベントに対する補償でもないようである。むしろ、時系列モメンタムのリターンは、株式市場の</w:t>
      </w:r>
      <w:r>
        <w:rPr>
          <w:rFonts w:hint="eastAsia"/>
        </w:rPr>
        <w:lastRenderedPageBreak/>
        <w:t>リターンが最も極端なときに最大となる傾向があり、市場が大きく上下するときに最高のパフォーマンスを発揮する。したがって、時系列モメンタムは極端なイベントに対するヘッジである可能性があり、リスクベースの観点からはその大きなリターンプレミアムがさらに不可解なものとなっている。また、予測可能な期間が比較的短く（</w:t>
      </w:r>
      <w:r>
        <w:t>1年未満）、時系列モメンタムに関連するリターンプレミアムの大きさは</w:t>
      </w:r>
      <w:r>
        <w:rPr>
          <w:rFonts w:hint="eastAsia"/>
        </w:rPr>
        <w:t>、ランダムウォーク仮説や効率的市場仮説に対する大きな挑戦となっているが、これらの結果を説明できる合理的な理論の存在を排除することはできない。</w:t>
      </w:r>
    </w:p>
    <w:p w14:paraId="14F841FB" w14:textId="77777777" w:rsidR="00447723" w:rsidRDefault="00447723" w:rsidP="004E1227">
      <w:pPr>
        <w:pStyle w:val="a2"/>
        <w:rPr>
          <w:rFonts w:hint="eastAsia"/>
        </w:rPr>
      </w:pPr>
    </w:p>
    <w:p w14:paraId="625C58DE" w14:textId="3BE281B1" w:rsidR="00331740" w:rsidRDefault="00DE1921" w:rsidP="00DE1921">
      <w:pPr>
        <w:pStyle w:val="a2"/>
      </w:pPr>
      <w:r>
        <w:rPr>
          <w:rFonts w:hint="eastAsia"/>
        </w:rPr>
        <w:t>我々の研究は、リターンの自己相関と分散比に関する文献に関連しており、ランダムウォーク仮説からの逸脱も発見している（</w:t>
      </w:r>
      <w:proofErr w:type="spellStart"/>
      <w:r>
        <w:t>Fama</w:t>
      </w:r>
      <w:proofErr w:type="spellEnd"/>
      <w:r>
        <w:t xml:space="preserve"> and French, 1988; Lo and Mackinlay, 1988; Poterba and Summers, 1988）。この文献は、主に米国および世界の株式に焦点を当てているが、Cutler, Poterba, and Summers (1991) は、住宅や収集品を含む様々な資産を研究している。この文献では、日足、週足、月足で正のリターンの自己相関が、年足と数年足で</w:t>
      </w:r>
      <w:r>
        <w:rPr>
          <w:rFonts w:hint="eastAsia"/>
        </w:rPr>
        <w:t>負のリターンの自己相関があることを発見しています。我々はいくつかの点でこの文献を補完している。自己相関の研究は、定義上、</w:t>
      </w:r>
      <w:r>
        <w:t>''振り返り期間''の長さがリターンを予測する''保有期間''と同じである場合のリターン予測可能性を検証しています。この制限により、予測期間や保有期間と異なるルックバック期間を許容した場合に明らかになる重要な予測可能性が覆い隠されることになります。特に、過去 12 ヶ月間のリターンが次の 1 ヶ月間のリターンを強く予測するという我々の結果は、1 年間の自己相関を見ることによっては見過ごされ</w:t>
      </w:r>
      <w:r>
        <w:rPr>
          <w:rFonts w:hint="eastAsia"/>
        </w:rPr>
        <w:t>る。リターンの継続性は分散比率から暗黙的に検出することもできるが、我々はリターンの継続性の程度を明示的に文書化し、クロスセクション・モメンタム・プレミアムやヘッジファンド・マクロ・マネージド・フューチャーズのリターンなど、既存の資産価格現象の説明に役立つ時系列モメンタムファクターを構築することによって文献を補完している。また、株式における高頻度の調査結果の重要な構成要素は、陳腐化した価格などの市場ミクロ構造効果によって汚染されています（</w:t>
      </w:r>
      <w:r>
        <w:t xml:space="preserve">Richardson, 1993; </w:t>
      </w:r>
      <w:proofErr w:type="spellStart"/>
      <w:r>
        <w:t>Ahn</w:t>
      </w:r>
      <w:proofErr w:type="spellEnd"/>
      <w:r>
        <w:t xml:space="preserve">, </w:t>
      </w:r>
      <w:proofErr w:type="spellStart"/>
      <w:r>
        <w:t>Boudoukh</w:t>
      </w:r>
      <w:proofErr w:type="spellEnd"/>
      <w:r>
        <w:t>, Richardson, and Whitelaw, 2002）。</w:t>
      </w:r>
      <w:r>
        <w:rPr>
          <w:rFonts w:hint="eastAsia"/>
        </w:rPr>
        <w:t>個別銘柄ではなく、流動性のある先物に焦点を当て、より低い周波数のデータを見ることで、これらの問題の多くを軽減することができます。最後に、この文献独自の方法として、時系列の予測可能性をヘッジャーとスペキュレーターのポジションのダイナミクスと関連付け、リターンを価格変動とロールイールドに分解しています。</w:t>
      </w:r>
    </w:p>
    <w:p w14:paraId="55B03CE1" w14:textId="77777777" w:rsidR="00DE1921" w:rsidRDefault="00DE1921" w:rsidP="004E1227">
      <w:pPr>
        <w:pStyle w:val="a2"/>
      </w:pPr>
    </w:p>
    <w:p w14:paraId="0ECE2AF4" w14:textId="36621275" w:rsidR="00DE1921" w:rsidRDefault="005B764C" w:rsidP="004E1227">
      <w:pPr>
        <w:pStyle w:val="a2"/>
      </w:pPr>
      <w:r w:rsidRPr="005B764C">
        <w:rPr>
          <w:rFonts w:hint="eastAsia"/>
        </w:rPr>
        <w:t>また、本論文は、商品先物におけるヘッジ圧力に関する文献（</w:t>
      </w:r>
      <w:r w:rsidRPr="005B764C">
        <w:t xml:space="preserve">Keynes, 1923; </w:t>
      </w:r>
      <w:proofErr w:type="spellStart"/>
      <w:r w:rsidRPr="005B764C">
        <w:t>Fama</w:t>
      </w:r>
      <w:proofErr w:type="spellEnd"/>
      <w:r w:rsidRPr="005B764C">
        <w:t xml:space="preserve"> and French, 1987; </w:t>
      </w:r>
      <w:proofErr w:type="spellStart"/>
      <w:r w:rsidRPr="005B764C">
        <w:t>Bessembinder</w:t>
      </w:r>
      <w:proofErr w:type="spellEnd"/>
      <w:r w:rsidRPr="005B764C">
        <w:t xml:space="preserve">, 1992; de </w:t>
      </w:r>
      <w:proofErr w:type="spellStart"/>
      <w:r w:rsidRPr="005B764C">
        <w:t>Roon</w:t>
      </w:r>
      <w:proofErr w:type="spellEnd"/>
      <w:r w:rsidRPr="005B764C">
        <w:t>, Nijman, and Veld, 2000）にも関連しています。我々は、ヘッジャーと投機家のポジションが過去の先物リターンにどのように関係しているかを示すことで、この文献を補完し、投機家のポジションが時系列のモメンタムに正の影響を与え、ヘッジャーのポジションは負の影響を与えることを発見した。また、ポジションの相対的なリタ</w:t>
      </w:r>
      <w:r w:rsidRPr="005B764C">
        <w:rPr>
          <w:rFonts w:hint="eastAsia"/>
        </w:rPr>
        <w:t>ーン予測可能性、過去の価格変動、過去のロール利回りも考慮しています。</w:t>
      </w:r>
      <w:r w:rsidRPr="005B764C">
        <w:t xml:space="preserve">Gorton, Hayashi, and </w:t>
      </w:r>
      <w:proofErr w:type="spellStart"/>
      <w:r w:rsidRPr="005B764C">
        <w:t>Rouwenhorst</w:t>
      </w:r>
      <w:proofErr w:type="spellEnd"/>
      <w:r w:rsidRPr="005B764C">
        <w:t xml:space="preserve"> (2008)は、商品のモメンタムと投機家のポジションを商品の在庫に関連付けることもしています。</w:t>
      </w:r>
    </w:p>
    <w:p w14:paraId="20EE2D5F" w14:textId="77777777" w:rsidR="005B764C" w:rsidRDefault="005B764C" w:rsidP="004E1227">
      <w:pPr>
        <w:pStyle w:val="a2"/>
      </w:pPr>
    </w:p>
    <w:p w14:paraId="3D86D758" w14:textId="2FF5BE5E" w:rsidR="005B764C" w:rsidRDefault="00A63DB6" w:rsidP="004E1227">
      <w:pPr>
        <w:pStyle w:val="a2"/>
      </w:pPr>
      <w:r w:rsidRPr="00A63DB6">
        <w:rPr>
          <w:rFonts w:hint="eastAsia"/>
        </w:rPr>
        <w:t>本稿の残りの部分は以下のように構成されている。セクション</w:t>
      </w:r>
      <w:r w:rsidRPr="00A63DB6">
        <w:t xml:space="preserve"> 2 では，先物のリターンとヘッジャーとスペキュレーターのポジショニングに関するデータについて説明する。セクション3では、1年未満の時系列モメンタムとそれ以降の反転を記録している。セクション4では、時系列モメンタムファクターを定義し、他の既知のリターンファクターとの関係、極端な相場でのパフォーマンス、資産クラス内およびクラス間の相関を調査している。セクション 5 では、時系列モメンタムとクロスセクショナル</w:t>
      </w:r>
      <w:r>
        <w:rPr>
          <w:rFonts w:hint="eastAsia"/>
        </w:rPr>
        <w:t>・</w:t>
      </w:r>
      <w:r w:rsidRPr="00A63DB6">
        <w:t>モメンタム の関係を検証し、時系列モメンタムがク</w:t>
      </w:r>
      <w:r w:rsidRPr="00A63DB6">
        <w:rPr>
          <w:rFonts w:hint="eastAsia"/>
        </w:rPr>
        <w:t>ロスセクショナル</w:t>
      </w:r>
      <w:r>
        <w:rPr>
          <w:rFonts w:hint="eastAsia"/>
        </w:rPr>
        <w:t>・</w:t>
      </w:r>
      <w:r w:rsidRPr="00A63DB6">
        <w:rPr>
          <w:rFonts w:hint="eastAsia"/>
        </w:rPr>
        <w:t>モメンタム、</w:t>
      </w:r>
      <w:r w:rsidRPr="00A63DB6">
        <w:t xml:space="preserve"> マクロおよびマネージド・フューチャー・ヘッジファンドのリター ンの中心的なドライバーであることを示す。セクション6では、時系列モメンタムの進化と投資家の投機的ポジションおよびヘッジング・ポジションとの関係について研究している。セクション7は結論である。</w:t>
      </w:r>
    </w:p>
    <w:p w14:paraId="15FE25F6" w14:textId="77777777" w:rsidR="005B764C" w:rsidRDefault="005B764C" w:rsidP="004E1227">
      <w:pPr>
        <w:pStyle w:val="a2"/>
      </w:pPr>
    </w:p>
    <w:p w14:paraId="57E09359" w14:textId="264CFEE4" w:rsidR="005B764C" w:rsidRDefault="00455CF5" w:rsidP="00455CF5">
      <w:pPr>
        <w:pStyle w:val="1"/>
      </w:pPr>
      <w:r w:rsidRPr="00455CF5">
        <w:lastRenderedPageBreak/>
        <w:t>Data and preliminaries</w:t>
      </w:r>
    </w:p>
    <w:p w14:paraId="5D90A48C" w14:textId="523B2C1F" w:rsidR="00455CF5" w:rsidRPr="00455CF5" w:rsidRDefault="00D068CD" w:rsidP="00455CF5">
      <w:pPr>
        <w:pStyle w:val="a2"/>
        <w:rPr>
          <w:rFonts w:hint="eastAsia"/>
        </w:rPr>
      </w:pPr>
      <w:r w:rsidRPr="00D068CD">
        <w:rPr>
          <w:rFonts w:hint="eastAsia"/>
        </w:rPr>
        <w:t>分析に使用した様々なデータソースについて簡単に説明する。</w:t>
      </w:r>
    </w:p>
    <w:p w14:paraId="5065FB16" w14:textId="77777777" w:rsidR="005B764C" w:rsidRDefault="005B764C" w:rsidP="004E1227">
      <w:pPr>
        <w:pStyle w:val="a2"/>
        <w:rPr>
          <w:rFonts w:hint="eastAsia"/>
        </w:rPr>
      </w:pPr>
    </w:p>
    <w:p w14:paraId="79CA1DB8" w14:textId="6D4AE0F9" w:rsidR="00DE1921" w:rsidRDefault="004F57D2" w:rsidP="004F57D2">
      <w:pPr>
        <w:pStyle w:val="20"/>
      </w:pPr>
      <w:r w:rsidRPr="004F57D2">
        <w:t>Futures returns</w:t>
      </w:r>
    </w:p>
    <w:p w14:paraId="2918905B" w14:textId="39223E68" w:rsidR="004F57D2" w:rsidRPr="004F57D2" w:rsidRDefault="00947E1B" w:rsidP="004F57D2">
      <w:pPr>
        <w:pStyle w:val="a2"/>
        <w:rPr>
          <w:rFonts w:hint="eastAsia"/>
        </w:rPr>
      </w:pPr>
      <w:r w:rsidRPr="00947E1B">
        <w:rPr>
          <w:rFonts w:hint="eastAsia"/>
        </w:rPr>
        <w:t>データは、</w:t>
      </w:r>
      <w:r w:rsidRPr="00947E1B">
        <w:t>1965年1月から2009年12月までの24商品、12クロス通貨ペア（9通貨を原資産とする）、9先進国株式指数、13先進国債券先物の先物価格から構成されています。これらの商品は、世界で最も流動性の高い先物取引の一つである。非流動性や陳腐化した価格の問題によってリターンが汚染されるのを避けるため、また、かなりの取引規模で実行可能な戦略をより密接にマッチさせるため、最も流動性の高い商品に焦点を当てています。</w:t>
      </w:r>
      <w:r w:rsidR="002C16FE">
        <w:rPr>
          <w:rFonts w:hint="eastAsia"/>
        </w:rPr>
        <w:t>Appendix</w:t>
      </w:r>
      <w:r w:rsidR="00950F83">
        <w:t xml:space="preserve"> </w:t>
      </w:r>
      <w:r w:rsidRPr="00947E1B">
        <w:t xml:space="preserve">A では、各商品の詳細とデータソース（主に </w:t>
      </w:r>
      <w:proofErr w:type="spellStart"/>
      <w:r w:rsidRPr="00947E1B">
        <w:t>Datastream</w:t>
      </w:r>
      <w:proofErr w:type="spellEnd"/>
      <w:r w:rsidRPr="00947E1B">
        <w:t>、Bloomberg、様々</w:t>
      </w:r>
      <w:r w:rsidRPr="00947E1B">
        <w:rPr>
          <w:rFonts w:hint="eastAsia"/>
        </w:rPr>
        <w:t>な取引所）を示している。</w:t>
      </w:r>
    </w:p>
    <w:p w14:paraId="3EA90C9F" w14:textId="77777777" w:rsidR="004F57D2" w:rsidRDefault="004F57D2" w:rsidP="004E1227">
      <w:pPr>
        <w:pStyle w:val="a2"/>
      </w:pPr>
    </w:p>
    <w:p w14:paraId="5B28E83B" w14:textId="409BC8F1" w:rsidR="004F57D2" w:rsidRDefault="001606E7" w:rsidP="001606E7">
      <w:pPr>
        <w:pStyle w:val="a2"/>
      </w:pPr>
      <w:r w:rsidRPr="001606E7">
        <w:rPr>
          <w:rFonts w:hint="eastAsia"/>
        </w:rPr>
        <w:t>各商品のリターン・シリーズは次のように構築されます。毎日、最も流動性の高い先物取引（通常、直近または次点で受渡しを</w:t>
      </w:r>
      <w:r w:rsidRPr="001606E7">
        <w:t xml:space="preserve"> 行う取引）の超過リターンを計算し、日々のリターンを複合して累積リターンインデックスとし、そこから任意の水平線におけるリターンを計 算します。株式インデックスについては、当社のリターン</w:t>
      </w:r>
      <w:r>
        <w:rPr>
          <w:rFonts w:hint="eastAsia"/>
        </w:rPr>
        <w:t>・</w:t>
      </w:r>
      <w:r w:rsidRPr="001606E7">
        <w:t>シリーズは、財務省証券レートを超える基礎となる現金インデックスの対応するリターンとほぼ完全に相関しています。</w:t>
      </w:r>
    </w:p>
    <w:p w14:paraId="0C08DD0C" w14:textId="77777777" w:rsidR="004F57D2" w:rsidRDefault="004F57D2" w:rsidP="004E1227">
      <w:pPr>
        <w:pStyle w:val="a2"/>
      </w:pPr>
    </w:p>
    <w:p w14:paraId="07FEE9A9" w14:textId="368E238A" w:rsidR="001B2F96" w:rsidRDefault="00B412D5" w:rsidP="004E1227">
      <w:pPr>
        <w:pStyle w:val="a2"/>
      </w:pPr>
      <w:r w:rsidRPr="00B412D5">
        <w:rPr>
          <w:rFonts w:hint="eastAsia"/>
        </w:rPr>
        <w:t>ロバスト性のテストとして、「遠い」先物（最も流動性の高い先物の次の満期）も使用した。商品先物の場合、時系列モメンタム利益は遠方の契約の方が若干強く、金融先物の場合、遠方の先物を使用しても時系列モメンタム利益はほとんど変化しない。</w:t>
      </w:r>
    </w:p>
    <w:p w14:paraId="6D9C1537" w14:textId="77777777" w:rsidR="001B2F96" w:rsidRDefault="001B2F96" w:rsidP="004E1227">
      <w:pPr>
        <w:pStyle w:val="a2"/>
      </w:pPr>
    </w:p>
    <w:p w14:paraId="0CD9792C" w14:textId="5DC83FD1" w:rsidR="001B2F96" w:rsidRDefault="0032152A" w:rsidP="004E1227">
      <w:pPr>
        <w:pStyle w:val="a2"/>
      </w:pPr>
      <w:r w:rsidRPr="0032152A">
        <w:rPr>
          <w:rFonts w:hint="eastAsia"/>
        </w:rPr>
        <w:t>表</w:t>
      </w:r>
      <w:r w:rsidRPr="0032152A">
        <w:t xml:space="preserve"> 1 は，先物取引の超過リターンの要約統計である。最初の列は各資産の時系列リターンがいつ始まったかを、次の2列は各契約の時系列平均（算術）と標準偏差（年率）を資産クラス別（商品、株式指数、債券、通貨）に報告している。表1が示すように、サンプル平均リターンは、異なる契約間で大きなばらつきがある。株式指数、債券、通貨は主にプラスの超過リターンを もたらす一方、様々な商品契約はサンプル期間中、プラス、ゼロ、 そしてマイナスの超過平均リターンをもたらしている。株式と債券の先物だけが、統計的に有意で一貫性のある正の</w:t>
      </w:r>
      <w:r w:rsidRPr="0032152A">
        <w:rPr>
          <w:rFonts w:hint="eastAsia"/>
        </w:rPr>
        <w:t>超過平均リターンを示している。</w:t>
      </w:r>
    </w:p>
    <w:p w14:paraId="1FA40F9B" w14:textId="77777777" w:rsidR="00302E96" w:rsidRDefault="00302E96" w:rsidP="00302E96">
      <w:pPr>
        <w:pStyle w:val="a2"/>
        <w:ind w:firstLineChars="0" w:firstLine="0"/>
        <w:rPr>
          <w:rFonts w:hint="eastAsia"/>
        </w:rPr>
      </w:pPr>
    </w:p>
    <w:p w14:paraId="77B2A960" w14:textId="0D065697" w:rsidR="00302E96" w:rsidRDefault="00302E96" w:rsidP="00302E96">
      <w:pPr>
        <w:pStyle w:val="a2"/>
        <w:rPr>
          <w:rFonts w:hint="eastAsia"/>
        </w:rPr>
      </w:pPr>
      <w:r>
        <w:rPr>
          <w:rFonts w:hint="eastAsia"/>
        </w:rPr>
        <w:t>より顕著なのは，契約間のボラティリティの差である。当然ながら、商品と株式は、債券先物や通貨先渡契約よりもはるかに大きなボラティリティを持つ。しかし、商品であっても、ボラティリティにはかなりの横断的なばらつきがある。ボラティリティが大きく異なる商品間の比較や、ボラティリティが大きく異なる商品を組み合わせて多様なポートフォリオを作ることは、困難です。例えば、天然ガス先物のボラティリティは、米国</w:t>
      </w:r>
      <w:r>
        <w:t>2年債先物のボラティリティの50倍程度です。</w:t>
      </w:r>
      <w:r>
        <w:rPr>
          <w:rFonts w:hint="eastAsia"/>
        </w:rPr>
        <w:t>以下に、この問題への対処法</w:t>
      </w:r>
      <w:r>
        <w:t xml:space="preserve"> を分析する。</w:t>
      </w:r>
    </w:p>
    <w:p w14:paraId="4346B539" w14:textId="4473E218" w:rsidR="001B2F96" w:rsidRDefault="00377845" w:rsidP="00377845">
      <w:pPr>
        <w:pStyle w:val="a2"/>
      </w:pPr>
      <w:r>
        <w:rPr>
          <w:noProof/>
        </w:rPr>
        <w:lastRenderedPageBreak/>
        <w:drawing>
          <wp:inline distT="0" distB="0" distL="0" distR="0" wp14:anchorId="2CB57ED9" wp14:editId="4B112536">
            <wp:extent cx="6305550" cy="8008147"/>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1967" cy="8016297"/>
                    </a:xfrm>
                    <a:prstGeom prst="rect">
                      <a:avLst/>
                    </a:prstGeom>
                  </pic:spPr>
                </pic:pic>
              </a:graphicData>
            </a:graphic>
          </wp:inline>
        </w:drawing>
      </w:r>
    </w:p>
    <w:p w14:paraId="3054587D" w14:textId="77777777" w:rsidR="001B2F96" w:rsidRDefault="001B2F96" w:rsidP="004E1227">
      <w:pPr>
        <w:pStyle w:val="a2"/>
        <w:rPr>
          <w:rFonts w:hint="eastAsia"/>
        </w:rPr>
      </w:pPr>
    </w:p>
    <w:p w14:paraId="7A8E6733" w14:textId="6A723337" w:rsidR="00326BA2" w:rsidRDefault="00326BA2">
      <w:pPr>
        <w:widowControl/>
        <w:jc w:val="left"/>
      </w:pPr>
      <w:r>
        <w:br w:type="page"/>
      </w:r>
    </w:p>
    <w:p w14:paraId="3A23B320" w14:textId="635EFB3A" w:rsidR="004F57D2" w:rsidRDefault="00326BA2" w:rsidP="00326BA2">
      <w:pPr>
        <w:pStyle w:val="20"/>
      </w:pPr>
      <w:r w:rsidRPr="00326BA2">
        <w:lastRenderedPageBreak/>
        <w:t>Positions of traders</w:t>
      </w:r>
    </w:p>
    <w:p w14:paraId="13013C0A" w14:textId="25786F0A" w:rsidR="00326BA2" w:rsidRDefault="00B661D2" w:rsidP="00B661D2">
      <w:pPr>
        <w:pStyle w:val="a2"/>
      </w:pPr>
      <w:r>
        <w:rPr>
          <w:rFonts w:hint="eastAsia"/>
        </w:rPr>
        <w:t>また、付録</w:t>
      </w:r>
      <w:r>
        <w:t>Aに詳述したように、CFTC（Commodity Futures Trading Commission）から得た投機家とヘッジャーのポジションに関するデータも使用している。CFTC は、すべての大口取引参加者に、商業用と非商業用の区別を要求しており、我々やこれまでの文献（例：</w:t>
      </w:r>
      <w:proofErr w:type="spellStart"/>
      <w:r>
        <w:t>Bessembinder</w:t>
      </w:r>
      <w:proofErr w:type="spellEnd"/>
      <w:r>
        <w:t xml:space="preserve">, 1992; de </w:t>
      </w:r>
      <w:proofErr w:type="spellStart"/>
      <w:r>
        <w:t>Roon</w:t>
      </w:r>
      <w:proofErr w:type="spellEnd"/>
      <w:r>
        <w:t>, Nijman, and Veld, 2000）は、それぞれヘッジャーとスペキュレーターと呼んでいる。</w:t>
      </w:r>
      <w:r>
        <w:rPr>
          <w:rFonts w:hint="eastAsia"/>
        </w:rPr>
        <w:t>各先物商品について、これらのトレーダーが火曜日に保有するロングとショートの建玉が週次で報告される。</w:t>
      </w:r>
    </w:p>
    <w:p w14:paraId="4F240C8C" w14:textId="77777777" w:rsidR="00012912" w:rsidRDefault="00012912" w:rsidP="00B661D2">
      <w:pPr>
        <w:pStyle w:val="a2"/>
      </w:pPr>
    </w:p>
    <w:p w14:paraId="310769B5" w14:textId="005E24AC" w:rsidR="00012912" w:rsidRDefault="007D50D9" w:rsidP="00B661D2">
      <w:pPr>
        <w:pStyle w:val="a2"/>
      </w:pPr>
      <w:r w:rsidRPr="007D50D9">
        <w:t>CFTCが定義する投機家とヘッジャーのポジションを用い、各資産のネット投機家のポジションを以下のように定義する。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7D50D9" w14:paraId="1A30649B" w14:textId="77777777" w:rsidTr="007D50D9">
        <w:tc>
          <w:tcPr>
            <w:tcW w:w="8926" w:type="dxa"/>
          </w:tcPr>
          <w:p w14:paraId="06F2F34A" w14:textId="43AB0C28" w:rsidR="007D50D9" w:rsidRDefault="00FC1ED2" w:rsidP="007D50D9">
            <w:pPr>
              <w:pStyle w:val="a2"/>
              <w:ind w:firstLineChars="0" w:firstLine="0"/>
              <w:rPr>
                <w:rFonts w:hint="eastAsia"/>
              </w:rPr>
            </w:pPr>
            <m:oMathPara>
              <m:oMath>
                <m:r>
                  <w:rPr>
                    <w:rFonts w:ascii="Cambria Math" w:hAnsi="Cambria Math" w:hint="eastAsia"/>
                  </w:rPr>
                  <m:t>Net</m:t>
                </m:r>
                <m:r>
                  <w:rPr>
                    <w:rFonts w:ascii="Cambria Math" w:hAnsi="Cambria Math"/>
                  </w:rPr>
                  <m:t xml:space="preserve"> speculator position=</m:t>
                </m:r>
                <m:f>
                  <m:fPr>
                    <m:ctrlPr>
                      <w:rPr>
                        <w:rFonts w:ascii="Cambria Math" w:hAnsi="Cambria Math"/>
                        <w:i/>
                      </w:rPr>
                    </m:ctrlPr>
                  </m:fPr>
                  <m:num>
                    <m:r>
                      <w:rPr>
                        <w:rFonts w:ascii="Cambria Math" w:hAnsi="Cambria Math"/>
                      </w:rPr>
                      <m:t>Speculator long positons-Speculator short positions</m:t>
                    </m:r>
                  </m:num>
                  <m:den>
                    <m:r>
                      <w:rPr>
                        <w:rFonts w:ascii="Cambria Math" w:hAnsi="Cambria Math"/>
                      </w:rPr>
                      <m:t>Open interest</m:t>
                    </m:r>
                  </m:den>
                </m:f>
              </m:oMath>
            </m:oMathPara>
          </w:p>
        </w:tc>
        <w:tc>
          <w:tcPr>
            <w:tcW w:w="1530" w:type="dxa"/>
          </w:tcPr>
          <w:p w14:paraId="316C1362" w14:textId="77777777" w:rsidR="007D50D9" w:rsidRDefault="007D50D9" w:rsidP="007D50D9">
            <w:pPr>
              <w:pStyle w:val="a2"/>
              <w:ind w:firstLineChars="0" w:firstLine="0"/>
              <w:rPr>
                <w:rFonts w:hint="eastAsia"/>
              </w:rPr>
            </w:pPr>
          </w:p>
        </w:tc>
      </w:tr>
    </w:tbl>
    <w:p w14:paraId="3523A855" w14:textId="77777777" w:rsidR="00012912" w:rsidRDefault="00012912" w:rsidP="007D50D9">
      <w:pPr>
        <w:pStyle w:val="a2"/>
        <w:ind w:firstLineChars="0" w:firstLine="0"/>
        <w:rPr>
          <w:rFonts w:hint="eastAsia"/>
        </w:rPr>
      </w:pPr>
    </w:p>
    <w:p w14:paraId="537D951A" w14:textId="77777777" w:rsidR="007D50D9" w:rsidRDefault="007D50D9" w:rsidP="00B661D2">
      <w:pPr>
        <w:pStyle w:val="a2"/>
      </w:pPr>
    </w:p>
    <w:p w14:paraId="6768A4C7" w14:textId="599A3BC0" w:rsidR="00A40CFD" w:rsidRDefault="001235C0" w:rsidP="001235C0">
      <w:pPr>
        <w:pStyle w:val="a2"/>
      </w:pPr>
      <w:r>
        <w:rPr>
          <w:rFonts w:hint="eastAsia"/>
        </w:rPr>
        <w:t>この符号付きの指標は、投機筋が全体としてネットロングかショートかを示し、そのネットポジションをその先物市場の建玉または契約残高の総数でスケーリングしています。投機筋とヘッジャーの合計はほぼゼロになるので</w:t>
      </w:r>
      <w:r>
        <w:t xml:space="preserve"> （非常に小規模なトレーダーの測定上の問題から''non-reported''と表示された小さな差を除いて）、我々は投機筋に注目することにします。もちろん，これは，ネットヘッ ジャーのポジションが，その反対側（すなわち，ネット投 機家のポジションのマイナス）を構成することを意味す る。</w:t>
      </w:r>
    </w:p>
    <w:p w14:paraId="1F5C92BF" w14:textId="77777777" w:rsidR="00A40CFD" w:rsidRDefault="00A40CFD" w:rsidP="00B661D2">
      <w:pPr>
        <w:pStyle w:val="a2"/>
        <w:rPr>
          <w:rFonts w:hint="eastAsia"/>
        </w:rPr>
      </w:pPr>
    </w:p>
    <w:p w14:paraId="5D5B7418" w14:textId="2AF6FC17" w:rsidR="007D50D9" w:rsidRDefault="00717D10" w:rsidP="004A6B68">
      <w:pPr>
        <w:pStyle w:val="a2"/>
      </w:pPr>
      <w:r>
        <w:t>CFTCのポジションデータは、私たちがリターンを得て分析で考慮する先物取引のすべてをカバーしているわけではありません。</w:t>
      </w:r>
      <w:r>
        <w:rPr>
          <w:rFonts w:hint="eastAsia"/>
        </w:rPr>
        <w:t>商品と外国為替はほとんどカバーされていますが、株式と債券の先物取引のうち、米国の商品だけがカバーされています。表</w:t>
      </w:r>
      <w:r>
        <w:t>1の3列目と4列目は、各商品における投機筋のネットポジションを時系列で示した先物取引のサンプルに関する要約統計である。これは，</w:t>
      </w:r>
      <w:proofErr w:type="spellStart"/>
      <w:r>
        <w:t>Bessembinder</w:t>
      </w:r>
      <w:proofErr w:type="spellEnd"/>
      <w:r>
        <w:t xml:space="preserve"> (1992)や de </w:t>
      </w:r>
      <w:proofErr w:type="spellStart"/>
      <w:r>
        <w:t>Roon</w:t>
      </w:r>
      <w:proofErr w:type="spellEnd"/>
      <w:r>
        <w:t>, Nijman, and Veld (2000)が，より短い期間の，より少数の銘柄を対象として行った結果と一致してい る。2つの商品（天然ガスと綿）を除くすべての商品で、サンプル期間中、投機筋のネット・ロング・ポジシ</w:t>
      </w:r>
      <w:r>
        <w:rPr>
          <w:rFonts w:hint="eastAsia"/>
        </w:rPr>
        <w:t>ョンがあり、銀は最大の平均ネット・ロング・ポジションを示した。これは、商品の生産者が市場における主要なヘッジャーであり、結果としてこれらの契約のショートサイドになるというケインズ（</w:t>
      </w:r>
      <w:r>
        <w:t>1923）の推測と一致している。S&amp;P500、30年物米国債、日米・米スイスの為替レート以外の資産クラスでは、投機家は平均してネットのロング・ポジションをとっている。</w:t>
      </w:r>
      <w:r>
        <w:rPr>
          <w:rFonts w:hint="eastAsia"/>
        </w:rPr>
        <w:t>表</w:t>
      </w:r>
      <w:r>
        <w:t>1では、投機筋のネットポジションが契約ごとに、また契約全体にわたって、時系列でかなりのばらつきがあることも明らかにしている。当然ながら、投機筋のネットポジションの標準偏差は、先物取引のボラティリティと正の相関がある。</w:t>
      </w:r>
    </w:p>
    <w:p w14:paraId="1D319E1C" w14:textId="77777777" w:rsidR="00FF1287" w:rsidRDefault="00FF1287" w:rsidP="004A6B68">
      <w:pPr>
        <w:pStyle w:val="a2"/>
      </w:pPr>
    </w:p>
    <w:p w14:paraId="617D6101" w14:textId="5BF475DA" w:rsidR="00FF1287" w:rsidRDefault="00491D95" w:rsidP="00491D95">
      <w:pPr>
        <w:pStyle w:val="20"/>
      </w:pPr>
      <w:r w:rsidRPr="00491D95">
        <w:t>Asset pricing benchmarks</w:t>
      </w:r>
    </w:p>
    <w:p w14:paraId="37275C1A" w14:textId="3F49D75D" w:rsidR="00491D95" w:rsidRPr="00491D95" w:rsidRDefault="00E95AB9" w:rsidP="00491D95">
      <w:pPr>
        <w:pStyle w:val="a2"/>
        <w:rPr>
          <w:rFonts w:hint="eastAsia"/>
        </w:rPr>
      </w:pPr>
      <w:r w:rsidRPr="00E95AB9">
        <w:rPr>
          <w:rFonts w:hint="eastAsia"/>
        </w:rPr>
        <w:t>標準的な資産価格ベンチマーク、すなわち、</w:t>
      </w:r>
      <w:proofErr w:type="spellStart"/>
      <w:r w:rsidRPr="00E95AB9">
        <w:t>Datastream</w:t>
      </w:r>
      <w:proofErr w:type="spellEnd"/>
      <w:r w:rsidRPr="00E95AB9">
        <w:t xml:space="preserve"> から入手した MSCI 世界株式インデックス、Barclay's Aggregate Bond Index、 S&amp;P GSCI Index、Ken French の Web サイトから入手したロングショートファクター SMB、 HML、UMD、および </w:t>
      </w:r>
      <w:proofErr w:type="spellStart"/>
      <w:r w:rsidRPr="00E95AB9">
        <w:t>Asness</w:t>
      </w:r>
      <w:proofErr w:type="spellEnd"/>
      <w:r w:rsidRPr="00E95AB9">
        <w:t>, Moskowitz, and Pedersen (2010) から入手した資産クラス横断のロングショートファクターとモメンタム ファクターに対して我々の戦略の収益を比較評価した。</w:t>
      </w:r>
    </w:p>
    <w:p w14:paraId="589AECEC" w14:textId="77777777" w:rsidR="00FF1287" w:rsidRDefault="00FF1287" w:rsidP="004A6B68">
      <w:pPr>
        <w:pStyle w:val="a2"/>
        <w:rPr>
          <w:rFonts w:hint="eastAsia"/>
        </w:rPr>
      </w:pPr>
    </w:p>
    <w:p w14:paraId="4014CB21" w14:textId="0DC430C3" w:rsidR="007D50D9" w:rsidRDefault="00E95AB9" w:rsidP="00E95AB9">
      <w:pPr>
        <w:pStyle w:val="20"/>
      </w:pPr>
      <w:r w:rsidRPr="00E95AB9">
        <w:t>Ex ante volatility estimate</w:t>
      </w:r>
    </w:p>
    <w:p w14:paraId="1EF3B933" w14:textId="44A0B2E3" w:rsidR="00DA4A16" w:rsidRDefault="00DA4A16" w:rsidP="00DA4A16">
      <w:pPr>
        <w:pStyle w:val="a2"/>
      </w:pPr>
      <w:r>
        <w:rPr>
          <w:rFonts w:hint="eastAsia"/>
        </w:rPr>
        <w:t>ボラティリティは資産によって大きく異なるため（表</w:t>
      </w:r>
      <w:r>
        <w:t xml:space="preserve"> 1）、資産間の比較を有意にするために、リターンをそのボラティリティでスケーリングしています。</w:t>
      </w:r>
    </w:p>
    <w:p w14:paraId="0B84DF38" w14:textId="37029551" w:rsidR="00341C86" w:rsidRPr="00DA4A16" w:rsidRDefault="00DA4A16" w:rsidP="00DA4A16">
      <w:pPr>
        <w:pStyle w:val="a2"/>
        <w:rPr>
          <w:rFonts w:hint="eastAsia"/>
        </w:rPr>
      </w:pPr>
      <w:r>
        <w:rPr>
          <w:rFonts w:hint="eastAsia"/>
        </w:rPr>
        <w:t>各商品の各時点での事前ボラティリティ</w:t>
      </w:r>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t</m:t>
            </m:r>
          </m:sub>
          <m:sup/>
        </m:sSubSup>
      </m:oMath>
      <w:r>
        <w:t>は、指数関数的に加重された遅延二乗日次リターン（すなわち、</w:t>
      </w:r>
      <w:r>
        <w:lastRenderedPageBreak/>
        <w:t>単純な一変量 GARCH モデルと同様）という極めて単純なモデルを使って推定します。具体的には、各商品の事前年率分散</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t>は、以下のように計算されます。</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C6386E" w14:paraId="12DC368D" w14:textId="77777777" w:rsidTr="001219C3">
        <w:tc>
          <w:tcPr>
            <w:tcW w:w="8926" w:type="dxa"/>
          </w:tcPr>
          <w:p w14:paraId="7D81993C" w14:textId="55545288" w:rsidR="00C6386E" w:rsidRDefault="00C6386E" w:rsidP="00573E1D">
            <w:pPr>
              <w:pStyle w:val="a2"/>
              <w:ind w:firstLineChars="0" w:firstLine="0"/>
              <w:rPr>
                <w:rFonts w:hint="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r>
                  <w:rPr>
                    <w:rFonts w:ascii="Cambria Math" w:hAnsi="Cambria Math"/>
                  </w:rPr>
                  <m:t>261</m:t>
                </m:r>
                <m:nary>
                  <m:naryPr>
                    <m:chr m:val="∑"/>
                    <m:ctrlPr>
                      <w:rPr>
                        <w:rFonts w:ascii="Cambria Math" w:hAnsi="Cambria Math"/>
                        <w:i/>
                      </w:rPr>
                    </m:ctrlPr>
                  </m:naryPr>
                  <m:sub>
                    <m:r>
                      <w:rPr>
                        <w:rFonts w:ascii="Cambria Math" w:hAnsi="Cambria Math"/>
                      </w:rPr>
                      <m:t>i=0</m:t>
                    </m:r>
                  </m:sub>
                  <m:sup>
                    <m:r>
                      <w:rPr>
                        <w:rFonts w:ascii="Cambria Math" w:hAnsi="Cambria Math"/>
                      </w:rPr>
                      <m:t>∞</m:t>
                    </m:r>
                  </m:sup>
                  <m:e>
                    <m:d>
                      <m:dPr>
                        <m:ctrlPr>
                          <w:rPr>
                            <w:rFonts w:ascii="Cambria Math" w:hAnsi="Cambria Math"/>
                            <w:i/>
                          </w:rPr>
                        </m:ctrlPr>
                      </m:dPr>
                      <m:e>
                        <m:r>
                          <w:rPr>
                            <w:rFonts w:ascii="Cambria Math" w:hAnsi="Cambria Math"/>
                          </w:rPr>
                          <m:t>1-δ</m:t>
                        </m:r>
                      </m:e>
                    </m:d>
                    <m:sSup>
                      <m:sSupPr>
                        <m:ctrlPr>
                          <w:rPr>
                            <w:rFonts w:ascii="Cambria Math" w:hAnsi="Cambria Math"/>
                            <w:i/>
                          </w:rPr>
                        </m:ctrlPr>
                      </m:sSupPr>
                      <m:e>
                        <m:r>
                          <w:rPr>
                            <w:rFonts w:ascii="Cambria Math" w:hAnsi="Cambria Math"/>
                          </w:rPr>
                          <m:t>δ</m:t>
                        </m:r>
                      </m:e>
                      <m:sup>
                        <m:r>
                          <w:rPr>
                            <w:rFonts w:ascii="Cambria Math" w:hAnsi="Cambria Math"/>
                          </w:rPr>
                          <m:t>i</m:t>
                        </m:r>
                      </m:sup>
                    </m:sSup>
                  </m:e>
                </m:nary>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t-1</m:t>
                                </m:r>
                              </m:e>
                            </m:d>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t</m:t>
                            </m:r>
                          </m:sub>
                        </m:sSub>
                      </m:e>
                    </m:d>
                  </m:e>
                  <m:sup>
                    <m:r>
                      <w:rPr>
                        <w:rFonts w:ascii="Cambria Math" w:hAnsi="Cambria Math"/>
                      </w:rPr>
                      <m:t>2</m:t>
                    </m:r>
                  </m:sup>
                </m:sSup>
              </m:oMath>
            </m:oMathPara>
          </w:p>
        </w:tc>
        <w:tc>
          <w:tcPr>
            <w:tcW w:w="1530" w:type="dxa"/>
            <w:vAlign w:val="center"/>
          </w:tcPr>
          <w:p w14:paraId="6FE081B0" w14:textId="79F42A7F" w:rsidR="00C6386E" w:rsidRDefault="00EE2C95" w:rsidP="001219C3">
            <w:pPr>
              <w:pStyle w:val="a2"/>
              <w:ind w:firstLineChars="0" w:firstLine="0"/>
              <w:jc w:val="center"/>
              <w:rPr>
                <w:rFonts w:hint="eastAsia"/>
              </w:rPr>
            </w:pPr>
            <w:r>
              <w:rPr>
                <w:rFonts w:hint="eastAsia"/>
              </w:rPr>
              <w:t>(</w:t>
            </w:r>
            <w:r>
              <w:t>1)</w:t>
            </w:r>
          </w:p>
        </w:tc>
      </w:tr>
    </w:tbl>
    <w:p w14:paraId="09F7D07C" w14:textId="77777777" w:rsidR="00E95AB9" w:rsidRDefault="00E95AB9" w:rsidP="00B661D2">
      <w:pPr>
        <w:pStyle w:val="a2"/>
      </w:pPr>
    </w:p>
    <w:p w14:paraId="6BE55CCA" w14:textId="6E02FEAC" w:rsidR="00C24D08" w:rsidRDefault="00FB33F9" w:rsidP="00FB33F9">
      <w:pPr>
        <w:pStyle w:val="a2"/>
        <w:ind w:firstLineChars="0" w:firstLine="0"/>
      </w:pPr>
      <w:r w:rsidRPr="00FB33F9">
        <w:rPr>
          <w:rFonts w:hint="eastAsia"/>
        </w:rPr>
        <w:t>ここで、スカラー</w:t>
      </w:r>
      <w:r w:rsidRPr="00FB33F9">
        <w:t>261は分散を年単位でスケーリングし、重み</w:t>
      </w:r>
      <m:oMath>
        <m:d>
          <m:dPr>
            <m:ctrlPr>
              <w:rPr>
                <w:rFonts w:ascii="Cambria Math" w:hAnsi="Cambria Math"/>
                <w:i/>
              </w:rPr>
            </m:ctrlPr>
          </m:dPr>
          <m:e>
            <m:r>
              <w:rPr>
                <w:rFonts w:ascii="Cambria Math" w:hAnsi="Cambria Math"/>
              </w:rPr>
              <m:t>1-δ</m:t>
            </m:r>
          </m:e>
        </m:d>
        <m:sSup>
          <m:sSupPr>
            <m:ctrlPr>
              <w:rPr>
                <w:rFonts w:ascii="Cambria Math" w:hAnsi="Cambria Math"/>
                <w:i/>
              </w:rPr>
            </m:ctrlPr>
          </m:sSupPr>
          <m:e>
            <m:r>
              <w:rPr>
                <w:rFonts w:ascii="Cambria Math" w:hAnsi="Cambria Math"/>
              </w:rPr>
              <m:t>δ</m:t>
            </m:r>
          </m:e>
          <m:sup>
            <m:r>
              <w:rPr>
                <w:rFonts w:ascii="Cambria Math" w:hAnsi="Cambria Math"/>
              </w:rPr>
              <m:t>i</m:t>
            </m:r>
          </m:sup>
        </m:sSup>
      </m:oMath>
      <w:r w:rsidRPr="00FB33F9">
        <w:t>は1を加算し、</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t</m:t>
            </m:r>
          </m:sub>
        </m:sSub>
      </m:oMath>
      <w:r w:rsidRPr="00FB33F9">
        <w:t>は同様に計算された指数関数的に加重された平均リターンです。</w:t>
      </w:r>
      <w:r w:rsidR="005D22EE" w:rsidRPr="005D22EE">
        <w:rPr>
          <w:rFonts w:hint="eastAsia"/>
        </w:rPr>
        <w:t>パラメータ</w:t>
      </w:r>
      <w:r w:rsidR="005D22EE" w:rsidRPr="005D22EE">
        <w:t xml:space="preserve"> </w:t>
      </w:r>
      <m:oMath>
        <m:r>
          <w:rPr>
            <w:rFonts w:ascii="Cambria Math" w:hAnsi="Cambria Math"/>
          </w:rPr>
          <m:t>δ</m:t>
        </m:r>
      </m:oMath>
      <w:r w:rsidR="005D22EE" w:rsidRPr="005D22EE">
        <w:t>は、</w:t>
      </w:r>
      <w:r w:rsidR="005D22EE">
        <w:rPr>
          <w:rFonts w:hint="eastAsia"/>
        </w:rPr>
        <w:t>以下を満たすよう</w:t>
      </w:r>
      <w:r w:rsidR="005D22EE" w:rsidRPr="005D22EE">
        <w:t>に選んだ</w:t>
      </w:r>
      <w:r w:rsidR="005D22EE">
        <w:rPr>
          <w:rFonts w:hint="eastAsia"/>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1219C3" w14:paraId="2C4DD3F8" w14:textId="77777777" w:rsidTr="00573E1D">
        <w:tc>
          <w:tcPr>
            <w:tcW w:w="8926" w:type="dxa"/>
          </w:tcPr>
          <w:p w14:paraId="083E1DDA" w14:textId="1E1BFBE1" w:rsidR="001219C3" w:rsidRDefault="001219C3" w:rsidP="00573E1D">
            <w:pPr>
              <w:pStyle w:val="a2"/>
              <w:ind w:firstLineChars="0" w:firstLine="0"/>
              <w:rPr>
                <w:rFonts w:hint="eastAsia"/>
              </w:rPr>
            </w:pPr>
            <m:oMathPara>
              <m:oMath>
                <m:nary>
                  <m:naryPr>
                    <m:chr m:val="∑"/>
                    <m:ctrlPr>
                      <w:rPr>
                        <w:rFonts w:ascii="Cambria Math" w:hAnsi="Cambria Math"/>
                        <w:i/>
                      </w:rPr>
                    </m:ctrlPr>
                  </m:naryPr>
                  <m:sub>
                    <m:r>
                      <w:rPr>
                        <w:rFonts w:ascii="Cambria Math" w:hAnsi="Cambria Math"/>
                      </w:rPr>
                      <m:t>i=0</m:t>
                    </m:r>
                  </m:sub>
                  <m:sup>
                    <m:r>
                      <w:rPr>
                        <w:rFonts w:ascii="Cambria Math" w:hAnsi="Cambria Math"/>
                      </w:rPr>
                      <m:t>∞</m:t>
                    </m:r>
                  </m:sup>
                  <m:e>
                    <m:d>
                      <m:dPr>
                        <m:ctrlPr>
                          <w:rPr>
                            <w:rFonts w:ascii="Cambria Math" w:hAnsi="Cambria Math"/>
                            <w:i/>
                          </w:rPr>
                        </m:ctrlPr>
                      </m:dPr>
                      <m:e>
                        <m:r>
                          <w:rPr>
                            <w:rFonts w:ascii="Cambria Math" w:hAnsi="Cambria Math"/>
                          </w:rPr>
                          <m:t>1-δ</m:t>
                        </m:r>
                      </m:e>
                    </m:d>
                    <m:sSup>
                      <m:sSupPr>
                        <m:ctrlPr>
                          <w:rPr>
                            <w:rFonts w:ascii="Cambria Math" w:hAnsi="Cambria Math"/>
                            <w:i/>
                          </w:rPr>
                        </m:ctrlPr>
                      </m:sSupPr>
                      <m:e>
                        <m:r>
                          <w:rPr>
                            <w:rFonts w:ascii="Cambria Math" w:hAnsi="Cambria Math"/>
                          </w:rPr>
                          <m:t>δ</m:t>
                        </m:r>
                      </m:e>
                      <m:sup>
                        <m:r>
                          <w:rPr>
                            <w:rFonts w:ascii="Cambria Math" w:hAnsi="Cambria Math"/>
                          </w:rPr>
                          <m:t>i</m:t>
                        </m:r>
                      </m:sup>
                    </m:sSup>
                    <m:r>
                      <w:rPr>
                        <w:rFonts w:ascii="Cambria Math" w:hAnsi="Cambria Math"/>
                      </w:rPr>
                      <m:t>i=</m:t>
                    </m:r>
                    <m:f>
                      <m:fPr>
                        <m:ctrlPr>
                          <w:rPr>
                            <w:rFonts w:ascii="Cambria Math" w:hAnsi="Cambria Math"/>
                            <w:i/>
                          </w:rPr>
                        </m:ctrlPr>
                      </m:fPr>
                      <m:num>
                        <m:r>
                          <w:rPr>
                            <w:rFonts w:ascii="Cambria Math" w:hAnsi="Cambria Math"/>
                          </w:rPr>
                          <m:t>δ</m:t>
                        </m:r>
                      </m:num>
                      <m:den>
                        <m:r>
                          <w:rPr>
                            <w:rFonts w:ascii="Cambria Math" w:hAnsi="Cambria Math"/>
                          </w:rPr>
                          <m:t>1-δ</m:t>
                        </m:r>
                      </m:den>
                    </m:f>
                  </m:e>
                </m:nary>
                <m:r>
                  <w:rPr>
                    <w:rFonts w:ascii="Cambria Math" w:hAnsi="Cambria Math"/>
                  </w:rPr>
                  <m:t>=</m:t>
                </m:r>
                <m:r>
                  <w:rPr>
                    <w:rFonts w:ascii="Cambria Math" w:hAnsi="Cambria Math" w:hint="eastAsia"/>
                  </w:rPr>
                  <m:t>60</m:t>
                </m:r>
              </m:oMath>
            </m:oMathPara>
          </w:p>
        </w:tc>
        <w:tc>
          <w:tcPr>
            <w:tcW w:w="1530" w:type="dxa"/>
            <w:vAlign w:val="center"/>
          </w:tcPr>
          <w:p w14:paraId="520BDDEE" w14:textId="21537101" w:rsidR="001219C3" w:rsidRDefault="001219C3" w:rsidP="00573E1D">
            <w:pPr>
              <w:pStyle w:val="a2"/>
              <w:ind w:firstLineChars="0" w:firstLine="0"/>
              <w:jc w:val="center"/>
              <w:rPr>
                <w:rFonts w:hint="eastAsia"/>
              </w:rPr>
            </w:pPr>
          </w:p>
        </w:tc>
      </w:tr>
    </w:tbl>
    <w:p w14:paraId="12B3A05A" w14:textId="77777777" w:rsidR="00C24D08" w:rsidRDefault="00C24D08" w:rsidP="00142AA6">
      <w:pPr>
        <w:pStyle w:val="a2"/>
        <w:ind w:firstLineChars="0" w:firstLine="0"/>
      </w:pPr>
    </w:p>
    <w:p w14:paraId="184185FE" w14:textId="7C430976" w:rsidR="00142AA6" w:rsidRDefault="00142AA6" w:rsidP="00142AA6">
      <w:pPr>
        <w:pStyle w:val="a2"/>
        <w:ind w:firstLineChars="0" w:firstLine="0"/>
        <w:rPr>
          <w:rFonts w:hint="eastAsia"/>
        </w:rPr>
      </w:pPr>
      <w:r w:rsidRPr="00142AA6">
        <w:rPr>
          <w:rFonts w:hint="eastAsia"/>
        </w:rPr>
        <w:t>ボラティリティ・モデルは、すべての資産ですべての時間帯で同じものである。本論文のすべての結果は、より洗練されたボラティリティ・モデルに対してロバストであるが、我々は、その単純さとボラティリティ推定値におけるルックアヘッド・バイアスがないことから、このモデルを選択した。ルックアヘッド・バイアスが結果に影響を与えないようにするため、分析全体を通じて、時間</w:t>
      </w:r>
      <w:r w:rsidRPr="00142AA6">
        <w:t xml:space="preserve"> </w:t>
      </w:r>
      <m:oMath>
        <m:r>
          <w:rPr>
            <w:rFonts w:ascii="Cambria Math" w:hAnsi="Cambria Math"/>
          </w:rPr>
          <m:t>t</m:t>
        </m:r>
      </m:oMath>
      <w:r w:rsidRPr="00142AA6">
        <w:t xml:space="preserve"> のリターンに適用される時間 </w:t>
      </w:r>
      <m:oMath>
        <m:r>
          <w:rPr>
            <w:rFonts w:ascii="Cambria Math" w:hAnsi="Cambria Math"/>
          </w:rPr>
          <m:t>t</m:t>
        </m:r>
        <m:r>
          <w:rPr>
            <w:rFonts w:ascii="Cambria Math" w:hAnsi="Cambria Math"/>
          </w:rPr>
          <m:t>-1</m:t>
        </m:r>
      </m:oMath>
      <w:r w:rsidRPr="00142AA6">
        <w:t xml:space="preserve"> のボラティリティ推定値を使用します。</w:t>
      </w:r>
    </w:p>
    <w:p w14:paraId="116D4892" w14:textId="77777777" w:rsidR="00E95AB9" w:rsidRDefault="00E95AB9" w:rsidP="00B661D2">
      <w:pPr>
        <w:pStyle w:val="a2"/>
      </w:pPr>
    </w:p>
    <w:p w14:paraId="30587D34" w14:textId="69CAEEBD" w:rsidR="00E95AB9" w:rsidRDefault="008224D6" w:rsidP="008224D6">
      <w:pPr>
        <w:pStyle w:val="1"/>
      </w:pPr>
      <w:r>
        <w:t>Time series momentum: Regression analysis and</w:t>
      </w:r>
      <w:r>
        <w:rPr>
          <w:rFonts w:hint="eastAsia"/>
        </w:rPr>
        <w:t xml:space="preserve"> </w:t>
      </w:r>
      <w:r>
        <w:t>trading strategies</w:t>
      </w:r>
    </w:p>
    <w:p w14:paraId="0CC6F639" w14:textId="1CF6F185" w:rsidR="008224D6" w:rsidRDefault="009E76BA" w:rsidP="008224D6">
      <w:pPr>
        <w:pStyle w:val="a2"/>
      </w:pPr>
      <w:r w:rsidRPr="009E76BA">
        <w:rPr>
          <w:rFonts w:hint="eastAsia"/>
        </w:rPr>
        <w:t>まず、異なる時間軸における先物リターンの時系列予測可能性を検証することから始める。</w:t>
      </w:r>
    </w:p>
    <w:p w14:paraId="0B81CA9B" w14:textId="77777777" w:rsidR="00297965" w:rsidRDefault="00297965" w:rsidP="008224D6">
      <w:pPr>
        <w:pStyle w:val="a2"/>
      </w:pPr>
    </w:p>
    <w:p w14:paraId="6041233B" w14:textId="66D78AFB" w:rsidR="00297965" w:rsidRDefault="003502F7" w:rsidP="00732C73">
      <w:pPr>
        <w:pStyle w:val="20"/>
      </w:pPr>
      <w:r>
        <w:t>Regression analysis: Predicting price continuation and</w:t>
      </w:r>
      <w:r w:rsidR="00732C73">
        <w:rPr>
          <w:rFonts w:hint="eastAsia"/>
        </w:rPr>
        <w:t xml:space="preserve"> </w:t>
      </w:r>
      <w:r>
        <w:t>reversal</w:t>
      </w:r>
    </w:p>
    <w:p w14:paraId="715F756B" w14:textId="6A995500" w:rsidR="00297965" w:rsidRPr="00732C73" w:rsidRDefault="00C01962" w:rsidP="008224D6">
      <w:pPr>
        <w:pStyle w:val="a2"/>
      </w:pPr>
      <w:r w:rsidRPr="00C01962">
        <w:rPr>
          <w:rFonts w:hint="eastAsia"/>
        </w:rPr>
        <w:t>商品</w:t>
      </w:r>
      <m:oMath>
        <m:r>
          <w:rPr>
            <w:rFonts w:ascii="Cambria Math" w:hAnsi="Cambria Math"/>
          </w:rPr>
          <m:t>s</m:t>
        </m:r>
      </m:oMath>
      <w:r w:rsidR="00B42D1C">
        <w:rPr>
          <w:rFonts w:hint="eastAsia"/>
        </w:rPr>
        <w:t xml:space="preserve"> </w:t>
      </w:r>
      <w:r w:rsidRPr="00C01962">
        <w:t>の</w:t>
      </w:r>
      <m:oMath>
        <m:r>
          <w:rPr>
            <w:rFonts w:ascii="Cambria Math" w:hAnsi="Cambria Math"/>
          </w:rPr>
          <m:t xml:space="preserve"> </m:t>
        </m:r>
        <m:r>
          <w:rPr>
            <w:rFonts w:ascii="Cambria Math" w:hAnsi="Cambria Math"/>
          </w:rPr>
          <m:t>t</m:t>
        </m:r>
      </m:oMath>
      <w:r w:rsidRPr="00C01962">
        <w:t>月における超過収益率</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δ</m:t>
            </m:r>
          </m:sup>
        </m:sSubSup>
        <m:r>
          <w:rPr>
            <w:rFonts w:ascii="Cambria Math" w:hAnsi="Cambria Math"/>
          </w:rPr>
          <m:t xml:space="preserve"> </m:t>
        </m:r>
      </m:oMath>
      <w:r w:rsidRPr="00C01962">
        <w:t>を、</w:t>
      </w:r>
      <m:oMath>
        <m:r>
          <w:rPr>
            <w:rFonts w:ascii="Cambria Math" w:hAnsi="Cambria Math"/>
          </w:rPr>
          <m:t>h</m:t>
        </m:r>
      </m:oMath>
      <w:r w:rsidRPr="00C01962">
        <w:t>ヶ月のラグをとった収益率に回帰する。</w:t>
      </w:r>
      <w:r w:rsidR="00D514C4" w:rsidRPr="00D514C4">
        <w:rPr>
          <w:rFonts w:hint="eastAsia"/>
        </w:rPr>
        <w:t>ここで，両リターンは前段階のボラティリティ</w:t>
      </w:r>
      <w:r w:rsidR="00D514C4" w:rsidRPr="00D514C4">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t-1</m:t>
            </m:r>
          </m:sub>
          <m:sup>
            <m:r>
              <w:rPr>
                <w:rFonts w:ascii="Cambria Math" w:hAnsi="Cambria Math"/>
              </w:rPr>
              <m:t>s</m:t>
            </m:r>
          </m:sup>
        </m:sSubSup>
      </m:oMath>
      <w:r w:rsidR="00D514C4" w:rsidRPr="00D514C4">
        <w:t>でスケーリングされる。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4B76E4" w14:paraId="409534C2" w14:textId="77777777" w:rsidTr="00573E1D">
        <w:tc>
          <w:tcPr>
            <w:tcW w:w="8926" w:type="dxa"/>
          </w:tcPr>
          <w:p w14:paraId="21B8DE94" w14:textId="486A51AD" w:rsidR="004B76E4" w:rsidRDefault="002D115B" w:rsidP="00573E1D">
            <w:pPr>
              <w:pStyle w:val="a2"/>
              <w:ind w:firstLineChars="0" w:firstLine="0"/>
              <w:rPr>
                <w:rFonts w:hint="eastAsia"/>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δ</m:t>
                        </m:r>
                      </m:sup>
                    </m:sSubSup>
                  </m:num>
                  <m:den>
                    <m:sSubSup>
                      <m:sSubSupPr>
                        <m:ctrlPr>
                          <w:rPr>
                            <w:rFonts w:ascii="Cambria Math" w:hAnsi="Cambria Math"/>
                            <w:i/>
                          </w:rPr>
                        </m:ctrlPr>
                      </m:sSubSupPr>
                      <m:e>
                        <m:r>
                          <w:rPr>
                            <w:rFonts w:ascii="Cambria Math" w:hAnsi="Cambria Math"/>
                          </w:rPr>
                          <m:t>σ</m:t>
                        </m:r>
                      </m:e>
                      <m:sub>
                        <m:r>
                          <w:rPr>
                            <w:rFonts w:ascii="Cambria Math" w:hAnsi="Cambria Math"/>
                          </w:rPr>
                          <m:t>t-1</m:t>
                        </m:r>
                      </m:sub>
                      <m:sup>
                        <m:r>
                          <w:rPr>
                            <w:rFonts w:ascii="Cambria Math" w:hAnsi="Cambria Math"/>
                          </w:rPr>
                          <m:t>s</m:t>
                        </m:r>
                      </m:sup>
                    </m:sSubSup>
                  </m:den>
                </m:f>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h</m:t>
                        </m:r>
                      </m:sub>
                    </m:sSub>
                    <m:sSubSup>
                      <m:sSubSupPr>
                        <m:ctrlPr>
                          <w:rPr>
                            <w:rFonts w:ascii="Cambria Math" w:hAnsi="Cambria Math"/>
                            <w:i/>
                          </w:rPr>
                        </m:ctrlPr>
                      </m:sSubSupPr>
                      <m:e>
                        <m:r>
                          <w:rPr>
                            <w:rFonts w:ascii="Cambria Math" w:hAnsi="Cambria Math"/>
                          </w:rPr>
                          <m:t>r</m:t>
                        </m:r>
                      </m:e>
                      <m:sub>
                        <m:r>
                          <w:rPr>
                            <w:rFonts w:ascii="Cambria Math" w:hAnsi="Cambria Math"/>
                          </w:rPr>
                          <m:t>t-h</m:t>
                        </m:r>
                      </m:sub>
                      <m:sup>
                        <m:r>
                          <w:rPr>
                            <w:rFonts w:ascii="Cambria Math" w:hAnsi="Cambria Math"/>
                          </w:rPr>
                          <m:t>s</m:t>
                        </m:r>
                      </m:sup>
                    </m:sSubSup>
                  </m:num>
                  <m:den>
                    <m:sSubSup>
                      <m:sSubSupPr>
                        <m:ctrlPr>
                          <w:rPr>
                            <w:rFonts w:ascii="Cambria Math" w:hAnsi="Cambria Math"/>
                            <w:i/>
                          </w:rPr>
                        </m:ctrlPr>
                      </m:sSubSupPr>
                      <m:e>
                        <m:r>
                          <w:rPr>
                            <w:rFonts w:ascii="Cambria Math" w:hAnsi="Cambria Math"/>
                          </w:rPr>
                          <m:t>σ</m:t>
                        </m:r>
                      </m:e>
                      <m:sub>
                        <m:r>
                          <w:rPr>
                            <w:rFonts w:ascii="Cambria Math" w:hAnsi="Cambria Math"/>
                          </w:rPr>
                          <m:t>t-h-1</m:t>
                        </m:r>
                      </m:sub>
                      <m:sup>
                        <m:r>
                          <w:rPr>
                            <w:rFonts w:ascii="Cambria Math" w:hAnsi="Cambria Math"/>
                          </w:rPr>
                          <m:t>s</m:t>
                        </m:r>
                      </m:sup>
                    </m:sSubSup>
                  </m:den>
                </m:f>
                <m:r>
                  <w:rPr>
                    <w:rFonts w:ascii="Cambria Math" w:hAnsi="Cambria Math"/>
                  </w:rPr>
                  <m:t>+</m:t>
                </m:r>
                <m:sSubSup>
                  <m:sSubSupPr>
                    <m:ctrlPr>
                      <w:rPr>
                        <w:rFonts w:ascii="Cambria Math" w:hAnsi="Cambria Math"/>
                        <w:i/>
                      </w:rPr>
                    </m:ctrlPr>
                  </m:sSubSupPr>
                  <m:e>
                    <m:r>
                      <w:rPr>
                        <w:rFonts w:ascii="Cambria Math" w:hAnsi="Cambria Math"/>
                      </w:rPr>
                      <m:t>ϵ</m:t>
                    </m:r>
                  </m:e>
                  <m:sub>
                    <m:r>
                      <w:rPr>
                        <w:rFonts w:ascii="Cambria Math" w:hAnsi="Cambria Math"/>
                      </w:rPr>
                      <m:t>t</m:t>
                    </m:r>
                  </m:sub>
                  <m:sup>
                    <m:r>
                      <w:rPr>
                        <w:rFonts w:ascii="Cambria Math" w:hAnsi="Cambria Math"/>
                      </w:rPr>
                      <m:t>s</m:t>
                    </m:r>
                  </m:sup>
                </m:sSubSup>
                <m:r>
                  <w:rPr>
                    <w:rFonts w:ascii="Cambria Math" w:hAnsi="Cambria Math"/>
                  </w:rPr>
                  <m:t xml:space="preserve"> </m:t>
                </m:r>
              </m:oMath>
            </m:oMathPara>
          </w:p>
        </w:tc>
        <w:tc>
          <w:tcPr>
            <w:tcW w:w="1530" w:type="dxa"/>
            <w:vAlign w:val="center"/>
          </w:tcPr>
          <w:p w14:paraId="4C3FA477" w14:textId="40ADA693" w:rsidR="004B76E4" w:rsidRDefault="00F76462" w:rsidP="00573E1D">
            <w:pPr>
              <w:pStyle w:val="a2"/>
              <w:ind w:firstLineChars="0" w:firstLine="0"/>
              <w:jc w:val="center"/>
              <w:rPr>
                <w:rFonts w:hint="eastAsia"/>
              </w:rPr>
            </w:pPr>
            <w:r>
              <w:rPr>
                <w:rFonts w:hint="eastAsia"/>
              </w:rPr>
              <w:t>(</w:t>
            </w:r>
            <w:r>
              <w:t>2)</w:t>
            </w:r>
          </w:p>
        </w:tc>
      </w:tr>
    </w:tbl>
    <w:p w14:paraId="09ED07C2" w14:textId="77777777" w:rsidR="00297965" w:rsidRDefault="00297965" w:rsidP="008224D6">
      <w:pPr>
        <w:pStyle w:val="a2"/>
      </w:pPr>
    </w:p>
    <w:p w14:paraId="6F5CD55A" w14:textId="1663E196" w:rsidR="004B76E4" w:rsidRDefault="00716A8F" w:rsidP="00716A8F">
      <w:pPr>
        <w:pStyle w:val="a2"/>
        <w:rPr>
          <w:rFonts w:hint="eastAsia"/>
        </w:rPr>
      </w:pPr>
      <w:r>
        <w:rPr>
          <w:rFonts w:hint="eastAsia"/>
        </w:rPr>
        <w:t>表</w:t>
      </w:r>
      <w:r>
        <w:t xml:space="preserve"> 1 に示すようにボラティリティに大きな差があるため、すべてのリターンをそのボラティリティで割って同じ尺度にしている。</w:t>
      </w:r>
      <w:r>
        <w:rPr>
          <w:rFonts w:hint="eastAsia"/>
        </w:rPr>
        <w:t>これは、普通最小二乗法</w:t>
      </w:r>
      <w:r>
        <w:t>(OLS)の代わりに一般化最小二乗法を使うのと同じである。</w:t>
      </w:r>
      <w:r>
        <w:rPr>
          <w:rFonts w:hint="eastAsia"/>
        </w:rPr>
        <w:t>すべての先物契約と日付を積み重ね、プールされたパネル回帰を実行し、時間によるグループごとのクラスタリングを考慮した</w:t>
      </w:r>
      <w:r>
        <w:t xml:space="preserve"> t 統計を計算する（月次レベル）。</w:t>
      </w:r>
      <w:r>
        <w:rPr>
          <w:rFonts w:hint="eastAsia"/>
        </w:rPr>
        <w:t>回帰は</w:t>
      </w:r>
      <m:oMath>
        <m:r>
          <w:rPr>
            <w:rFonts w:ascii="Cambria Math" w:hAnsi="Cambria Math"/>
          </w:rPr>
          <m:t>h=1, 2,</m:t>
        </m:r>
        <m:r>
          <w:rPr>
            <w:rFonts w:ascii="Cambria Math" w:hAnsi="Cambria Math"/>
          </w:rPr>
          <m:t>⋯,</m:t>
        </m:r>
        <m:r>
          <w:rPr>
            <w:rFonts w:ascii="Cambria Math" w:hAnsi="Cambria Math"/>
          </w:rPr>
          <m:t xml:space="preserve"> 60</m:t>
        </m:r>
      </m:oMath>
      <w:r>
        <w:t>ヶ月のラグを使用して実行される。</w:t>
      </w:r>
    </w:p>
    <w:p w14:paraId="42A8DCED" w14:textId="77777777" w:rsidR="004B76E4" w:rsidRDefault="004B76E4" w:rsidP="008224D6">
      <w:pPr>
        <w:pStyle w:val="a2"/>
      </w:pPr>
    </w:p>
    <w:p w14:paraId="4CCE022A" w14:textId="1325194E" w:rsidR="004B76E4" w:rsidRDefault="00137AD4" w:rsidP="00137AD4">
      <w:pPr>
        <w:pStyle w:val="a2"/>
      </w:pPr>
      <w:r>
        <w:rPr>
          <w:rFonts w:hint="eastAsia"/>
        </w:rPr>
        <w:t>図</w:t>
      </w:r>
      <w:r>
        <w:t xml:space="preserve"> 1 のパネル A は，プールされた回帰分析の t 統計量 を月次のラグ </w:t>
      </w:r>
      <m:oMath>
        <m:r>
          <w:rPr>
            <w:rFonts w:ascii="Cambria Math" w:hAnsi="Cambria Math"/>
          </w:rPr>
          <m:t>h</m:t>
        </m:r>
      </m:oMath>
      <w:r>
        <w:t xml:space="preserve"> でプロットしたものである。</w:t>
      </w:r>
      <w:r>
        <w:rPr>
          <w:rFonts w:hint="eastAsia"/>
        </w:rPr>
        <w:t>最初の</w:t>
      </w:r>
      <w:r>
        <w:t xml:space="preserve"> 12ヶ月の </w:t>
      </w:r>
      <m:oMath>
        <m:r>
          <w:rPr>
            <w:rFonts w:ascii="Cambria Math" w:hAnsi="Cambria Math"/>
          </w:rPr>
          <m:t>t</m:t>
        </m:r>
      </m:oMath>
      <w:r>
        <w:t xml:space="preserve"> 統計は有意なリターンの継続またはトレンドを示している。より長い期間の負の符号は反転を示し、その最も顕著なものは、正のトレンドの直後の年に発生する。</w:t>
      </w:r>
    </w:p>
    <w:p w14:paraId="2AE4FD74" w14:textId="77777777" w:rsidR="004B76E4" w:rsidRDefault="004B76E4" w:rsidP="008224D6">
      <w:pPr>
        <w:pStyle w:val="a2"/>
      </w:pPr>
    </w:p>
    <w:p w14:paraId="71C59FE1" w14:textId="7A71E9BF" w:rsidR="004B76E4" w:rsidRDefault="00CD6B0F" w:rsidP="00CD6B0F">
      <w:pPr>
        <w:pStyle w:val="a2"/>
      </w:pPr>
      <w:r>
        <w:rPr>
          <w:rFonts w:hint="eastAsia"/>
        </w:rPr>
        <w:t>時系列の予測可能性を見るもう一つの方法は、単純に過去の超過リターンの符号にのみ注目することです。この時系列のモメンタムを見るさらに単純な方法は、次のセクションで検討するトレーディング戦略の基礎となります。回帰分析では、この戦略は次のような仕様で捉えることができます。</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5B5F7F" w14:paraId="5FB7970F" w14:textId="77777777" w:rsidTr="00573E1D">
        <w:tc>
          <w:tcPr>
            <w:tcW w:w="8926" w:type="dxa"/>
          </w:tcPr>
          <w:p w14:paraId="3145C2E4" w14:textId="112B9394" w:rsidR="005B5F7F" w:rsidRDefault="005B5F7F" w:rsidP="00573E1D">
            <w:pPr>
              <w:pStyle w:val="a2"/>
              <w:ind w:firstLineChars="0" w:firstLine="0"/>
              <w:rPr>
                <w:rFonts w:hint="eastAsia"/>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δ</m:t>
                        </m:r>
                      </m:sup>
                    </m:sSubSup>
                  </m:num>
                  <m:den>
                    <m:sSubSup>
                      <m:sSubSupPr>
                        <m:ctrlPr>
                          <w:rPr>
                            <w:rFonts w:ascii="Cambria Math" w:hAnsi="Cambria Math"/>
                            <w:i/>
                          </w:rPr>
                        </m:ctrlPr>
                      </m:sSubSupPr>
                      <m:e>
                        <m:r>
                          <w:rPr>
                            <w:rFonts w:ascii="Cambria Math" w:hAnsi="Cambria Math"/>
                          </w:rPr>
                          <m:t>σ</m:t>
                        </m:r>
                      </m:e>
                      <m:sub>
                        <m:r>
                          <w:rPr>
                            <w:rFonts w:ascii="Cambria Math" w:hAnsi="Cambria Math"/>
                          </w:rPr>
                          <m:t>t-1</m:t>
                        </m:r>
                      </m:sub>
                      <m:sup>
                        <m:r>
                          <w:rPr>
                            <w:rFonts w:ascii="Cambria Math" w:hAnsi="Cambria Math"/>
                          </w:rPr>
                          <m:t>s</m:t>
                        </m:r>
                      </m:sup>
                    </m:sSubSup>
                  </m:den>
                </m:f>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h</m:t>
                    </m:r>
                  </m:sub>
                </m:sSub>
                <m:r>
                  <w:rPr>
                    <w:rFonts w:ascii="Cambria Math" w:hAnsi="Cambria Math"/>
                  </w:rPr>
                  <m:t>sign</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t-h</m:t>
                        </m:r>
                      </m:sub>
                      <m:sup>
                        <m:r>
                          <w:rPr>
                            <w:rFonts w:ascii="Cambria Math" w:hAnsi="Cambria Math"/>
                          </w:rPr>
                          <m:t>s</m:t>
                        </m:r>
                      </m:sup>
                    </m:sSubSup>
                  </m:e>
                </m:d>
                <m:r>
                  <w:rPr>
                    <w:rFonts w:ascii="Cambria Math" w:hAnsi="Cambria Math"/>
                  </w:rPr>
                  <m:t>+</m:t>
                </m:r>
                <m:sSubSup>
                  <m:sSubSupPr>
                    <m:ctrlPr>
                      <w:rPr>
                        <w:rFonts w:ascii="Cambria Math" w:hAnsi="Cambria Math"/>
                        <w:i/>
                      </w:rPr>
                    </m:ctrlPr>
                  </m:sSubSupPr>
                  <m:e>
                    <m:r>
                      <w:rPr>
                        <w:rFonts w:ascii="Cambria Math" w:hAnsi="Cambria Math"/>
                      </w:rPr>
                      <m:t>ϵ</m:t>
                    </m:r>
                  </m:e>
                  <m:sub>
                    <m:r>
                      <w:rPr>
                        <w:rFonts w:ascii="Cambria Math" w:hAnsi="Cambria Math"/>
                      </w:rPr>
                      <m:t>t</m:t>
                    </m:r>
                  </m:sub>
                  <m:sup>
                    <m:r>
                      <w:rPr>
                        <w:rFonts w:ascii="Cambria Math" w:hAnsi="Cambria Math"/>
                      </w:rPr>
                      <m:t>s</m:t>
                    </m:r>
                  </m:sup>
                </m:sSubSup>
                <m:r>
                  <w:rPr>
                    <w:rFonts w:ascii="Cambria Math" w:hAnsi="Cambria Math"/>
                  </w:rPr>
                  <m:t xml:space="preserve"> </m:t>
                </m:r>
              </m:oMath>
            </m:oMathPara>
          </w:p>
        </w:tc>
        <w:tc>
          <w:tcPr>
            <w:tcW w:w="1530" w:type="dxa"/>
            <w:vAlign w:val="center"/>
          </w:tcPr>
          <w:p w14:paraId="5C526348" w14:textId="70F54052" w:rsidR="005B5F7F" w:rsidRDefault="005B5F7F" w:rsidP="00573E1D">
            <w:pPr>
              <w:pStyle w:val="a2"/>
              <w:ind w:firstLineChars="0" w:firstLine="0"/>
              <w:jc w:val="center"/>
              <w:rPr>
                <w:rFonts w:hint="eastAsia"/>
              </w:rPr>
            </w:pPr>
            <w:r>
              <w:rPr>
                <w:rFonts w:hint="eastAsia"/>
              </w:rPr>
              <w:t>(</w:t>
            </w:r>
            <w:r>
              <w:t>3</w:t>
            </w:r>
            <w:r>
              <w:t>)</w:t>
            </w:r>
          </w:p>
        </w:tc>
      </w:tr>
    </w:tbl>
    <w:p w14:paraId="5C1C8839" w14:textId="77777777" w:rsidR="004B76E4" w:rsidRDefault="004B76E4" w:rsidP="008224D6">
      <w:pPr>
        <w:pStyle w:val="a2"/>
      </w:pPr>
    </w:p>
    <w:p w14:paraId="47B1A163" w14:textId="7793998D" w:rsidR="00327B10" w:rsidRDefault="003416A9" w:rsidP="003416A9">
      <w:pPr>
        <w:pStyle w:val="a2"/>
      </w:pPr>
      <w:r>
        <w:rPr>
          <w:rFonts w:hint="eastAsia"/>
        </w:rPr>
        <w:t>回帰の左辺をボラティリティから独立させ（符号はþ</w:t>
      </w:r>
      <w:r>
        <w:t>1または1なので右辺も独立）、パラメータ推定値が各商品間で比較できるようにした。</w:t>
      </w:r>
      <w:r>
        <w:rPr>
          <w:rFonts w:hint="eastAsia"/>
        </w:rPr>
        <w:t>図中のパネル</w:t>
      </w:r>
      <w:r>
        <w:t>Bでは、時間（月）ごとにクラスター化された標準誤差を持つプー</w:t>
      </w:r>
      <w:r>
        <w:lastRenderedPageBreak/>
        <w:t>ルされた回帰からのt統計量を報告している。</w:t>
      </w:r>
    </w:p>
    <w:p w14:paraId="0C80BE80" w14:textId="77777777" w:rsidR="006957B8" w:rsidRDefault="006957B8" w:rsidP="003416A9">
      <w:pPr>
        <w:pStyle w:val="a2"/>
      </w:pPr>
    </w:p>
    <w:p w14:paraId="50296343" w14:textId="2DDDC6FA" w:rsidR="006957B8" w:rsidRDefault="006957B8" w:rsidP="006957B8">
      <w:pPr>
        <w:pStyle w:val="a2"/>
        <w:rPr>
          <w:rFonts w:hint="eastAsia"/>
        </w:rPr>
      </w:pPr>
      <w:r>
        <w:rPr>
          <w:rFonts w:hint="eastAsia"/>
        </w:rPr>
        <w:t>その結果は、</w:t>
      </w:r>
      <w:r>
        <w:t>2つの回帰分析の仕様間で類似しており、最初の1年間はリターンが強く継続し、次の4年間は逆転が弱くなる。どちらの場合も、データは明確なパターンを示しており、直近の12ヵ月ラグのリターンはすべてプラス（そして9つは統計的に有意）、残りのラグの大部分はマイナスである。</w:t>
      </w:r>
      <w:r>
        <w:rPr>
          <w:rFonts w:hint="eastAsia"/>
        </w:rPr>
        <w:t>各アセットクラスについてパネル回帰を繰り返すと、図</w:t>
      </w:r>
      <w:r>
        <w:t xml:space="preserve"> のパネルCに見られるように、1～12ヶ月の時系列モメン タムがプラスになり、その後4年間は反転が小さくなるという同じパターンが得られた。</w:t>
      </w:r>
    </w:p>
    <w:p w14:paraId="2DD1444A" w14:textId="0C9A4C49" w:rsidR="00327B10" w:rsidRPr="009B4BA8" w:rsidRDefault="009B4BA8" w:rsidP="009B4BA8">
      <w:pPr>
        <w:pStyle w:val="a2"/>
        <w:ind w:firstLineChars="0" w:firstLine="0"/>
        <w:jc w:val="center"/>
      </w:pPr>
      <w:r>
        <w:rPr>
          <w:noProof/>
        </w:rPr>
        <w:drawing>
          <wp:inline distT="0" distB="0" distL="0" distR="0" wp14:anchorId="166D37AE" wp14:editId="4B96FAA8">
            <wp:extent cx="6257925" cy="731741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1457" cy="7321545"/>
                    </a:xfrm>
                    <a:prstGeom prst="rect">
                      <a:avLst/>
                    </a:prstGeom>
                  </pic:spPr>
                </pic:pic>
              </a:graphicData>
            </a:graphic>
          </wp:inline>
        </w:drawing>
      </w:r>
    </w:p>
    <w:p w14:paraId="31C703DE" w14:textId="3027355F" w:rsidR="009E13F7" w:rsidRDefault="009E13F7">
      <w:pPr>
        <w:widowControl/>
        <w:jc w:val="left"/>
      </w:pPr>
      <w:r>
        <w:br w:type="page"/>
      </w:r>
    </w:p>
    <w:p w14:paraId="6B373B1A" w14:textId="14FD7138" w:rsidR="00327B10" w:rsidRDefault="009E13F7" w:rsidP="009E13F7">
      <w:pPr>
        <w:pStyle w:val="20"/>
      </w:pPr>
      <w:r w:rsidRPr="009E13F7">
        <w:lastRenderedPageBreak/>
        <w:t>Time series momentum trading strategies</w:t>
      </w:r>
    </w:p>
    <w:p w14:paraId="7C39C079" w14:textId="3C838A2E" w:rsidR="009E13F7" w:rsidRPr="009E13F7" w:rsidRDefault="00644422" w:rsidP="00644422">
      <w:pPr>
        <w:pStyle w:val="a2"/>
        <w:rPr>
          <w:rFonts w:hint="eastAsia"/>
        </w:rPr>
      </w:pPr>
      <w:r>
        <w:rPr>
          <w:rFonts w:hint="eastAsia"/>
        </w:rPr>
        <w:t>次に、時系列モメンタムに基づくいくつかの取引戦略の収益性を調査した。ポートフォリオを形成するために使用するシグナルを定義するためにリターンを遅らせる月数（「ルックバック期間」）と、各ポートフォリオを形成した後に保有する月数（「保有期間」）の両方を変化させます。</w:t>
      </w:r>
    </w:p>
    <w:p w14:paraId="1123613A" w14:textId="77777777" w:rsidR="00327B10" w:rsidRDefault="00327B10" w:rsidP="008224D6">
      <w:pPr>
        <w:pStyle w:val="a2"/>
      </w:pPr>
    </w:p>
    <w:p w14:paraId="107C9109" w14:textId="78657C9C" w:rsidR="00327B10" w:rsidRDefault="00FB2DA1" w:rsidP="00FB2DA1">
      <w:pPr>
        <w:pStyle w:val="a2"/>
      </w:pPr>
      <w:r>
        <w:rPr>
          <w:rFonts w:hint="eastAsia"/>
        </w:rPr>
        <w:t>各商品</w:t>
      </w:r>
      <w:r>
        <w:t xml:space="preserve"> </w:t>
      </w:r>
      <m:oMath>
        <m:r>
          <w:rPr>
            <w:rFonts w:ascii="Cambria Math" w:hAnsi="Cambria Math"/>
          </w:rPr>
          <m:t>s</m:t>
        </m:r>
      </m:oMath>
      <w:r>
        <w:t xml:space="preserve"> と月 </w:t>
      </w:r>
      <m:oMath>
        <m:r>
          <w:rPr>
            <w:rFonts w:ascii="Cambria Math" w:hAnsi="Cambria Math"/>
          </w:rPr>
          <m:t>t</m:t>
        </m:r>
      </m:oMath>
      <w:r>
        <w:t xml:space="preserve"> について、過去 </w:t>
      </w:r>
      <m:oMath>
        <m:r>
          <w:rPr>
            <w:rFonts w:ascii="Cambria Math" w:hAnsi="Cambria Math"/>
          </w:rPr>
          <m:t>k</m:t>
        </m:r>
      </m:oMath>
      <w:r>
        <w:t xml:space="preserve"> ヶ月の超過収益がプラスか マイナスかを検討し、プラスの場合はロング、マイナスの場 合はショートとし、</w:t>
      </w:r>
      <m:oMath>
        <m:r>
          <w:rPr>
            <w:rFonts w:ascii="Cambria Math" w:hAnsi="Cambria Math"/>
          </w:rPr>
          <m:t>h</m:t>
        </m:r>
      </m:oMath>
      <w:r>
        <w:t xml:space="preserve"> ヶ月間ポジションを保有する。</w:t>
      </w:r>
      <w:r>
        <w:rPr>
          <w:rFonts w:hint="eastAsia"/>
        </w:rPr>
        <w:t>ポジションサイズは、各月の商品の事前ボラティリティ</w:t>
      </w:r>
      <m:oMath>
        <m:r>
          <w:rPr>
            <w:rFonts w:ascii="Cambria Math" w:hAnsi="Cambria Math"/>
          </w:rPr>
          <m:t>1/</m:t>
        </m:r>
        <m:sSubSup>
          <m:sSubSupPr>
            <m:ctrlPr>
              <w:rPr>
                <w:rFonts w:ascii="Cambria Math" w:hAnsi="Cambria Math"/>
                <w:i/>
              </w:rPr>
            </m:ctrlPr>
          </m:sSubSupPr>
          <m:e>
            <m:r>
              <w:rPr>
                <w:rFonts w:ascii="Cambria Math" w:hAnsi="Cambria Math"/>
              </w:rPr>
              <m:t>σ</m:t>
            </m:r>
          </m:e>
          <m:sub>
            <m:r>
              <w:rPr>
                <w:rFonts w:ascii="Cambria Math" w:hAnsi="Cambria Math"/>
              </w:rPr>
              <m:t>t-1</m:t>
            </m:r>
          </m:sub>
          <m:sup>
            <m:r>
              <w:rPr>
                <w:rFonts w:ascii="Cambria Math" w:hAnsi="Cambria Math"/>
              </w:rPr>
              <m:t>s</m:t>
            </m:r>
          </m:sup>
        </m:sSubSup>
      </m:oMath>
      <w:r>
        <w:t xml:space="preserve"> に反比例するように設定する。</w:t>
      </w:r>
      <w:r>
        <w:rPr>
          <w:rFonts w:hint="eastAsia"/>
        </w:rPr>
        <w:t>各戦略の各ポジションが一定の事前ボラティリティを持つようにサイズを設定することは、</w:t>
      </w:r>
      <w:r>
        <w:t>2つの理由で有用である。第一に、ボラティリティが大きく異なる商品間の戦略を集計することが容易になる。第 2 に，比較的安定したボラティリティの時系列を持つことにより，戦略が少数のボラティリティの高い期間に支配されないようにすることが計量経済学的に有効である。</w:t>
      </w:r>
    </w:p>
    <w:p w14:paraId="1E289794" w14:textId="77777777" w:rsidR="00327B10" w:rsidRPr="00DA1434" w:rsidRDefault="00327B10" w:rsidP="008224D6">
      <w:pPr>
        <w:pStyle w:val="a2"/>
      </w:pPr>
    </w:p>
    <w:p w14:paraId="72422B0A" w14:textId="6D4397D3" w:rsidR="00327B10" w:rsidRDefault="00676E3F" w:rsidP="00676E3F">
      <w:pPr>
        <w:pStyle w:val="a2"/>
      </w:pPr>
      <w:r>
        <w:rPr>
          <w:rFonts w:hint="eastAsia"/>
        </w:rPr>
        <w:t>各取引戦略</w:t>
      </w:r>
      <m:oMath>
        <m:r>
          <w:rPr>
            <w:rFonts w:ascii="Cambria Math" w:hAnsi="Cambria Math"/>
          </w:rPr>
          <m:t>(k,h)</m:t>
        </m:r>
      </m:oMath>
      <w:r>
        <w:t>について、保有期間hが1ヶ月以上であっても、月次リターンの時系列を1つ導出します。</w:t>
      </w:r>
      <w:r>
        <w:rPr>
          <w:rFonts w:hint="eastAsia"/>
        </w:rPr>
        <w:t>したがって、観測値が重なることはない。</w:t>
      </w:r>
      <w:proofErr w:type="spellStart"/>
      <w:r>
        <w:t>Jegadeesh</w:t>
      </w:r>
      <w:proofErr w:type="spellEnd"/>
      <w:r>
        <w:t xml:space="preserve"> and Titman (1993)が用いた方法に従い、この単一の時系列のリターンを導出する。時刻 </w:t>
      </w:r>
      <m:oMath>
        <m:r>
          <w:rPr>
            <w:rFonts w:ascii="Cambria Math" w:hAnsi="Cambria Math"/>
          </w:rPr>
          <m:t>t</m:t>
        </m:r>
      </m:oMath>
      <w:r>
        <w:t xml:space="preserve"> のリターンは、その時点のすべてのポートフォリオの平均リターン、すなわち、先月構築されたポートフォリオ、その前月 （保有期間 </w:t>
      </w:r>
      <m:oMath>
        <m:r>
          <w:rPr>
            <w:rFonts w:ascii="Cambria Math" w:hAnsi="Cambria Math"/>
          </w:rPr>
          <m:t>h</m:t>
        </m:r>
      </m:oMath>
      <w:r>
        <w:t xml:space="preserve"> が 2 以上の場合はまだ保有している）、そして現在 「アクティブ」なすべてのポートフォリオのリターンを表している。</w:t>
      </w:r>
    </w:p>
    <w:p w14:paraId="3743746D" w14:textId="77777777" w:rsidR="00327B10" w:rsidRDefault="00327B10" w:rsidP="008224D6">
      <w:pPr>
        <w:pStyle w:val="a2"/>
      </w:pPr>
    </w:p>
    <w:p w14:paraId="360C0CD4" w14:textId="5DAFF091" w:rsidR="00B27D31" w:rsidRDefault="00B27D31" w:rsidP="00B27D31">
      <w:pPr>
        <w:pStyle w:val="a2"/>
      </w:pPr>
      <w:r>
        <w:rPr>
          <w:rFonts w:hint="eastAsia"/>
        </w:rPr>
        <w:t>具体的には、各商品について、時刻</w:t>
      </w:r>
      <m:oMath>
        <m:r>
          <w:rPr>
            <w:rFonts w:ascii="Cambria Math" w:hAnsi="Cambria Math"/>
          </w:rPr>
          <m:t>t-k-1</m:t>
        </m:r>
      </m:oMath>
      <w:r>
        <w:t>から</w:t>
      </w:r>
      <m:oMath>
        <m:r>
          <w:rPr>
            <w:rFonts w:ascii="Cambria Math" w:hAnsi="Cambria Math"/>
          </w:rPr>
          <m:t>t</m:t>
        </m:r>
        <m:r>
          <w:rPr>
            <w:rFonts w:ascii="Cambria Math" w:hAnsi="Cambria Math"/>
          </w:rPr>
          <m:t>-</m:t>
        </m:r>
        <m:r>
          <w:rPr>
            <w:rFonts w:ascii="Cambria Math" w:hAnsi="Cambria Math"/>
          </w:rPr>
          <m:t>1</m:t>
        </m:r>
      </m:oMath>
      <w:r>
        <w:t>までの過去のリターンの符号に基づいてtime-tリターンを計算します。次に、</w:t>
      </w:r>
      <m:oMath>
        <m:r>
          <w:rPr>
            <w:rFonts w:ascii="Cambria Math" w:hAnsi="Cambria Math"/>
          </w:rPr>
          <m:t>t-k-2</m:t>
        </m:r>
      </m:oMath>
      <w:r>
        <w:t xml:space="preserve"> から </w:t>
      </w:r>
      <m:oMath>
        <m:r>
          <w:rPr>
            <w:rFonts w:ascii="Cambria Math" w:hAnsi="Cambria Math"/>
          </w:rPr>
          <m:t>t</m:t>
        </m:r>
        <m:r>
          <w:rPr>
            <w:rFonts w:ascii="Cambria Math" w:hAnsi="Cambria Math"/>
          </w:rPr>
          <m:t>-</m:t>
        </m:r>
        <m:r>
          <w:rPr>
            <w:rFonts w:ascii="Cambria Math" w:hAnsi="Cambria Math"/>
          </w:rPr>
          <m:t>2</m:t>
        </m:r>
      </m:oMath>
      <w:r>
        <w:t xml:space="preserve"> までの過去のリターンの符号に基づいて time-t リターンを計算し、</w:t>
      </w:r>
      <m:oMath>
        <m:r>
          <w:rPr>
            <w:rFonts w:ascii="Cambria Math" w:hAnsi="Cambria Math"/>
          </w:rPr>
          <m:t>t-k</m:t>
        </m:r>
        <m:r>
          <w:rPr>
            <w:rFonts w:ascii="Cambria Math" w:hAnsi="Cambria Math"/>
          </w:rPr>
          <m:t>-</m:t>
        </m:r>
        <m:r>
          <w:rPr>
            <w:rFonts w:ascii="Cambria Math" w:hAnsi="Cambria Math"/>
          </w:rPr>
          <m:t>h</m:t>
        </m:r>
      </m:oMath>
      <w:r>
        <w:t xml:space="preserve"> から </w:t>
      </w:r>
      <m:oMath>
        <m:r>
          <w:rPr>
            <w:rFonts w:ascii="Cambria Math" w:hAnsi="Cambria Math"/>
          </w:rPr>
          <m:t>t</m:t>
        </m:r>
        <m:r>
          <w:rPr>
            <w:rFonts w:ascii="Cambria Math" w:hAnsi="Cambria Math"/>
          </w:rPr>
          <m:t>-</m:t>
        </m:r>
        <m:r>
          <w:rPr>
            <w:rFonts w:ascii="Cambria Math" w:hAnsi="Cambria Math"/>
          </w:rPr>
          <m:t>h</m:t>
        </m:r>
      </m:oMath>
      <w:r>
        <w:t xml:space="preserve"> までの最終的な過去のリターンに基づく time-t リターンを計算するまで、これを繰り返す。</w:t>
      </w:r>
      <w:r>
        <w:rPr>
          <w:rFonts w:hint="eastAsia"/>
        </w:rPr>
        <w:t>各</w:t>
      </w:r>
      <m:oMath>
        <m:r>
          <w:rPr>
            <w:rFonts w:ascii="Cambria Math" w:hAnsi="Cambria Math"/>
          </w:rPr>
          <m:t>(k,h)</m:t>
        </m:r>
      </m:oMath>
      <w:r>
        <w:t xml:space="preserve">について，これら </w:t>
      </w:r>
      <m:oMath>
        <m:r>
          <w:rPr>
            <w:rFonts w:ascii="Cambria Math" w:hAnsi="Cambria Math"/>
          </w:rPr>
          <m:t>h</m:t>
        </m:r>
      </m:oMath>
      <w:r>
        <w:t xml:space="preserve"> 個の現在「アクティブ」なポ ートフォリオ（つまり，買ったばかりのポートフォリオと過去に買ってまだ保有しているポートフォリオ）の平均リターンを計算して，月次リターンの時系列を1つ得る。</w:t>
      </w:r>
      <w:r>
        <w:rPr>
          <w:rFonts w:hint="eastAsia"/>
        </w:rPr>
        <w:t>すべての商品（または資産クラス内のすべての商品）のリターンを平均し、時系列モメンタム戦略リターン</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TSMOM</m:t>
            </m:r>
            <m:d>
              <m:dPr>
                <m:ctrlPr>
                  <w:rPr>
                    <w:rFonts w:ascii="Cambria Math" w:hAnsi="Cambria Math"/>
                    <w:i/>
                  </w:rPr>
                </m:ctrlPr>
              </m:dPr>
              <m:e>
                <m:r>
                  <w:rPr>
                    <w:rFonts w:ascii="Cambria Math" w:hAnsi="Cambria Math"/>
                  </w:rPr>
                  <m:t>k,h</m:t>
                </m:r>
              </m:e>
            </m:d>
          </m:sup>
        </m:sSubSup>
      </m:oMath>
      <w:r>
        <w:t>を得る。</w:t>
      </w:r>
    </w:p>
    <w:p w14:paraId="61791D1E" w14:textId="77777777" w:rsidR="00B27D31" w:rsidRDefault="00B27D31" w:rsidP="008224D6">
      <w:pPr>
        <w:pStyle w:val="a2"/>
      </w:pPr>
    </w:p>
    <w:p w14:paraId="718626FD" w14:textId="14BD167C" w:rsidR="006F3890" w:rsidRDefault="00815DE6" w:rsidP="008224D6">
      <w:pPr>
        <w:pStyle w:val="a2"/>
      </w:pPr>
      <w:r w:rsidRPr="00815DE6">
        <w:rPr>
          <w:rFonts w:hint="eastAsia"/>
        </w:rPr>
        <w:t>これらの戦略の異常なパフォーマンスを評価するために、以下の回帰からアルファを計算する。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815DE6" w14:paraId="239A2625" w14:textId="77777777" w:rsidTr="00573E1D">
        <w:tc>
          <w:tcPr>
            <w:tcW w:w="8926" w:type="dxa"/>
          </w:tcPr>
          <w:p w14:paraId="48C1E0DB" w14:textId="359B4F53" w:rsidR="00815DE6" w:rsidRDefault="00815DE6" w:rsidP="00573E1D">
            <w:pPr>
              <w:pStyle w:val="a2"/>
              <w:ind w:firstLineChars="0" w:firstLine="0"/>
              <w:rPr>
                <w:rFonts w:hint="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TSMOM</m:t>
                    </m:r>
                    <m:d>
                      <m:dPr>
                        <m:ctrlPr>
                          <w:rPr>
                            <w:rFonts w:ascii="Cambria Math" w:hAnsi="Cambria Math"/>
                            <w:i/>
                          </w:rPr>
                        </m:ctrlPr>
                      </m:dPr>
                      <m:e>
                        <m:r>
                          <w:rPr>
                            <w:rFonts w:ascii="Cambria Math" w:hAnsi="Cambria Math"/>
                          </w:rPr>
                          <m:t>k,h</m:t>
                        </m:r>
                      </m:e>
                    </m:d>
                  </m:sup>
                </m:sSubSup>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BON</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GSC</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+sSM</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+hHM</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+mUM</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ϵ</m:t>
                    </m:r>
                  </m:e>
                  <m:sub>
                    <m:r>
                      <w:rPr>
                        <w:rFonts w:ascii="Cambria Math" w:hAnsi="Cambria Math"/>
                      </w:rPr>
                      <m:t>t</m:t>
                    </m:r>
                  </m:sub>
                  <m:sup/>
                </m:sSubSup>
                <m:r>
                  <w:rPr>
                    <w:rFonts w:ascii="Cambria Math" w:hAnsi="Cambria Math"/>
                  </w:rPr>
                  <m:t xml:space="preserve"> </m:t>
                </m:r>
              </m:oMath>
            </m:oMathPara>
          </w:p>
        </w:tc>
        <w:tc>
          <w:tcPr>
            <w:tcW w:w="1530" w:type="dxa"/>
            <w:vAlign w:val="center"/>
          </w:tcPr>
          <w:p w14:paraId="50DC0434" w14:textId="77777777" w:rsidR="00815DE6" w:rsidRDefault="00815DE6" w:rsidP="00573E1D">
            <w:pPr>
              <w:pStyle w:val="a2"/>
              <w:ind w:firstLineChars="0" w:firstLine="0"/>
              <w:jc w:val="center"/>
              <w:rPr>
                <w:rFonts w:hint="eastAsia"/>
              </w:rPr>
            </w:pPr>
            <w:r>
              <w:rPr>
                <w:rFonts w:hint="eastAsia"/>
              </w:rPr>
              <w:t>(</w:t>
            </w:r>
            <w:r>
              <w:t>3)</w:t>
            </w:r>
          </w:p>
        </w:tc>
      </w:tr>
    </w:tbl>
    <w:p w14:paraId="110D0987" w14:textId="77777777" w:rsidR="006F3890" w:rsidRDefault="006F3890" w:rsidP="008224D6">
      <w:pPr>
        <w:pStyle w:val="a2"/>
      </w:pPr>
    </w:p>
    <w:p w14:paraId="145D5AB5" w14:textId="596D1456" w:rsidR="006F3890" w:rsidRPr="00C02EE4" w:rsidRDefault="00845BD9" w:rsidP="00845BD9">
      <w:pPr>
        <w:pStyle w:val="a2"/>
        <w:ind w:firstLineChars="0" w:firstLine="0"/>
        <w:rPr>
          <w:rFonts w:hint="eastAsia"/>
        </w:rPr>
      </w:pPr>
      <w:r w:rsidRPr="00845BD9">
        <w:rPr>
          <w:rFonts w:hint="eastAsia"/>
        </w:rPr>
        <w:t>ここで，</w:t>
      </w:r>
      <w:r w:rsidRPr="00845BD9">
        <w:t xml:space="preserve">3つの主要な資産クラス-株式市場MKT （MSCI World Indexの超過収益率で代用），債券市場BOND （Barclays Aggregate Bond Indexで代用），商品市場GSCI （S&amp;P GSCI Indexで代用）へのパッシブ・エクスポージャーと， サイズ，バリュー，（クロスセクション）モメンタムの標準 </w:t>
      </w:r>
      <w:proofErr w:type="spellStart"/>
      <w:r w:rsidRPr="00845BD9">
        <w:t>Fama</w:t>
      </w:r>
      <w:proofErr w:type="spellEnd"/>
      <w:r w:rsidRPr="00845BD9">
        <w:t>-French stock market factor SMB, HML, UMD をコントロールしている。</w:t>
      </w:r>
    </w:p>
    <w:p w14:paraId="1C231D83" w14:textId="77777777" w:rsidR="00B27D31" w:rsidRDefault="00B27D31" w:rsidP="008224D6">
      <w:pPr>
        <w:pStyle w:val="a2"/>
      </w:pPr>
    </w:p>
    <w:p w14:paraId="6ABFF454" w14:textId="7613FFAA" w:rsidR="00B27D31" w:rsidRDefault="002D673C" w:rsidP="002D673C">
      <w:pPr>
        <w:pStyle w:val="a2"/>
      </w:pPr>
      <w:r>
        <w:rPr>
          <w:rFonts w:hint="eastAsia"/>
        </w:rPr>
        <w:t>時系列モメンタム戦略の評価では、包括的な金融商品のデータがあり</w:t>
      </w:r>
      <w:r>
        <w:t xml:space="preserve"> (表 1 参照)、市場が大きな流動性を持っていたことを確認するために、1985 年からの サンプルに依存しました。1965 年までさかのぼった古いデータでも同様の結果(一般的により有意)が得られますが、この時期の商品の幅と流動性はより限られているため、1985 年以降の結果を報告します。</w:t>
      </w:r>
    </w:p>
    <w:p w14:paraId="4E627243" w14:textId="77777777" w:rsidR="00B27D31" w:rsidRDefault="00B27D31" w:rsidP="008224D6">
      <w:pPr>
        <w:pStyle w:val="a2"/>
      </w:pPr>
    </w:p>
    <w:p w14:paraId="53FFE5B3" w14:textId="6F3DDDB1" w:rsidR="00F11785" w:rsidRDefault="00F11785" w:rsidP="008224D6">
      <w:pPr>
        <w:pStyle w:val="a2"/>
      </w:pPr>
      <w:r w:rsidRPr="00F11785">
        <w:rPr>
          <w:rFonts w:hint="eastAsia"/>
        </w:rPr>
        <w:t>表</w:t>
      </w:r>
      <w:r w:rsidRPr="00F11785">
        <w:t>2は、各資産クラスおよび全資産にわたって推定されたアルファのt統計量を示している。時系列モメンタムの存在と有意性は、特にルックバック期間と保有期間が12ヶ月以下の場合、水平軸や資産クラスを超えて頑健であることが確認された。また、株価指数先物の現物指数を用いた場合、時系列モメンタムの結果がほぼ一致</w:t>
      </w:r>
      <w:r w:rsidRPr="00F11785">
        <w:lastRenderedPageBreak/>
        <w:t>することを確認した。他のアセットクラスには現物指数がない。</w:t>
      </w:r>
    </w:p>
    <w:p w14:paraId="651B78D3" w14:textId="38D63AEB" w:rsidR="00F11785" w:rsidRDefault="00980615" w:rsidP="008F21A6">
      <w:pPr>
        <w:pStyle w:val="a2"/>
        <w:ind w:firstLineChars="0" w:firstLine="0"/>
        <w:jc w:val="center"/>
        <w:rPr>
          <w:rFonts w:hint="eastAsia"/>
        </w:rPr>
      </w:pPr>
      <w:r>
        <w:rPr>
          <w:noProof/>
        </w:rPr>
        <w:drawing>
          <wp:inline distT="0" distB="0" distL="0" distR="0" wp14:anchorId="0D9F22EA" wp14:editId="16CF8EDD">
            <wp:extent cx="6555800" cy="8057525"/>
            <wp:effectExtent l="0" t="0" r="0" b="63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62217" cy="8065412"/>
                    </a:xfrm>
                    <a:prstGeom prst="rect">
                      <a:avLst/>
                    </a:prstGeom>
                  </pic:spPr>
                </pic:pic>
              </a:graphicData>
            </a:graphic>
          </wp:inline>
        </w:drawing>
      </w:r>
    </w:p>
    <w:p w14:paraId="055A4C3A" w14:textId="33A87207" w:rsidR="008F21A6" w:rsidRDefault="008F21A6">
      <w:pPr>
        <w:widowControl/>
        <w:jc w:val="left"/>
      </w:pPr>
      <w:r>
        <w:br w:type="page"/>
      </w:r>
    </w:p>
    <w:p w14:paraId="602B43CB" w14:textId="46C70522" w:rsidR="00327B10" w:rsidRDefault="003942CC" w:rsidP="008F21A6">
      <w:pPr>
        <w:pStyle w:val="1"/>
      </w:pPr>
      <w:r w:rsidRPr="003942CC">
        <w:lastRenderedPageBreak/>
        <w:t>Time series momentum factor</w:t>
      </w:r>
    </w:p>
    <w:p w14:paraId="55E38732" w14:textId="4616F232" w:rsidR="003942CC" w:rsidRDefault="009D3544" w:rsidP="003942CC">
      <w:pPr>
        <w:pStyle w:val="a2"/>
      </w:pPr>
      <w:r w:rsidRPr="009D3544">
        <w:rPr>
          <w:rFonts w:hint="eastAsia"/>
        </w:rPr>
        <w:t>時系列モメンタムをより深く分析するために、</w:t>
      </w:r>
      <w:r w:rsidRPr="009D3544">
        <w:t>1つの時系列モメンタム戦略に注目します。クロスセクショナル・モメンタムの文献で使用されている慣例に従い（そして図 1 と表 2 の結果に基づいて）、保有期間 1 ヵ月の 12 ヵ月モメンタム戦略（例えば、</w:t>
      </w:r>
      <m:oMath>
        <m:r>
          <w:rPr>
            <w:rFonts w:ascii="Cambria Math" w:hAnsi="Cambria Math" w:hint="eastAsia"/>
          </w:rPr>
          <m:t>k</m:t>
        </m:r>
        <m:r>
          <w:rPr>
            <w:rFonts w:ascii="Cambria Math" w:hAnsi="Cambria Math"/>
          </w:rPr>
          <m:t>=12</m:t>
        </m:r>
      </m:oMath>
      <w:r w:rsidRPr="009D3544">
        <w:t xml:space="preserve"> と </w:t>
      </w:r>
      <m:oMath>
        <m:r>
          <w:rPr>
            <w:rFonts w:ascii="Cambria Math" w:hAnsi="Cambria Math"/>
          </w:rPr>
          <m:t>h</m:t>
        </m:r>
        <m:r>
          <w:rPr>
            <w:rFonts w:ascii="Cambria Math" w:hAnsi="Cambria Math"/>
          </w:rPr>
          <m:t>=</m:t>
        </m:r>
        <m:r>
          <w:rPr>
            <w:rFonts w:ascii="Cambria Math" w:hAnsi="Cambria Math"/>
          </w:rPr>
          <m:t>1</m:t>
        </m:r>
      </m:oMath>
      <w:r w:rsidRPr="009D3544">
        <w:t>） の特性に注目します（単に TSMOM と呼ぶことにします）。</w:t>
      </w:r>
    </w:p>
    <w:p w14:paraId="2EF19C91" w14:textId="77777777" w:rsidR="001E04D8" w:rsidRDefault="001E04D8" w:rsidP="003942CC">
      <w:pPr>
        <w:pStyle w:val="a2"/>
      </w:pPr>
    </w:p>
    <w:p w14:paraId="354EDEBE" w14:textId="1CBE40EB" w:rsidR="001E04D8" w:rsidRDefault="001E04D8" w:rsidP="001E04D8">
      <w:pPr>
        <w:pStyle w:val="20"/>
      </w:pPr>
      <w:r w:rsidRPr="001E04D8">
        <w:t>TSMOM by security and the diversified TSMOM factor</w:t>
      </w:r>
    </w:p>
    <w:p w14:paraId="55A3921A" w14:textId="40906EB4" w:rsidR="009241F1" w:rsidRPr="009241F1" w:rsidRDefault="005D4017" w:rsidP="005D4017">
      <w:pPr>
        <w:pStyle w:val="a2"/>
        <w:rPr>
          <w:rFonts w:hint="eastAsia"/>
        </w:rPr>
      </w:pPr>
      <w:r>
        <w:rPr>
          <w:rFonts w:hint="eastAsia"/>
        </w:rPr>
        <w:t>まず、各商品と資産を個別に検討し、次にすべての資産を分散された</w:t>
      </w:r>
      <w:r>
        <w:t xml:space="preserve">TSMOMポートフォリオにプールします。各ポジション（ロングまたはショート）のサイズは、年率換算の事前ボラティリティが40%になるように設定します。すなわち、ポジションのサイズは </w:t>
      </w:r>
      <m:oMath>
        <m:r>
          <w:rPr>
            <w:rFonts w:ascii="Cambria Math" w:hAnsi="Cambria Math"/>
          </w:rPr>
          <m:t>40%/</m:t>
        </m:r>
        <m:sSub>
          <m:sSubPr>
            <m:ctrlPr>
              <w:rPr>
                <w:rFonts w:ascii="Cambria Math" w:hAnsi="Cambria Math"/>
                <w:i/>
              </w:rPr>
            </m:ctrlPr>
          </m:sSubPr>
          <m:e>
            <m:r>
              <w:rPr>
                <w:rFonts w:ascii="Cambria Math" w:hAnsi="Cambria Math"/>
              </w:rPr>
              <m:t>σ</m:t>
            </m:r>
          </m:e>
          <m:sub>
            <m:r>
              <w:rPr>
                <w:rFonts w:ascii="Cambria Math" w:hAnsi="Cambria Math"/>
              </w:rPr>
              <m:t>t-1</m:t>
            </m:r>
          </m:sub>
        </m:sSub>
        <m:r>
          <w:rPr>
            <w:rFonts w:ascii="Cambria Math" w:hAnsi="Cambria Math"/>
          </w:rPr>
          <m:t xml:space="preserve"> </m:t>
        </m:r>
      </m:oMath>
      <w:r>
        <w:t xml:space="preserve"> とし、</w:t>
      </w:r>
      <m:oMath>
        <m:sSub>
          <m:sSubPr>
            <m:ctrlPr>
              <w:rPr>
                <w:rFonts w:ascii="Cambria Math" w:hAnsi="Cambria Math"/>
                <w:i/>
              </w:rPr>
            </m:ctrlPr>
          </m:sSubPr>
          <m:e>
            <m:r>
              <w:rPr>
                <w:rFonts w:ascii="Cambria Math" w:hAnsi="Cambria Math"/>
              </w:rPr>
              <m:t>σ</m:t>
            </m:r>
          </m:e>
          <m:sub>
            <m:r>
              <w:rPr>
                <w:rFonts w:ascii="Cambria Math" w:hAnsi="Cambria Math"/>
              </w:rPr>
              <m:t>t-1</m:t>
            </m:r>
          </m:sub>
        </m:sSub>
      </m:oMath>
      <w:r>
        <w:t xml:space="preserve"> は前述のように契約の事前ボラティリティの推定値である。40％という選択は重要ではないが、これによって我々のポートフォリオと他の文献のポートフォリオを直感的に比較することが容易になる。40％の年間ボラティリティが選ばれた理由は、平均的な個別株 のリスクに近いからであり、TSMOM ファクターを表す証券のポートフォリオを形成するために、すべての証券（等加重）の リターンを平均すると、サンプル期間 1985 年から 2009 年の年率 12％のボラティリティとなり、これは </w:t>
      </w:r>
      <w:proofErr w:type="spellStart"/>
      <w:r>
        <w:t>Fama</w:t>
      </w:r>
      <w:proofErr w:type="spellEnd"/>
      <w:r>
        <w:t xml:space="preserve"> and French (1993) や </w:t>
      </w:r>
      <w:proofErr w:type="spellStart"/>
      <w:r>
        <w:t>Asness</w:t>
      </w:r>
      <w:proofErr w:type="spellEnd"/>
      <w:r>
        <w:t>, Moskowitz, and Pedersen (2010) など他の要因によって示されたボラティリティとほぼ同じレベルである。したがって、時間</w:t>
      </w:r>
      <m:oMath>
        <m:r>
          <w:rPr>
            <w:rFonts w:ascii="Cambria Math" w:hAnsi="Cambria Math"/>
          </w:rPr>
          <m:t>t</m:t>
        </m:r>
      </m:oMath>
      <w:r>
        <w:t>における任意の商品</w:t>
      </w:r>
      <m:oMath>
        <m:r>
          <w:rPr>
            <w:rFonts w:ascii="Cambria Math" w:hAnsi="Cambria Math"/>
          </w:rPr>
          <m:t>s</m:t>
        </m:r>
      </m:oMath>
      <w:r>
        <w:t>のTSMOMリターンは、次のようになります。</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607743" w14:paraId="49B7429C" w14:textId="77777777" w:rsidTr="00573E1D">
        <w:tc>
          <w:tcPr>
            <w:tcW w:w="8926" w:type="dxa"/>
          </w:tcPr>
          <w:p w14:paraId="60F310F2" w14:textId="4C1F7D75" w:rsidR="00607743" w:rsidRDefault="00607743" w:rsidP="00573E1D">
            <w:pPr>
              <w:pStyle w:val="a2"/>
              <w:ind w:firstLineChars="0" w:firstLine="0"/>
              <w:rPr>
                <w:rFonts w:hint="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t</m:t>
                    </m:r>
                    <m:r>
                      <w:rPr>
                        <w:rFonts w:ascii="Cambria Math" w:hAnsi="Cambria Math"/>
                      </w:rPr>
                      <m:t>,t+1</m:t>
                    </m:r>
                  </m:sub>
                  <m:sup>
                    <m:r>
                      <w:rPr>
                        <w:rFonts w:ascii="Cambria Math" w:hAnsi="Cambria Math"/>
                      </w:rPr>
                      <m:t>TSMOM</m:t>
                    </m:r>
                    <m:r>
                      <w:rPr>
                        <w:rFonts w:ascii="Cambria Math" w:hAnsi="Cambria Math"/>
                      </w:rPr>
                      <m:t>,s</m:t>
                    </m:r>
                  </m:sup>
                </m:sSubSup>
                <m:r>
                  <w:rPr>
                    <w:rFonts w:ascii="Cambria Math" w:hAnsi="Cambria Math"/>
                  </w:rPr>
                  <m:t>=</m:t>
                </m:r>
                <m:r>
                  <w:rPr>
                    <w:rFonts w:ascii="Cambria Math" w:hAnsi="Cambria Math"/>
                  </w:rPr>
                  <m:t>sign</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t-12,t</m:t>
                        </m:r>
                      </m:sub>
                      <m:sup>
                        <m:r>
                          <w:rPr>
                            <w:rFonts w:ascii="Cambria Math" w:hAnsi="Cambria Math"/>
                          </w:rPr>
                          <m:t>s</m:t>
                        </m:r>
                      </m:sup>
                    </m:sSubSup>
                  </m:e>
                </m:d>
                <m:f>
                  <m:fPr>
                    <m:ctrlPr>
                      <w:rPr>
                        <w:rFonts w:ascii="Cambria Math" w:hAnsi="Cambria Math"/>
                        <w:i/>
                      </w:rPr>
                    </m:ctrlPr>
                  </m:fPr>
                  <m:num>
                    <m:r>
                      <w:rPr>
                        <w:rFonts w:ascii="Cambria Math" w:hAnsi="Cambria Math"/>
                      </w:rPr>
                      <m:t>40%</m:t>
                    </m:r>
                  </m:num>
                  <m:den>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s</m:t>
                        </m:r>
                      </m:sup>
                    </m:sSubSup>
                  </m:den>
                </m:f>
                <m:sSubSup>
                  <m:sSubSupPr>
                    <m:ctrlPr>
                      <w:rPr>
                        <w:rFonts w:ascii="Cambria Math" w:hAnsi="Cambria Math"/>
                        <w:i/>
                      </w:rPr>
                    </m:ctrlPr>
                  </m:sSubSupPr>
                  <m:e>
                    <m:r>
                      <w:rPr>
                        <w:rFonts w:ascii="Cambria Math" w:hAnsi="Cambria Math"/>
                      </w:rPr>
                      <m:t>r</m:t>
                    </m:r>
                  </m:e>
                  <m:sub>
                    <m:r>
                      <w:rPr>
                        <w:rFonts w:ascii="Cambria Math" w:hAnsi="Cambria Math"/>
                      </w:rPr>
                      <m:t>t,t+1</m:t>
                    </m:r>
                  </m:sub>
                  <m:sup>
                    <m:r>
                      <w:rPr>
                        <w:rFonts w:ascii="Cambria Math" w:hAnsi="Cambria Math"/>
                      </w:rPr>
                      <m:t>s</m:t>
                    </m:r>
                  </m:sup>
                </m:sSubSup>
              </m:oMath>
            </m:oMathPara>
          </w:p>
        </w:tc>
        <w:tc>
          <w:tcPr>
            <w:tcW w:w="1530" w:type="dxa"/>
            <w:vAlign w:val="center"/>
          </w:tcPr>
          <w:p w14:paraId="67DDF971" w14:textId="36A3286C" w:rsidR="00607743" w:rsidRDefault="00607743" w:rsidP="00573E1D">
            <w:pPr>
              <w:pStyle w:val="a2"/>
              <w:ind w:firstLineChars="0" w:firstLine="0"/>
              <w:jc w:val="center"/>
              <w:rPr>
                <w:rFonts w:hint="eastAsia"/>
              </w:rPr>
            </w:pPr>
            <w:r>
              <w:rPr>
                <w:rFonts w:hint="eastAsia"/>
              </w:rPr>
              <w:t>(</w:t>
            </w:r>
            <w:r w:rsidR="00D60F6F">
              <w:t>5</w:t>
            </w:r>
            <w:r>
              <w:t>)</w:t>
            </w:r>
          </w:p>
        </w:tc>
      </w:tr>
    </w:tbl>
    <w:p w14:paraId="7AD92F6C" w14:textId="77777777" w:rsidR="004C2ADC" w:rsidRDefault="004C2ADC" w:rsidP="00607743">
      <w:pPr>
        <w:pStyle w:val="a2"/>
        <w:ind w:firstLineChars="0" w:firstLine="0"/>
        <w:rPr>
          <w:rFonts w:hint="eastAsia"/>
        </w:rPr>
      </w:pPr>
    </w:p>
    <w:p w14:paraId="244432F5" w14:textId="0C307C82" w:rsidR="004C2ADC" w:rsidRDefault="008D693E" w:rsidP="008D693E">
      <w:pPr>
        <w:pStyle w:val="a2"/>
      </w:pPr>
      <w:r>
        <w:rPr>
          <w:rFonts w:hint="eastAsia"/>
        </w:rPr>
        <w:t>このリターンは，</w:t>
      </w:r>
      <w:r>
        <w:t>1985 年 1 月から 2009 年 12 月までの各商品と利用可能な各月について計算したものである。</w:t>
      </w:r>
      <w:r>
        <w:rPr>
          <w:rFonts w:hint="eastAsia"/>
        </w:rPr>
        <w:t>図</w:t>
      </w:r>
      <w:r>
        <w:t xml:space="preserve"> 2 の上部は，これらの戦略の年率換算したシャープ比 を，各先物商品についてプロットしたものである。図が示すように、すべての先物商品が、過去の 1 年間のリターンから正の予測性を示している。58 の先物取引はすべて正の時系列モメンタムリターンを示し、52 は 5%の有意水準でゼロから統計的に異なっている。</w:t>
      </w:r>
    </w:p>
    <w:p w14:paraId="754661B1" w14:textId="77777777" w:rsidR="004C2ADC" w:rsidRDefault="004C2ADC" w:rsidP="003942CC">
      <w:pPr>
        <w:pStyle w:val="a2"/>
      </w:pPr>
    </w:p>
    <w:p w14:paraId="11BF42D2" w14:textId="4D53108B" w:rsidR="00CF0ADC" w:rsidRDefault="003214F8" w:rsidP="003942CC">
      <w:pPr>
        <w:pStyle w:val="a2"/>
      </w:pPr>
      <w:r w:rsidRPr="003214F8">
        <w:rPr>
          <w:rFonts w:hint="eastAsia"/>
        </w:rPr>
        <w:t>各証券の</w:t>
      </w:r>
      <w:r w:rsidRPr="003214F8">
        <w:t xml:space="preserve"> TSMOM 戦略を常にロングでいる戦略に回帰させると（すなわち、式（5）の ''符号''を1に置き換えると）、90％のケースで正のアルファが得られる（そのうち26％は統計的に有意、少数の負のものはどれも有意でない）。したがって、時系列モメンタム戦略は、ほとんどの商品でパッシブ・ロング・ポジションを超える追加的なリターンを提供する。</w:t>
      </w:r>
    </w:p>
    <w:p w14:paraId="6A0C5B68" w14:textId="77777777" w:rsidR="00CF0ADC" w:rsidRDefault="00CF0ADC" w:rsidP="003942CC">
      <w:pPr>
        <w:pStyle w:val="a2"/>
      </w:pPr>
    </w:p>
    <w:p w14:paraId="7861C290" w14:textId="3FBA1995" w:rsidR="00CF0ADC" w:rsidRDefault="00DF4577" w:rsidP="006970A0">
      <w:pPr>
        <w:pStyle w:val="a2"/>
      </w:pPr>
      <w:r w:rsidRPr="00DF4577">
        <w:rPr>
          <w:rFonts w:hint="eastAsia"/>
        </w:rPr>
        <w:t>時刻</w:t>
      </w:r>
      <w:r w:rsidRPr="00DF4577">
        <w:t xml:space="preserve"> </w:t>
      </w:r>
      <m:oMath>
        <m:r>
          <w:rPr>
            <w:rFonts w:ascii="Cambria Math" w:hAnsi="Cambria Math"/>
          </w:rPr>
          <m:t>t</m:t>
        </m:r>
      </m:oMath>
      <w:r w:rsidRPr="00DF4577">
        <w:t xml:space="preserve"> に利用可能なすべての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DF4577">
        <w:t xml:space="preserve"> 証券に分散する戦略の総合リターンは</w:t>
      </w:r>
      <w:r w:rsidR="0072378C">
        <w:rPr>
          <w:rFonts w:hint="eastAsia"/>
        </w:rPr>
        <w:t>以下の通り．</w:t>
      </w:r>
      <w:r w:rsidR="006970A0">
        <w:rPr>
          <w:rFonts w:hint="eastAsia"/>
        </w:rPr>
        <w:t>次に、この要因のリスクとリターンを詳細に分析する。また、同様に構築されたアセットクラス別の</w:t>
      </w:r>
      <w:r w:rsidR="006970A0">
        <w:t>TSMOM戦略についても検討する。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CD1323" w14:paraId="7027D450" w14:textId="77777777" w:rsidTr="00573E1D">
        <w:tc>
          <w:tcPr>
            <w:tcW w:w="8926" w:type="dxa"/>
          </w:tcPr>
          <w:p w14:paraId="74DEA25D" w14:textId="25C6863A" w:rsidR="00CD1323" w:rsidRDefault="00CD1323" w:rsidP="00573E1D">
            <w:pPr>
              <w:pStyle w:val="a2"/>
              <w:ind w:firstLineChars="0" w:firstLine="0"/>
              <w:rPr>
                <w:rFonts w:hint="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t,t+1</m:t>
                    </m:r>
                  </m:sub>
                  <m:sup>
                    <m:r>
                      <w:rPr>
                        <w:rFonts w:ascii="Cambria Math" w:hAnsi="Cambria Math"/>
                      </w:rPr>
                      <m:t>TSMOM,s</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nary>
                  <m:naryPr>
                    <m:chr m:val="∑"/>
                    <m:ctrlPr>
                      <w:rPr>
                        <w:rFonts w:ascii="Cambria Math" w:hAnsi="Cambria Math"/>
                        <w:i/>
                      </w:rPr>
                    </m:ctrlPr>
                  </m:naryPr>
                  <m:sub>
                    <m:r>
                      <w:rPr>
                        <w:rFonts w:ascii="Cambria Math" w:hAnsi="Cambria Math"/>
                      </w:rPr>
                      <m:t>s=1</m:t>
                    </m:r>
                  </m:sub>
                  <m:sup>
                    <m:sSub>
                      <m:sSubPr>
                        <m:ctrlPr>
                          <w:rPr>
                            <w:rFonts w:ascii="Cambria Math" w:hAnsi="Cambria Math"/>
                            <w:i/>
                          </w:rPr>
                        </m:ctrlPr>
                      </m:sSubPr>
                      <m:e>
                        <m:r>
                          <w:rPr>
                            <w:rFonts w:ascii="Cambria Math" w:hAnsi="Cambria Math"/>
                          </w:rPr>
                          <m:t>S</m:t>
                        </m:r>
                      </m:e>
                      <m:sub>
                        <m:r>
                          <w:rPr>
                            <w:rFonts w:ascii="Cambria Math" w:hAnsi="Cambria Math"/>
                          </w:rPr>
                          <m:t>t</m:t>
                        </m:r>
                      </m:sub>
                    </m:sSub>
                  </m:sup>
                  <m:e>
                    <m:r>
                      <w:rPr>
                        <w:rFonts w:ascii="Cambria Math" w:hAnsi="Cambria Math"/>
                      </w:rPr>
                      <m:t>sign</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t-12,t</m:t>
                            </m:r>
                          </m:sub>
                          <m:sup>
                            <m:r>
                              <w:rPr>
                                <w:rFonts w:ascii="Cambria Math" w:hAnsi="Cambria Math"/>
                              </w:rPr>
                              <m:t>s</m:t>
                            </m:r>
                          </m:sup>
                        </m:sSubSup>
                      </m:e>
                    </m:d>
                    <m:f>
                      <m:fPr>
                        <m:ctrlPr>
                          <w:rPr>
                            <w:rFonts w:ascii="Cambria Math" w:hAnsi="Cambria Math"/>
                            <w:i/>
                          </w:rPr>
                        </m:ctrlPr>
                      </m:fPr>
                      <m:num>
                        <m:r>
                          <w:rPr>
                            <w:rFonts w:ascii="Cambria Math" w:hAnsi="Cambria Math"/>
                          </w:rPr>
                          <m:t>40%</m:t>
                        </m:r>
                      </m:num>
                      <m:den>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s</m:t>
                            </m:r>
                          </m:sup>
                        </m:sSubSup>
                      </m:den>
                    </m:f>
                    <m:sSubSup>
                      <m:sSubSupPr>
                        <m:ctrlPr>
                          <w:rPr>
                            <w:rFonts w:ascii="Cambria Math" w:hAnsi="Cambria Math"/>
                            <w:i/>
                          </w:rPr>
                        </m:ctrlPr>
                      </m:sSubSupPr>
                      <m:e>
                        <m:r>
                          <w:rPr>
                            <w:rFonts w:ascii="Cambria Math" w:hAnsi="Cambria Math"/>
                          </w:rPr>
                          <m:t>r</m:t>
                        </m:r>
                      </m:e>
                      <m:sub>
                        <m:r>
                          <w:rPr>
                            <w:rFonts w:ascii="Cambria Math" w:hAnsi="Cambria Math"/>
                          </w:rPr>
                          <m:t>t,t+1</m:t>
                        </m:r>
                      </m:sub>
                      <m:sup>
                        <m:r>
                          <w:rPr>
                            <w:rFonts w:ascii="Cambria Math" w:hAnsi="Cambria Math"/>
                          </w:rPr>
                          <m:t>s</m:t>
                        </m:r>
                      </m:sup>
                    </m:sSubSup>
                  </m:e>
                </m:nary>
              </m:oMath>
            </m:oMathPara>
          </w:p>
        </w:tc>
        <w:tc>
          <w:tcPr>
            <w:tcW w:w="1530" w:type="dxa"/>
            <w:vAlign w:val="center"/>
          </w:tcPr>
          <w:p w14:paraId="1C07BE9A" w14:textId="0BB0C7BD" w:rsidR="00CD1323" w:rsidRDefault="00CD1323" w:rsidP="00573E1D">
            <w:pPr>
              <w:pStyle w:val="a2"/>
              <w:ind w:firstLineChars="0" w:firstLine="0"/>
              <w:jc w:val="center"/>
              <w:rPr>
                <w:rFonts w:hint="eastAsia"/>
              </w:rPr>
            </w:pPr>
          </w:p>
        </w:tc>
      </w:tr>
    </w:tbl>
    <w:p w14:paraId="264A066F" w14:textId="32130C34" w:rsidR="003E4EE2" w:rsidRDefault="00666AB3" w:rsidP="00965747">
      <w:pPr>
        <w:pStyle w:val="a2"/>
        <w:ind w:firstLineChars="0" w:firstLine="0"/>
        <w:jc w:val="center"/>
      </w:pPr>
      <w:r>
        <w:rPr>
          <w:noProof/>
        </w:rPr>
        <w:lastRenderedPageBreak/>
        <w:drawing>
          <wp:inline distT="0" distB="0" distL="0" distR="0" wp14:anchorId="1FC7FC03" wp14:editId="2EA211BE">
            <wp:extent cx="6435808" cy="6496050"/>
            <wp:effectExtent l="0" t="0" r="317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43108" cy="6503418"/>
                    </a:xfrm>
                    <a:prstGeom prst="rect">
                      <a:avLst/>
                    </a:prstGeom>
                  </pic:spPr>
                </pic:pic>
              </a:graphicData>
            </a:graphic>
          </wp:inline>
        </w:drawing>
      </w:r>
    </w:p>
    <w:p w14:paraId="46A499F1" w14:textId="77777777" w:rsidR="00666AB3" w:rsidRDefault="00666AB3" w:rsidP="00CD1323">
      <w:pPr>
        <w:pStyle w:val="a2"/>
        <w:ind w:firstLineChars="0" w:firstLine="0"/>
        <w:rPr>
          <w:rFonts w:hint="eastAsia"/>
        </w:rPr>
      </w:pPr>
    </w:p>
    <w:p w14:paraId="13693ACB" w14:textId="0B7269CF" w:rsidR="00CD1323" w:rsidRPr="00CD1323" w:rsidRDefault="00000DEC" w:rsidP="00000DEC">
      <w:pPr>
        <w:pStyle w:val="20"/>
      </w:pPr>
      <w:r w:rsidRPr="00000DEC">
        <w:t>Alpha and loadings on risk factors</w:t>
      </w:r>
    </w:p>
    <w:p w14:paraId="03D2550C" w14:textId="29BCF89E" w:rsidR="003E4EE2" w:rsidRDefault="00D05757" w:rsidP="00D05757">
      <w:pPr>
        <w:pStyle w:val="a2"/>
      </w:pPr>
      <w:r>
        <w:rPr>
          <w:rFonts w:hint="eastAsia"/>
        </w:rPr>
        <w:t>表</w:t>
      </w:r>
      <w:r>
        <w:t xml:space="preserve"> 3 は，分散 TSMOM 戦略とそのファクターエクス ポージャのリスク調整後パフォーマンスを検証してい る。表 3 のパネル A は，TSMOM 戦略の超過リターンを MSCI 世界株式市場インデックスのリターンと，個別銘柄間のサイズ，バリュー，クロ スセクション・モメンタム・プレミアムを表す標準 </w:t>
      </w:r>
      <w:proofErr w:type="spellStart"/>
      <w:r>
        <w:t>Fama</w:t>
      </w:r>
      <w:proofErr w:type="spellEnd"/>
      <w:r>
        <w:t xml:space="preserve"> French ファクター SMB, HML, UMD に回帰させたものである．1行目は月次の時系列回帰結果、2行目は（市場間の非同期取引効果を考慮し）重複しない四半期ごとのリターンを使用しています。</w:t>
      </w:r>
      <w:r>
        <w:rPr>
          <w:rFonts w:hint="eastAsia"/>
        </w:rPr>
        <w:t>どちらの場合も，</w:t>
      </w:r>
      <w:r>
        <w:t>TSMOM はこれらのファクターに 対して，月次で約 1.58%，四半期で 4.75%という大きく有意 なアルファまたはインターセプトを示している。TSMOM 戦略は，市場，SMB，HMLに対して有意なベータを示さなかったが，クロスセクショナル・モメンタム・ ファクターである UMD に対して有意に正のローディングを示した。</w:t>
      </w:r>
      <w:r>
        <w:rPr>
          <w:rFonts w:hint="eastAsia"/>
        </w:rPr>
        <w:t>クロスセクショナル・モメンタムとタイムシリーズ・</w:t>
      </w:r>
      <w:r>
        <w:t xml:space="preserve"> モメンタムの関係は次節で詳しく調べるが、大きな有意なアルファ を考えると、タイムシリーズ・モメンタムは個別銘柄のクロス セクショナル・モメンタムでは十分に説明できないようである。</w:t>
      </w:r>
    </w:p>
    <w:p w14:paraId="453C0081" w14:textId="77777777" w:rsidR="00ED531E" w:rsidRDefault="00ED531E" w:rsidP="003942CC">
      <w:pPr>
        <w:pStyle w:val="a2"/>
      </w:pPr>
    </w:p>
    <w:p w14:paraId="3AF1E9FC" w14:textId="77777777" w:rsidR="0042595C" w:rsidRDefault="0042595C" w:rsidP="0042595C">
      <w:pPr>
        <w:pStyle w:val="a2"/>
      </w:pPr>
      <w:r>
        <w:rPr>
          <w:rFonts w:hint="eastAsia"/>
        </w:rPr>
        <w:t>表</w:t>
      </w:r>
      <w:r>
        <w:t xml:space="preserve"> 3 のパネル B は、</w:t>
      </w:r>
      <w:proofErr w:type="spellStart"/>
      <w:r>
        <w:t>Fama</w:t>
      </w:r>
      <w:proofErr w:type="spellEnd"/>
      <w:r>
        <w:t xml:space="preserve"> and French のファクターの代わりに </w:t>
      </w:r>
      <w:proofErr w:type="spellStart"/>
      <w:r>
        <w:t>Asness</w:t>
      </w:r>
      <w:proofErr w:type="spellEnd"/>
      <w:r>
        <w:t>, Moskowitz, and Pedersen (2010) のバリューとモメンタムの「どこでも」ファクター（すなわち、ア セットクラスに分散したファクター）を使って回帰を繰り返してい る。</w:t>
      </w:r>
      <w:proofErr w:type="spellStart"/>
      <w:r>
        <w:t>Asness</w:t>
      </w:r>
      <w:proofErr w:type="spellEnd"/>
      <w:r>
        <w:t>, Moskowitz, and Pedersen (2010)は、4つの国際市場の個別株式、株価指数先物、債券先物、通貨、商品にわたって、バリューとモメンタムのロングショートポートフォリオを形成している。</w:t>
      </w:r>
    </w:p>
    <w:p w14:paraId="3EF8CFB4" w14:textId="6B44AC89" w:rsidR="004C4A1A" w:rsidRDefault="0042595C" w:rsidP="0042595C">
      <w:pPr>
        <w:pStyle w:val="a2"/>
      </w:pPr>
      <w:proofErr w:type="spellStart"/>
      <w:r>
        <w:t>Fama</w:t>
      </w:r>
      <w:proofErr w:type="spellEnd"/>
      <w:r>
        <w:t xml:space="preserve"> and French ファクターと同様に、これらはクロスセクショナル・ファクターである。再び、我々は、市場インデックスとどこでもバリューファクターに有意な負荷がないことを発見したが、クロスセクショナル</w:t>
      </w:r>
      <w:r>
        <w:rPr>
          <w:rFonts w:hint="eastAsia"/>
        </w:rPr>
        <w:t>・</w:t>
      </w:r>
      <w:r>
        <w:t>モメンタムどこでもファクターに有意な負荷があることを発見した。しかし、TSMOM のリターンは、クロス・セクショナル・エブリウェア・ファクターでは完全に捕捉されず、アルファは 月間 1.09%（t-stat 5.40）、四半期 2.93%（t-stat 4.12） と印象的であった。</w:t>
      </w:r>
    </w:p>
    <w:p w14:paraId="76EA01A2" w14:textId="75EEB035" w:rsidR="004C4A1A" w:rsidRDefault="00102449" w:rsidP="0061247E">
      <w:pPr>
        <w:pStyle w:val="a2"/>
        <w:ind w:firstLineChars="0" w:firstLine="0"/>
        <w:jc w:val="center"/>
        <w:rPr>
          <w:rFonts w:hint="eastAsia"/>
        </w:rPr>
      </w:pPr>
      <w:r>
        <w:rPr>
          <w:noProof/>
        </w:rPr>
        <w:drawing>
          <wp:inline distT="0" distB="0" distL="0" distR="0" wp14:anchorId="60EAE055" wp14:editId="3EE2EFEF">
            <wp:extent cx="6620677" cy="5915025"/>
            <wp:effectExtent l="0" t="0" r="889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7837" cy="5921422"/>
                    </a:xfrm>
                    <a:prstGeom prst="rect">
                      <a:avLst/>
                    </a:prstGeom>
                  </pic:spPr>
                </pic:pic>
              </a:graphicData>
            </a:graphic>
          </wp:inline>
        </w:drawing>
      </w:r>
    </w:p>
    <w:p w14:paraId="6081747C" w14:textId="780D52F5" w:rsidR="00674DF8" w:rsidRDefault="00674DF8">
      <w:pPr>
        <w:widowControl/>
        <w:jc w:val="left"/>
      </w:pPr>
      <w:r>
        <w:br w:type="page"/>
      </w:r>
    </w:p>
    <w:p w14:paraId="32346629" w14:textId="1B360448" w:rsidR="004C4A1A" w:rsidRDefault="005141CD" w:rsidP="00674DF8">
      <w:pPr>
        <w:pStyle w:val="20"/>
      </w:pPr>
      <w:r w:rsidRPr="005141CD">
        <w:lastRenderedPageBreak/>
        <w:t>Performance over time and in extreme markets</w:t>
      </w:r>
    </w:p>
    <w:p w14:paraId="7F176A07" w14:textId="32EA11BE" w:rsidR="0022330A" w:rsidRPr="0022330A" w:rsidRDefault="0083596E" w:rsidP="0083596E">
      <w:pPr>
        <w:pStyle w:val="a2"/>
        <w:rPr>
          <w:rFonts w:hint="eastAsia"/>
        </w:rPr>
      </w:pPr>
      <w:r>
        <w:rPr>
          <w:rFonts w:hint="eastAsia"/>
        </w:rPr>
        <w:t>図</w:t>
      </w:r>
      <w:r>
        <w:t xml:space="preserve"> 3 は、分散型時系列モメンタム戦略の累積超過リターンを時 間軸でプロットしたものである(対数スケール)。比較のために、すべての金融商品でリスク量を等しくし た分散パッシブ・ロングポジションの累積超過収益率もプロットしている。(各商品は同じ一定のボラティリティでスケールされてい るので、時系列モメンタム戦略とパッシブ・ロング戦略の相関の 違いを除けば、両ポートフォリオは同じ事前ボラティリティを 持っている)。</w:t>
      </w:r>
      <w:r>
        <w:rPr>
          <w:rFonts w:hint="eastAsia"/>
        </w:rPr>
        <w:t>図</w:t>
      </w:r>
      <w:r>
        <w:t xml:space="preserve"> 3 が示すように、分散した時系列モメンタム戦略の長期的</w:t>
      </w:r>
      <w:r w:rsidR="00FB7E04">
        <w:t>パッシブ・ロングポジション</w:t>
      </w:r>
      <w:r>
        <w:t>的安定したプラスのリターンを提供し、 すべての先物契約のパッシブ・ロングポジションの分散ポートフォリオを （同じ事前変動率で）アウトパフォームしている。</w:t>
      </w:r>
    </w:p>
    <w:p w14:paraId="72B78DB2" w14:textId="77777777" w:rsidR="00674DF8" w:rsidRDefault="00674DF8" w:rsidP="003942CC">
      <w:pPr>
        <w:pStyle w:val="a2"/>
      </w:pPr>
    </w:p>
    <w:p w14:paraId="24170A3E" w14:textId="7EB636A2" w:rsidR="00674DF8" w:rsidRDefault="00302CCE" w:rsidP="00302CCE">
      <w:pPr>
        <w:pStyle w:val="a2"/>
        <w:rPr>
          <w:rFonts w:hint="eastAsia"/>
        </w:rPr>
      </w:pPr>
      <w:r>
        <w:rPr>
          <w:rFonts w:hint="eastAsia"/>
        </w:rPr>
        <w:t>また、利用可能なデータで計測器の数が限られているにもかかわらず、</w:t>
      </w:r>
      <w:r>
        <w:t>1966年から1985年までの時系列モメンタムファクターのリターンを計算することができます。</w:t>
      </w:r>
      <w:r>
        <w:rPr>
          <w:rFonts w:hint="eastAsia"/>
        </w:rPr>
        <w:t>この以前のサンプルでは、時系列モメンタムは統計的に有意なリターンと年率</w:t>
      </w:r>
      <w:r>
        <w:t>1.1のシャープ比を持ち、時系列モメンタムの強いサンプル外証拠を提供しています。</w:t>
      </w:r>
    </w:p>
    <w:p w14:paraId="62951A69" w14:textId="77777777" w:rsidR="00ED531E" w:rsidRDefault="00ED531E" w:rsidP="003942CC">
      <w:pPr>
        <w:pStyle w:val="a2"/>
      </w:pPr>
    </w:p>
    <w:p w14:paraId="28F8DD0C" w14:textId="42D0703D" w:rsidR="00BF1318" w:rsidRDefault="005E64CA" w:rsidP="005E64CA">
      <w:pPr>
        <w:pStyle w:val="a2"/>
      </w:pPr>
      <w:r>
        <w:rPr>
          <w:rFonts w:hint="eastAsia"/>
        </w:rPr>
        <w:t>図</w:t>
      </w:r>
      <w:r>
        <w:t xml:space="preserve"> 3 は、商品価格と株式価格が急落し、債券価格が上昇し、為替レートが大きく動いた世界金融危機の最中の 2008 年 10 月、11 月、12 月に時系列モメンタムの利益が大きくなっていることを強調しています。</w:t>
      </w:r>
      <w:r>
        <w:rPr>
          <w:rFonts w:hint="eastAsia"/>
        </w:rPr>
        <w:t>この時期に入ると、時系列モメンタムは</w:t>
      </w:r>
      <w:r>
        <w:t xml:space="preserve"> 2008 年第 3 四半期に損失を被り、それに伴う値動きによって TSMOM 戦略は多くの契約でショートし、これらの資産クラスの市場が さらに下落した 2008 年第 4 四半期に大きな利益を得ることができた。</w:t>
      </w:r>
      <w:r>
        <w:rPr>
          <w:rFonts w:hint="eastAsia"/>
        </w:rPr>
        <w:t>図</w:t>
      </w:r>
      <w:r>
        <w:t>3は，2009 年の3月，4月，5月に危機が終息すると， TSMOM が大きな損失を被ることも示している。危機の終焉は，トレンドの急反転を意味し，TSMOM のようなトレンドフォロー戦略では損失が発生する。</w:t>
      </w:r>
    </w:p>
    <w:p w14:paraId="64E9F116" w14:textId="77777777" w:rsidR="00BF1318" w:rsidRDefault="00BF1318" w:rsidP="003942CC">
      <w:pPr>
        <w:pStyle w:val="a2"/>
      </w:pPr>
    </w:p>
    <w:p w14:paraId="1A42831A" w14:textId="473F9D64" w:rsidR="00BF1318" w:rsidRDefault="00831348" w:rsidP="00831348">
      <w:pPr>
        <w:pStyle w:val="a2"/>
      </w:pPr>
      <w:r>
        <w:rPr>
          <w:rFonts w:hint="eastAsia"/>
        </w:rPr>
        <w:t>より一般的には，図</w:t>
      </w:r>
      <w:r>
        <w:t>4は TSMOM のリターンを S&amp;P 500 のリターンに対してプロットしたものである。TSMOM のリターンは，市場の上下動が最も大き いときに最も大きくなる。</w:t>
      </w:r>
      <w:r>
        <w:rPr>
          <w:rFonts w:hint="eastAsia"/>
        </w:rPr>
        <w:t>この発見の統計的な有意性を検証するために，表</w:t>
      </w:r>
      <w:r>
        <w:t xml:space="preserve"> 3 のパネル C の最初の行では，TSMOM リターンを市場指数リターンと市場指数リターンの二乗に回帰して得られた 係数を報告している。</w:t>
      </w:r>
      <w:r>
        <w:rPr>
          <w:rFonts w:hint="eastAsia"/>
        </w:rPr>
        <w:t>このことは，</w:t>
      </w:r>
      <w:r>
        <w:t>TSMOM は最も極端な市場エポジドに最も大きな利益をもたらしていることを示 している。したがって、TSMOM は、市場に対するオプションのストラド ルと同様のペイオフを持つことになる。Fung and Hsieh (2001)は、トレンドフォローがなぜストラドルに似たペイオフを持つかを議論し、この洞察をヘッジファンドの パフォーマンスを説明するために応用している。TSMOM 戦略は、市場が大きく上昇したときにロングに、市場が暴落したときにショートになる傾向があるため、このようなペイオフ構造になっています。</w:t>
      </w:r>
    </w:p>
    <w:p w14:paraId="5D6F3A21" w14:textId="77777777" w:rsidR="00BF1318" w:rsidRDefault="00BF1318" w:rsidP="003942CC">
      <w:pPr>
        <w:pStyle w:val="a2"/>
      </w:pPr>
    </w:p>
    <w:p w14:paraId="55929830" w14:textId="05C76536" w:rsidR="00BF1318" w:rsidRPr="00CF0ADC" w:rsidRDefault="00076899" w:rsidP="00076899">
      <w:pPr>
        <w:pStyle w:val="a2"/>
        <w:rPr>
          <w:rFonts w:hint="eastAsia"/>
        </w:rPr>
      </w:pPr>
      <w:r>
        <w:rPr>
          <w:rFonts w:hint="eastAsia"/>
        </w:rPr>
        <w:t>これらの結果は，</w:t>
      </w:r>
      <w:r>
        <w:t>TSMOM の平均的なプラスのリターンは，暴落リスクの補償ではない可能性があることを示唆している。</w:t>
      </w:r>
      <w:r>
        <w:rPr>
          <w:rFonts w:hint="eastAsia"/>
        </w:rPr>
        <w:t>歴史的に見ると，</w:t>
      </w:r>
      <w:r>
        <w:t>TSMOMは''暴落''のときにうまくいく。なぜなら，危機はしばしば，経済が正常から悪くなり（TSMOMがリスク資産をショートさせる），さらに悪くなり（TSMOMが利益を得る），最近の2008年の金融危機はその典型例である。</w:t>
      </w:r>
    </w:p>
    <w:p w14:paraId="4064306B" w14:textId="77777777" w:rsidR="004C2ADC" w:rsidRDefault="004C2ADC" w:rsidP="003942CC">
      <w:pPr>
        <w:pStyle w:val="a2"/>
      </w:pPr>
    </w:p>
    <w:p w14:paraId="40B9A946" w14:textId="238C5D78" w:rsidR="00EA4C61" w:rsidRDefault="00477CB3" w:rsidP="00EA4C61">
      <w:pPr>
        <w:pStyle w:val="20"/>
      </w:pPr>
      <w:r w:rsidRPr="00477CB3">
        <w:t>Liquidity and sentiment</w:t>
      </w:r>
    </w:p>
    <w:p w14:paraId="6528C7AD" w14:textId="2D3B8ED8" w:rsidR="00EA4C61" w:rsidRDefault="00AF45F0" w:rsidP="00AF45F0">
      <w:pPr>
        <w:pStyle w:val="a2"/>
      </w:pPr>
      <w:r>
        <w:t>TSMOM のリターンが非流動性によって駆動または誇張される可能性が あるかどうかを検証する。</w:t>
      </w:r>
      <w:r>
        <w:rPr>
          <w:rFonts w:hint="eastAsia"/>
        </w:rPr>
        <w:t>まず、クロスセクションで流動性の低い資産ほど</w:t>
      </w:r>
      <w:r>
        <w:t xml:space="preserve"> TSMOM のパフォーマ ンスが良いかどうかを検証し、次に、分散された TSMOM ファクターのパフォーマン スが時系列で流動性指標に依存するかどうかを検証します。前者については、ロイターとブローカーのフィードから取得した日次のドル建て取引量を用いて、各先物取引の非流動性を測定しています。これらの契約の日次取引量の過去の時系列はありませんが、資産間の流動性のクロ スセ</w:t>
      </w:r>
      <w:r>
        <w:lastRenderedPageBreak/>
        <w:t>クションの違いを調べるために、2010 年 6 月の日次取引量のスナップショットを使用し ていま</w:t>
      </w:r>
      <w:r>
        <w:rPr>
          <w:rFonts w:hint="eastAsia"/>
        </w:rPr>
        <w:t>す。資産はさまざまな側面で大きく異なるため、まず、資産クラス内の各契約を日次取引高でランク付けし（最高から最低まで）、各ランクを標準偏差で割って標準正規化ランクを計算しました（（ランク</w:t>
      </w:r>
      <w:r>
        <w:t>-平均（ランク））/標準（ランク））。正（負）の値は、ある銘柄がその資産クラスの中央値よりも流動性が高い（低い）ことを意味する。図 2 の下段に示すように、特定の銘柄の TSMOM のシャープ比の大きさと、日次のドル建て取引量を指標とした非流動性には、ほとんど関係がないことが分かる。</w:t>
      </w:r>
      <w:r>
        <w:rPr>
          <w:rFonts w:hint="eastAsia"/>
        </w:rPr>
        <w:t>非流動性と時系列モメンタム戦略のシャープ比の相関は、全銘柄の平均で</w:t>
      </w:r>
      <w:r>
        <w:t xml:space="preserve"> 0.16 であり、どちらかといえば、より流動性の高い銘柄がより大きな時系列モメンタム利益を示すことが示唆される。</w:t>
      </w:r>
    </w:p>
    <w:p w14:paraId="4A880A4F" w14:textId="77777777" w:rsidR="00DE66F5" w:rsidRDefault="00DE66F5" w:rsidP="003942CC">
      <w:pPr>
        <w:pStyle w:val="a2"/>
        <w:rPr>
          <w:rFonts w:hint="eastAsia"/>
        </w:rPr>
      </w:pPr>
    </w:p>
    <w:p w14:paraId="5247DC20" w14:textId="41FA61A1" w:rsidR="004637E3" w:rsidRDefault="00555EB8" w:rsidP="00555EB8">
      <w:pPr>
        <w:pStyle w:val="a2"/>
      </w:pPr>
      <w:r>
        <w:rPr>
          <w:rFonts w:hint="eastAsia"/>
        </w:rPr>
        <w:t>次に、</w:t>
      </w:r>
      <w:r>
        <w:t>TSMOM のリターンが流動性の時系列とどのように共変動するかを見てみよう。</w:t>
      </w:r>
      <w:r>
        <w:rPr>
          <w:rFonts w:hint="eastAsia"/>
        </w:rPr>
        <w:t>表</w:t>
      </w:r>
      <w:r>
        <w:t xml:space="preserve"> 3 のパネル C の 2 行目は、</w:t>
      </w:r>
      <w:proofErr w:type="spellStart"/>
      <w:r>
        <w:t>Brunermeier</w:t>
      </w:r>
      <w:proofErr w:type="spellEnd"/>
      <w:r>
        <w:t xml:space="preserve"> and Pedersen (2009), </w:t>
      </w:r>
      <w:proofErr w:type="spellStart"/>
      <w:r>
        <w:t>Asness</w:t>
      </w:r>
      <w:proofErr w:type="spellEnd"/>
      <w:r>
        <w:t xml:space="preserve">, Moskowitz, and Pedersen (2010), </w:t>
      </w:r>
      <w:proofErr w:type="spellStart"/>
      <w:r>
        <w:t>Garleanu</w:t>
      </w:r>
      <w:proofErr w:type="spellEnd"/>
      <w:r>
        <w:t xml:space="preserve"> and Pedersen (2011) が示唆する資金流動性の代理変数である財務省 ユーロドル（TED）スプレッドと最も流動性の低い資金環境を捉えるための TED スプレッドの極値上位 20％を使った結果を示している。表が示すように、TED スプレッドと TSMOM のリターンの間には有意な関係は見られず、資</w:t>
      </w:r>
      <w:r>
        <w:rPr>
          <w:rFonts w:hint="eastAsia"/>
        </w:rPr>
        <w:t>金調達の流動性</w:t>
      </w:r>
      <w:r>
        <w:t xml:space="preserve"> との関係はほとんどないことが示唆される。</w:t>
      </w:r>
      <w:r>
        <w:rPr>
          <w:rFonts w:hint="eastAsia"/>
        </w:rPr>
        <w:t>表</w:t>
      </w:r>
      <w:r>
        <w:t xml:space="preserve"> 3 のパネル C の 3 行目は，市場のボラティリティの水準と最も極端な市場のボラティリティ環境を捉えるために VIX 指数を用いて分析を繰り返しているが，これも非流動的なエピソードと対応しているようである。TSMOM の収益性と市場ボラティリティの間には、有意な関係は見られない。</w:t>
      </w:r>
    </w:p>
    <w:p w14:paraId="5CEE3C1B" w14:textId="77777777" w:rsidR="004637E3" w:rsidRDefault="004637E3" w:rsidP="003942CC">
      <w:pPr>
        <w:pStyle w:val="a2"/>
        <w:rPr>
          <w:rFonts w:hint="eastAsia"/>
        </w:rPr>
      </w:pPr>
    </w:p>
    <w:p w14:paraId="74BE526E" w14:textId="61F67C12" w:rsidR="00EA4C61" w:rsidRDefault="00141B51" w:rsidP="003942CC">
      <w:pPr>
        <w:pStyle w:val="a2"/>
      </w:pPr>
      <w:r w:rsidRPr="00141B51">
        <w:rPr>
          <w:rFonts w:hint="eastAsia"/>
        </w:rPr>
        <w:t>表</w:t>
      </w:r>
      <w:r w:rsidRPr="00141B51">
        <w:t xml:space="preserve"> 3 のパネル C の下部では、Baker and </w:t>
      </w:r>
      <w:proofErr w:type="spellStart"/>
      <w:r w:rsidRPr="00141B51">
        <w:t>Wurgler</w:t>
      </w:r>
      <w:proofErr w:type="spellEnd"/>
      <w:r w:rsidRPr="00141B51">
        <w:t xml:space="preserve"> (2006, 2007) が用いたセンチメント指数指標と TSMOM のリターンとの関係も検証している。ここでは、センチメントの水準とその月次変化（第一差分）の両方を調べ、これらの変数の上下の極値（20%）を検証している。回帰分析が示すように、TSMOM の収益性とセンチメント指標との間には、極値においても有意な関係は見いだせない。</w:t>
      </w:r>
    </w:p>
    <w:p w14:paraId="1BBD4CE5" w14:textId="77777777" w:rsidR="00141B51" w:rsidRDefault="00141B51" w:rsidP="003942CC">
      <w:pPr>
        <w:pStyle w:val="a2"/>
      </w:pPr>
    </w:p>
    <w:p w14:paraId="32C06F98" w14:textId="152BA50D" w:rsidR="00141B51" w:rsidRDefault="0051375F" w:rsidP="0051375F">
      <w:pPr>
        <w:pStyle w:val="20"/>
      </w:pPr>
      <w:r w:rsidRPr="0051375F">
        <w:t>Correlation structure</w:t>
      </w:r>
    </w:p>
    <w:p w14:paraId="1A1BD115" w14:textId="2F6642A0" w:rsidR="0077759D" w:rsidRDefault="00F3443E" w:rsidP="00F3443E">
      <w:pPr>
        <w:pStyle w:val="a2"/>
      </w:pPr>
      <w:r>
        <w:rPr>
          <w:rFonts w:hint="eastAsia"/>
        </w:rPr>
        <w:t>表</w:t>
      </w:r>
      <w:r>
        <w:t xml:space="preserve"> 4 は、時系列モメンタム戦略の相関構造を調べ、契約におけるパッシ ブ・ロングポジションの相関構造と比較したものである。</w:t>
      </w:r>
      <w:r>
        <w:rPr>
          <w:rFonts w:hint="eastAsia"/>
        </w:rPr>
        <w:t>表</w:t>
      </w:r>
      <w:r>
        <w:t xml:space="preserve"> 4 のパネル A の最初の行は、同じ資産クラス内の契約間の時系列モメンタムリターンの平均ペアワイズ相関を報告しています。相関は各アセットクラス内で正で、株式と債券先物の 0.37 ～ 0.38 から、商品と通貨の 0.10 ～ 0.07 までの範囲である。この相関構造の一部は，各商品を同時にパッシブ・ロング（またはショート）することによるリターンの同調を反映している。</w:t>
      </w:r>
      <w:r>
        <w:rPr>
          <w:rFonts w:hint="eastAsia"/>
        </w:rPr>
        <w:t>表</w:t>
      </w:r>
      <w:r>
        <w:t xml:space="preserve"> 4 のパネル A の 2行目は、各資産クラス内のパッシブ・ロング ポジションの平均ペアワイズ相関を報告しており、通貨を除いて、パッシブ・ロング戦略は、資産クラス内で時系列モ メメント戦略より高い相関を示す。</w:t>
      </w:r>
    </w:p>
    <w:p w14:paraId="43F5D6EB" w14:textId="77777777" w:rsidR="0077759D" w:rsidRDefault="0077759D" w:rsidP="003942CC">
      <w:pPr>
        <w:pStyle w:val="a2"/>
        <w:rPr>
          <w:rFonts w:hint="eastAsia"/>
        </w:rPr>
      </w:pPr>
    </w:p>
    <w:p w14:paraId="7DDF4A62" w14:textId="16188186" w:rsidR="00141B51" w:rsidRDefault="0000125A" w:rsidP="0000125A">
      <w:pPr>
        <w:pStyle w:val="a2"/>
        <w:rPr>
          <w:rFonts w:hint="eastAsia"/>
        </w:rPr>
      </w:pPr>
      <w:r>
        <w:rPr>
          <w:rFonts w:hint="eastAsia"/>
        </w:rPr>
        <w:t>表</w:t>
      </w:r>
      <w:r>
        <w:t xml:space="preserve"> 4 のパネル B は、資産クラス間の時系列モメンタム戦略の平均相関を示す。</w:t>
      </w:r>
      <w:r>
        <w:rPr>
          <w:rFonts w:hint="eastAsia"/>
        </w:rPr>
        <w:t>ここでは、まず各資産クラス内の時系列モメンタム戦略の分散型ポートフォリオのリターンを計算し、次に資産クラス間の</w:t>
      </w:r>
      <w:r>
        <w:t xml:space="preserve"> TSMOM ポートフォリオのリターンの相関を推定する。相関はすべて正で、0.05から0.21の範囲にある。比較のために、表は分散されたパッシブ・ロングポジションの資産クラス間の相関も示している。すべての資産クラスの比較において、資産クラス間の時系列モメンタム戦略の相関は、対応するパッシブ・ロング戦略の相関より大きく、その多くは負の相関である。</w:t>
      </w:r>
    </w:p>
    <w:p w14:paraId="2FD32373" w14:textId="77777777" w:rsidR="00EA4C61" w:rsidRDefault="00EA4C61" w:rsidP="003942CC">
      <w:pPr>
        <w:pStyle w:val="a2"/>
      </w:pPr>
    </w:p>
    <w:p w14:paraId="155CE8F5" w14:textId="4ACD8120" w:rsidR="005B6369" w:rsidRDefault="005B6369" w:rsidP="005B6369">
      <w:pPr>
        <w:pStyle w:val="a2"/>
      </w:pPr>
      <w:r>
        <w:rPr>
          <w:rFonts w:hint="eastAsia"/>
        </w:rPr>
        <w:t>両パネルからの結果をまとめると、時系列モメンタム戦略は、資産クラス内で正の相関を示すが、パッシブ・ロング戦略よりも低い相関である。しかし、資産クラスをまたぐと、時系列モメンタム戦略</w:t>
      </w:r>
      <w:r>
        <w:t xml:space="preserve"> は互いに正の相関を示し、パッシブ・ロング戦略は資産クラス間で ゼロまたは負の相関を示す。</w:t>
      </w:r>
      <w:r>
        <w:rPr>
          <w:rFonts w:hint="eastAsia"/>
        </w:rPr>
        <w:t>この最後の結果は、原資産自体には</w:t>
      </w:r>
      <w:r>
        <w:rPr>
          <w:rFonts w:hint="eastAsia"/>
        </w:rPr>
        <w:lastRenderedPageBreak/>
        <w:t>存在しないが、資産クラス間で時系列モメンタム戦略に同時に影響を与える共通の要素があることを示唆しており、異なる資産クラス間でクロスセクション・モメンタム戦略に共通の構造を発見した</w:t>
      </w:r>
      <w:r>
        <w:t xml:space="preserve"> </w:t>
      </w:r>
      <w:proofErr w:type="spellStart"/>
      <w:r>
        <w:t>Asness</w:t>
      </w:r>
      <w:proofErr w:type="spellEnd"/>
      <w:r>
        <w:t>, Moskowitz, and Pedersen (2010) の発見と同様である。</w:t>
      </w:r>
    </w:p>
    <w:p w14:paraId="4B197B8A" w14:textId="77777777" w:rsidR="005B6369" w:rsidRDefault="005B6369" w:rsidP="003942CC">
      <w:pPr>
        <w:pStyle w:val="a2"/>
      </w:pPr>
    </w:p>
    <w:p w14:paraId="5F416764" w14:textId="77777777" w:rsidR="009D073D" w:rsidRDefault="009D073D" w:rsidP="003942CC">
      <w:pPr>
        <w:pStyle w:val="a2"/>
      </w:pPr>
    </w:p>
    <w:p w14:paraId="06B9EDDC" w14:textId="77777777" w:rsidR="009D073D" w:rsidRDefault="009D073D" w:rsidP="003942CC">
      <w:pPr>
        <w:pStyle w:val="a2"/>
      </w:pPr>
    </w:p>
    <w:p w14:paraId="21934885" w14:textId="77777777" w:rsidR="009D073D" w:rsidRDefault="009D073D" w:rsidP="003942CC">
      <w:pPr>
        <w:pStyle w:val="a2"/>
        <w:rPr>
          <w:rFonts w:hint="eastAsia"/>
        </w:rPr>
      </w:pPr>
    </w:p>
    <w:p w14:paraId="7CD03967" w14:textId="77777777" w:rsidR="005B6369" w:rsidRPr="003942CC" w:rsidRDefault="005B6369" w:rsidP="003942CC">
      <w:pPr>
        <w:pStyle w:val="a2"/>
        <w:rPr>
          <w:rFonts w:hint="eastAsia"/>
        </w:rPr>
      </w:pPr>
    </w:p>
    <w:sectPr w:rsidR="005B6369" w:rsidRPr="003942CC" w:rsidSect="00DF25F8">
      <w:footerReference w:type="default" r:id="rId13"/>
      <w:pgSz w:w="11906" w:h="16838"/>
      <w:pgMar w:top="720" w:right="720" w:bottom="720" w:left="72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6EA32" w14:textId="77777777" w:rsidR="00FF0AC1" w:rsidRDefault="00FF0AC1" w:rsidP="00D91D94">
      <w:r>
        <w:separator/>
      </w:r>
    </w:p>
  </w:endnote>
  <w:endnote w:type="continuationSeparator" w:id="0">
    <w:p w14:paraId="1BD2F8B9" w14:textId="77777777" w:rsidR="00FF0AC1" w:rsidRDefault="00FF0AC1" w:rsidP="00D91D94">
      <w:r>
        <w:continuationSeparator/>
      </w:r>
    </w:p>
  </w:endnote>
  <w:endnote w:type="continuationNotice" w:id="1">
    <w:p w14:paraId="1F04AC6C" w14:textId="77777777" w:rsidR="00FF0AC1" w:rsidRDefault="00FF0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508787"/>
      <w:docPartObj>
        <w:docPartGallery w:val="Page Numbers (Bottom of Page)"/>
        <w:docPartUnique/>
      </w:docPartObj>
    </w:sdtPr>
    <w:sdtEndPr/>
    <w:sdtContent>
      <w:p w14:paraId="7C987A88" w14:textId="550449F9" w:rsidR="00CA52C6" w:rsidRDefault="00CA52C6">
        <w:pPr>
          <w:pStyle w:val="af0"/>
          <w:jc w:val="center"/>
        </w:pPr>
        <w:r>
          <w:fldChar w:fldCharType="begin"/>
        </w:r>
        <w:r>
          <w:instrText>PAGE   \* MERGEFORMAT</w:instrText>
        </w:r>
        <w:r>
          <w:fldChar w:fldCharType="separate"/>
        </w:r>
        <w:r>
          <w:rPr>
            <w:lang w:val="ja-JP"/>
          </w:rPr>
          <w:t>2</w:t>
        </w:r>
        <w:r>
          <w:fldChar w:fldCharType="end"/>
        </w:r>
      </w:p>
    </w:sdtContent>
  </w:sdt>
  <w:p w14:paraId="5097FF29" w14:textId="77777777" w:rsidR="00CA52C6" w:rsidRDefault="00CA52C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42088" w14:textId="77777777" w:rsidR="00FF0AC1" w:rsidRDefault="00FF0AC1" w:rsidP="00D91D94">
      <w:r>
        <w:separator/>
      </w:r>
    </w:p>
  </w:footnote>
  <w:footnote w:type="continuationSeparator" w:id="0">
    <w:p w14:paraId="4036CE66" w14:textId="77777777" w:rsidR="00FF0AC1" w:rsidRDefault="00FF0AC1" w:rsidP="00D91D94">
      <w:r>
        <w:continuationSeparator/>
      </w:r>
    </w:p>
  </w:footnote>
  <w:footnote w:type="continuationNotice" w:id="1">
    <w:p w14:paraId="343DDE9D" w14:textId="77777777" w:rsidR="00FF0AC1" w:rsidRDefault="00FF0AC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474"/>
    <w:multiLevelType w:val="multilevel"/>
    <w:tmpl w:val="D85E49A8"/>
    <w:styleLink w:val="a"/>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 w:ilvl="1">
      <w:start w:val="1"/>
      <w:numFmt w:val="decimal"/>
      <w:suff w:val="space"/>
      <w:lvlText w:val="%1.%2"/>
      <w:lvlJc w:val="left"/>
      <w:pPr>
        <w:ind w:left="0" w:firstLine="0"/>
      </w:pPr>
      <w:rPr>
        <w:rFonts w:ascii="Times New Roman" w:eastAsia="游明朝" w:hAnsi="Times New Roman" w:hint="default"/>
        <w:b/>
        <w:i w:val="0"/>
        <w:sz w:val="24"/>
        <w:szCs w:val="18"/>
      </w:rPr>
    </w:lvl>
    <w:lvl w:ilvl="2">
      <w:start w:val="1"/>
      <w:numFmt w:val="decimal"/>
      <w:lvlRestart w:val="1"/>
      <w:suff w:val="space"/>
      <w:lvlText w:val="%1.%2.%3"/>
      <w:lvlJc w:val="left"/>
      <w:pPr>
        <w:ind w:left="0" w:firstLine="0"/>
      </w:pPr>
      <w:rPr>
        <w:rFonts w:ascii="Times New Roman" w:eastAsia="游明朝" w:hAnsi="Times New Roman" w:hint="default"/>
        <w:b/>
        <w:i w:val="0"/>
        <w:sz w:val="22"/>
        <w:szCs w:val="21"/>
      </w:rPr>
    </w:lvl>
    <w:lvl w:ilvl="3">
      <w:start w:val="1"/>
      <w:numFmt w:val="decimal"/>
      <w:lvlText w:val="%1.%2.%3.%4"/>
      <w:lvlJc w:val="left"/>
      <w:pPr>
        <w:ind w:left="227" w:hanging="227"/>
      </w:pPr>
      <w:rPr>
        <w:rFonts w:ascii="Times New Roman" w:eastAsia="游明朝"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059B3C5B"/>
    <w:multiLevelType w:val="hybridMultilevel"/>
    <w:tmpl w:val="7C86BB6A"/>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 w15:restartNumberingAfterBreak="0">
    <w:nsid w:val="06C73C7D"/>
    <w:multiLevelType w:val="multilevel"/>
    <w:tmpl w:val="1BCE2200"/>
    <w:numStyleLink w:val="2"/>
  </w:abstractNum>
  <w:abstractNum w:abstractNumId="3" w15:restartNumberingAfterBreak="0">
    <w:nsid w:val="090B1A59"/>
    <w:multiLevelType w:val="hybridMultilevel"/>
    <w:tmpl w:val="E6585FD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12D35E8D"/>
    <w:multiLevelType w:val="hybridMultilevel"/>
    <w:tmpl w:val="19E496B2"/>
    <w:lvl w:ilvl="0" w:tplc="7584C1E6">
      <w:start w:val="1"/>
      <w:numFmt w:val="lowerRoman"/>
      <w:lvlText w:val="%1.)"/>
      <w:lvlJc w:val="left"/>
      <w:pPr>
        <w:ind w:left="840" w:hanging="420"/>
      </w:pPr>
      <w:rPr>
        <w:rFonts w:ascii="Times New Roman" w:hAnsi="Times New Roman" w:hint="default"/>
        <w:b/>
        <w:i w:val="0"/>
        <w:sz w:val="24"/>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13EC799C"/>
    <w:multiLevelType w:val="multilevel"/>
    <w:tmpl w:val="1BCE2200"/>
    <w:styleLink w:val="2"/>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游明朝" w:hAnsi="Times New Roman" w:hint="default"/>
        <w:b/>
        <w:i w:val="0"/>
        <w:sz w:val="24"/>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6" w15:restartNumberingAfterBreak="0">
    <w:nsid w:val="18C32AB8"/>
    <w:multiLevelType w:val="multilevel"/>
    <w:tmpl w:val="82C4FF70"/>
    <w:numStyleLink w:val="a0"/>
  </w:abstractNum>
  <w:abstractNum w:abstractNumId="7" w15:restartNumberingAfterBreak="0">
    <w:nsid w:val="18E2522A"/>
    <w:multiLevelType w:val="multilevel"/>
    <w:tmpl w:val="D85E49A8"/>
    <w:numStyleLink w:val="a"/>
  </w:abstractNum>
  <w:abstractNum w:abstractNumId="8" w15:restartNumberingAfterBreak="0">
    <w:nsid w:val="1AD509C0"/>
    <w:multiLevelType w:val="hybridMultilevel"/>
    <w:tmpl w:val="FF5C2852"/>
    <w:lvl w:ilvl="0" w:tplc="4E84AD68">
      <w:start w:val="1"/>
      <w:numFmt w:val="decimal"/>
      <w:lvlText w:val="%1."/>
      <w:lvlJc w:val="left"/>
      <w:pPr>
        <w:ind w:left="420" w:hanging="420"/>
      </w:pPr>
      <w:rPr>
        <w:rFonts w:ascii="Times New Roman" w:hAnsi="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B53732A"/>
    <w:multiLevelType w:val="multilevel"/>
    <w:tmpl w:val="0EF05C8C"/>
    <w:lvl w:ilvl="0">
      <w:start w:val="1"/>
      <w:numFmt w:val="decimal"/>
      <w:suff w:val="space"/>
      <w:lvlText w:val="%1."/>
      <w:lvlJc w:val="left"/>
      <w:pPr>
        <w:ind w:left="420" w:hanging="420"/>
      </w:pPr>
      <w:rPr>
        <w:rFonts w:ascii="Times New Roman" w:hAnsi="Times New Roman" w:hint="default"/>
        <w:b/>
        <w:i w:val="0"/>
        <w:sz w:val="28"/>
        <w:szCs w:val="28"/>
      </w:rPr>
    </w:lvl>
    <w:lvl w:ilvl="1">
      <w:start w:val="1"/>
      <w:numFmt w:val="decimal"/>
      <w:suff w:val="space"/>
      <w:lvlText w:val="%1.%2"/>
      <w:lvlJc w:val="left"/>
      <w:pPr>
        <w:ind w:left="170" w:hanging="113"/>
      </w:pPr>
      <w:rPr>
        <w:rFonts w:ascii="Times New Roman" w:eastAsia="游明朝" w:hAnsi="Times New Roman" w:hint="default"/>
        <w:sz w:val="24"/>
      </w:rPr>
    </w:lvl>
    <w:lvl w:ilvl="2">
      <w:start w:val="1"/>
      <w:numFmt w:val="decimal"/>
      <w:suff w:val="space"/>
      <w:lvlText w:val="%1.%2.%3"/>
      <w:lvlJc w:val="left"/>
      <w:pPr>
        <w:ind w:left="1260" w:hanging="1033"/>
      </w:pPr>
      <w:rPr>
        <w:rFonts w:ascii="Times New Roman" w:eastAsia="游明朝" w:hAnsi="Times New Roman" w:hint="default"/>
        <w:sz w:val="24"/>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0" w15:restartNumberingAfterBreak="0">
    <w:nsid w:val="241D3874"/>
    <w:multiLevelType w:val="hybridMultilevel"/>
    <w:tmpl w:val="63A65EE2"/>
    <w:lvl w:ilvl="0" w:tplc="7584C1E6">
      <w:start w:val="1"/>
      <w:numFmt w:val="lowerRoman"/>
      <w:lvlText w:val="%1.)"/>
      <w:lvlJc w:val="left"/>
      <w:pPr>
        <w:ind w:left="420" w:hanging="420"/>
      </w:pPr>
      <w:rPr>
        <w:rFonts w:ascii="Times New Roman" w:hAnsi="Times New Roman" w:hint="default"/>
        <w:b/>
        <w:i w:val="0"/>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4691B42"/>
    <w:multiLevelType w:val="hybridMultilevel"/>
    <w:tmpl w:val="E0722C3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81E4E1F"/>
    <w:multiLevelType w:val="hybridMultilevel"/>
    <w:tmpl w:val="6BDA2A94"/>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28690530"/>
    <w:multiLevelType w:val="hybridMultilevel"/>
    <w:tmpl w:val="70BAF57A"/>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2906770D"/>
    <w:multiLevelType w:val="multilevel"/>
    <w:tmpl w:val="4D202108"/>
    <w:lvl w:ilvl="0">
      <w:start w:val="1"/>
      <w:numFmt w:val="decimal"/>
      <w:pStyle w:val="1"/>
      <w:suff w:val="space"/>
      <w:lvlText w:val="%1."/>
      <w:lvlJc w:val="left"/>
      <w:pPr>
        <w:ind w:left="420" w:hanging="420"/>
      </w:pPr>
      <w:rPr>
        <w:rFonts w:ascii="Times New Roman" w:hAnsi="Times New Roman" w:hint="default"/>
        <w:b/>
        <w:i w:val="0"/>
        <w:sz w:val="28"/>
        <w:szCs w:val="28"/>
      </w:rPr>
    </w:lvl>
    <w:lvl w:ilvl="1">
      <w:start w:val="1"/>
      <w:numFmt w:val="decimal"/>
      <w:pStyle w:val="20"/>
      <w:suff w:val="space"/>
      <w:lvlText w:val="%1.%2"/>
      <w:lvlJc w:val="left"/>
      <w:pPr>
        <w:ind w:left="170" w:hanging="170"/>
      </w:pPr>
      <w:rPr>
        <w:rFonts w:ascii="Times New Roman" w:eastAsia="游明朝" w:hAnsi="Times New Roman" w:hint="default"/>
        <w:sz w:val="24"/>
      </w:rPr>
    </w:lvl>
    <w:lvl w:ilvl="2">
      <w:start w:val="1"/>
      <w:numFmt w:val="decimal"/>
      <w:pStyle w:val="3"/>
      <w:suff w:val="space"/>
      <w:lvlText w:val="%1.%2.%3"/>
      <w:lvlJc w:val="left"/>
      <w:pPr>
        <w:ind w:left="1260" w:hanging="1260"/>
      </w:pPr>
      <w:rPr>
        <w:rFonts w:ascii="Times New Roman" w:eastAsia="游明朝" w:hAnsi="Times New Roman" w:hint="default"/>
        <w:sz w:val="24"/>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5" w15:restartNumberingAfterBreak="0">
    <w:nsid w:val="2ACF0FF4"/>
    <w:multiLevelType w:val="hybridMultilevel"/>
    <w:tmpl w:val="045690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1F254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2ED6E87"/>
    <w:multiLevelType w:val="hybridMultilevel"/>
    <w:tmpl w:val="27BEFF64"/>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36C148F1"/>
    <w:multiLevelType w:val="hybridMultilevel"/>
    <w:tmpl w:val="7D5E1EF8"/>
    <w:lvl w:ilvl="0" w:tplc="04090009">
      <w:start w:val="1"/>
      <w:numFmt w:val="bullet"/>
      <w:lvlText w:val=""/>
      <w:lvlJc w:val="left"/>
      <w:pPr>
        <w:ind w:left="630" w:hanging="420"/>
      </w:pPr>
      <w:rPr>
        <w:rFonts w:ascii="Wingdings" w:hAnsi="Wingdings" w:hint="default"/>
      </w:rPr>
    </w:lvl>
    <w:lvl w:ilvl="1" w:tplc="0409000D">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9" w15:restartNumberingAfterBreak="0">
    <w:nsid w:val="39792194"/>
    <w:multiLevelType w:val="hybridMultilevel"/>
    <w:tmpl w:val="CB76003C"/>
    <w:lvl w:ilvl="0" w:tplc="D80E4CC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0" w15:restartNumberingAfterBreak="0">
    <w:nsid w:val="3984447B"/>
    <w:multiLevelType w:val="multilevel"/>
    <w:tmpl w:val="E076B442"/>
    <w:styleLink w:val="21"/>
    <w:lvl w:ilvl="0">
      <w:start w:val="1"/>
      <w:numFmt w:val="decimal"/>
      <w:lvlText w:val="%1"/>
      <w:lvlJc w:val="left"/>
      <w:pPr>
        <w:ind w:left="850" w:hanging="425"/>
      </w:pPr>
      <w:rPr>
        <w:rFonts w:hint="eastAsia"/>
      </w:rPr>
    </w:lvl>
    <w:lvl w:ilvl="1">
      <w:start w:val="1"/>
      <w:numFmt w:val="decimal"/>
      <w:lvlText w:val="%1.%2"/>
      <w:lvlJc w:val="left"/>
      <w:pPr>
        <w:ind w:left="1417" w:hanging="567"/>
      </w:pPr>
      <w:rPr>
        <w:rFonts w:ascii="Times New Roman" w:eastAsia="游明朝" w:hAnsi="Times New Roman" w:hint="eastAsia"/>
        <w:color w:val="auto"/>
        <w:sz w:val="24"/>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1" w15:restartNumberingAfterBreak="0">
    <w:nsid w:val="3A7B4071"/>
    <w:multiLevelType w:val="hybridMultilevel"/>
    <w:tmpl w:val="D248B5E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3AD24EAC"/>
    <w:multiLevelType w:val="multilevel"/>
    <w:tmpl w:val="9ECEF24C"/>
    <w:styleLink w:val="1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3D5350ED"/>
    <w:multiLevelType w:val="hybridMultilevel"/>
    <w:tmpl w:val="83223188"/>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3FCA655A"/>
    <w:multiLevelType w:val="multilevel"/>
    <w:tmpl w:val="51BE7596"/>
    <w:lvl w:ilvl="0">
      <w:start w:val="1"/>
      <w:numFmt w:val="upperLetter"/>
      <w:pStyle w:val="5"/>
      <w:suff w:val="space"/>
      <w:lvlText w:val="Appendix %1."/>
      <w:lvlJc w:val="left"/>
      <w:pPr>
        <w:ind w:left="1220" w:hanging="1220"/>
      </w:pPr>
      <w:rPr>
        <w:rFonts w:hint="eastAsia"/>
      </w:rPr>
    </w:lvl>
    <w:lvl w:ilvl="1">
      <w:start w:val="1"/>
      <w:numFmt w:val="aiueoFullWidth"/>
      <w:lvlText w:val="(%2)"/>
      <w:lvlJc w:val="left"/>
      <w:pPr>
        <w:ind w:left="1640" w:hanging="420"/>
      </w:pPr>
      <w:rPr>
        <w:rFonts w:hint="eastAsia"/>
      </w:rPr>
    </w:lvl>
    <w:lvl w:ilvl="2">
      <w:start w:val="1"/>
      <w:numFmt w:val="decimalEnclosedCircle"/>
      <w:lvlText w:val="%3"/>
      <w:lvlJc w:val="left"/>
      <w:pPr>
        <w:ind w:left="2060" w:hanging="420"/>
      </w:pPr>
      <w:rPr>
        <w:rFonts w:hint="eastAsia"/>
      </w:rPr>
    </w:lvl>
    <w:lvl w:ilvl="3">
      <w:start w:val="1"/>
      <w:numFmt w:val="decimal"/>
      <w:lvlText w:val="%4."/>
      <w:lvlJc w:val="left"/>
      <w:pPr>
        <w:ind w:left="2480" w:hanging="420"/>
      </w:pPr>
      <w:rPr>
        <w:rFonts w:hint="eastAsia"/>
      </w:rPr>
    </w:lvl>
    <w:lvl w:ilvl="4">
      <w:start w:val="1"/>
      <w:numFmt w:val="aiueoFullWidth"/>
      <w:lvlText w:val="(%5)"/>
      <w:lvlJc w:val="left"/>
      <w:pPr>
        <w:ind w:left="2900" w:hanging="420"/>
      </w:pPr>
      <w:rPr>
        <w:rFonts w:hint="eastAsia"/>
      </w:rPr>
    </w:lvl>
    <w:lvl w:ilvl="5">
      <w:start w:val="1"/>
      <w:numFmt w:val="decimalEnclosedCircle"/>
      <w:lvlText w:val="%6"/>
      <w:lvlJc w:val="left"/>
      <w:pPr>
        <w:ind w:left="3320" w:hanging="420"/>
      </w:pPr>
      <w:rPr>
        <w:rFonts w:hint="eastAsia"/>
      </w:rPr>
    </w:lvl>
    <w:lvl w:ilvl="6">
      <w:start w:val="1"/>
      <w:numFmt w:val="decimal"/>
      <w:lvlText w:val="%7."/>
      <w:lvlJc w:val="left"/>
      <w:pPr>
        <w:ind w:left="3740" w:hanging="420"/>
      </w:pPr>
      <w:rPr>
        <w:rFonts w:hint="eastAsia"/>
      </w:rPr>
    </w:lvl>
    <w:lvl w:ilvl="7">
      <w:start w:val="1"/>
      <w:numFmt w:val="aiueoFullWidth"/>
      <w:lvlText w:val="(%8)"/>
      <w:lvlJc w:val="left"/>
      <w:pPr>
        <w:ind w:left="4160" w:hanging="420"/>
      </w:pPr>
      <w:rPr>
        <w:rFonts w:hint="eastAsia"/>
      </w:rPr>
    </w:lvl>
    <w:lvl w:ilvl="8">
      <w:start w:val="1"/>
      <w:numFmt w:val="decimalEnclosedCircle"/>
      <w:lvlText w:val="%9"/>
      <w:lvlJc w:val="left"/>
      <w:pPr>
        <w:ind w:left="4580" w:hanging="420"/>
      </w:pPr>
      <w:rPr>
        <w:rFonts w:hint="eastAsia"/>
      </w:rPr>
    </w:lvl>
  </w:abstractNum>
  <w:abstractNum w:abstractNumId="25" w15:restartNumberingAfterBreak="0">
    <w:nsid w:val="4F4B3927"/>
    <w:multiLevelType w:val="multilevel"/>
    <w:tmpl w:val="62C0CF0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58F02F52"/>
    <w:multiLevelType w:val="hybridMultilevel"/>
    <w:tmpl w:val="10748E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59D160CE"/>
    <w:multiLevelType w:val="multilevel"/>
    <w:tmpl w:val="D85E49A8"/>
    <w:numStyleLink w:val="a"/>
  </w:abstractNum>
  <w:abstractNum w:abstractNumId="28" w15:restartNumberingAfterBreak="0">
    <w:nsid w:val="5C382D62"/>
    <w:multiLevelType w:val="hybridMultilevel"/>
    <w:tmpl w:val="6C26741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5CA26F92"/>
    <w:multiLevelType w:val="hybridMultilevel"/>
    <w:tmpl w:val="0FEAD96E"/>
    <w:lvl w:ilvl="0" w:tplc="E7D80B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5F771BCF"/>
    <w:multiLevelType w:val="hybridMultilevel"/>
    <w:tmpl w:val="05EEECF8"/>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60492C67"/>
    <w:multiLevelType w:val="hybridMultilevel"/>
    <w:tmpl w:val="16483246"/>
    <w:lvl w:ilvl="0" w:tplc="5ED8EC5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62C55929"/>
    <w:multiLevelType w:val="hybridMultilevel"/>
    <w:tmpl w:val="D966CC96"/>
    <w:lvl w:ilvl="0" w:tplc="B6E4C05A">
      <w:start w:val="1"/>
      <w:numFmt w:val="decimalEnclosedCircle"/>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3" w15:restartNumberingAfterBreak="0">
    <w:nsid w:val="649A4336"/>
    <w:multiLevelType w:val="hybridMultilevel"/>
    <w:tmpl w:val="87E4CA32"/>
    <w:lvl w:ilvl="0" w:tplc="04090005">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4" w15:restartNumberingAfterBreak="0">
    <w:nsid w:val="66B04478"/>
    <w:multiLevelType w:val="hybridMultilevel"/>
    <w:tmpl w:val="62BA043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684C6CB3"/>
    <w:multiLevelType w:val="hybridMultilevel"/>
    <w:tmpl w:val="03D0932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CF84509"/>
    <w:multiLevelType w:val="multilevel"/>
    <w:tmpl w:val="1BCE2200"/>
    <w:numStyleLink w:val="2"/>
  </w:abstractNum>
  <w:abstractNum w:abstractNumId="37"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15:restartNumberingAfterBreak="0">
    <w:nsid w:val="6FA61169"/>
    <w:multiLevelType w:val="multilevel"/>
    <w:tmpl w:val="E076B442"/>
    <w:numStyleLink w:val="21"/>
  </w:abstractNum>
  <w:abstractNum w:abstractNumId="39" w15:restartNumberingAfterBreak="0">
    <w:nsid w:val="6FB12225"/>
    <w:multiLevelType w:val="hybridMultilevel"/>
    <w:tmpl w:val="4CBE934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71564B2F"/>
    <w:multiLevelType w:val="hybridMultilevel"/>
    <w:tmpl w:val="F8C8A146"/>
    <w:lvl w:ilvl="0" w:tplc="0409000F">
      <w:start w:val="1"/>
      <w:numFmt w:val="decimal"/>
      <w:lvlText w:val="%1."/>
      <w:lvlJc w:val="left"/>
      <w:pPr>
        <w:ind w:left="420" w:hanging="420"/>
      </w:pPr>
      <w:rPr>
        <w:rFonts w:hint="default"/>
      </w:rPr>
    </w:lvl>
    <w:lvl w:ilvl="1" w:tplc="DDE42C14">
      <w:start w:val="4"/>
      <w:numFmt w:val="bullet"/>
      <w:lvlText w:val="・"/>
      <w:lvlJc w:val="left"/>
      <w:pPr>
        <w:ind w:left="780" w:hanging="360"/>
      </w:pPr>
      <w:rPr>
        <w:rFonts w:ascii="游明朝" w:eastAsia="游明朝" w:hAnsi="游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7B024ED8"/>
    <w:multiLevelType w:val="hybridMultilevel"/>
    <w:tmpl w:val="4B40672A"/>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7CBF7E40"/>
    <w:multiLevelType w:val="hybridMultilevel"/>
    <w:tmpl w:val="803E4C06"/>
    <w:lvl w:ilvl="0" w:tplc="0409000B">
      <w:start w:val="1"/>
      <w:numFmt w:val="bullet"/>
      <w:lvlText w:val=""/>
      <w:lvlJc w:val="left"/>
      <w:pPr>
        <w:ind w:left="420" w:hanging="420"/>
      </w:pPr>
      <w:rPr>
        <w:rFonts w:ascii="Wingdings" w:hAnsi="Wingdings" w:hint="default"/>
      </w:rPr>
    </w:lvl>
    <w:lvl w:ilvl="1" w:tplc="D80E4CC6">
      <w:start w:val="1"/>
      <w:numFmt w:val="decimalEnclosedCircle"/>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7CE405E3"/>
    <w:multiLevelType w:val="hybridMultilevel"/>
    <w:tmpl w:val="A6FCC4CC"/>
    <w:lvl w:ilvl="0" w:tplc="0409000B">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15:restartNumberingAfterBreak="0">
    <w:nsid w:val="7DE477EB"/>
    <w:multiLevelType w:val="hybridMultilevel"/>
    <w:tmpl w:val="6818FD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7E07210F"/>
    <w:multiLevelType w:val="hybridMultilevel"/>
    <w:tmpl w:val="022E180E"/>
    <w:lvl w:ilvl="0" w:tplc="0BD4386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7E5C5CF6"/>
    <w:multiLevelType w:val="multilevel"/>
    <w:tmpl w:val="D85E49A8"/>
    <w:numStyleLink w:val="a"/>
  </w:abstractNum>
  <w:num w:numId="1" w16cid:durableId="392394145">
    <w:abstractNumId w:val="22"/>
  </w:num>
  <w:num w:numId="2" w16cid:durableId="1268007549">
    <w:abstractNumId w:val="5"/>
  </w:num>
  <w:num w:numId="3" w16cid:durableId="338772135">
    <w:abstractNumId w:val="0"/>
  </w:num>
  <w:num w:numId="4" w16cid:durableId="727729361">
    <w:abstractNumId w:val="37"/>
  </w:num>
  <w:num w:numId="5" w16cid:durableId="1546790401">
    <w:abstractNumId w:val="6"/>
  </w:num>
  <w:num w:numId="6" w16cid:durableId="671372984">
    <w:abstractNumId w:val="7"/>
    <w:lvlOverride w:ilvl="0">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Override>
    <w:lvlOverride w:ilvl="1">
      <w:lvl w:ilvl="1">
        <w:start w:val="1"/>
        <w:numFmt w:val="decimal"/>
        <w:suff w:val="space"/>
        <w:lvlText w:val="%1.%2"/>
        <w:lvlJc w:val="left"/>
        <w:pPr>
          <w:ind w:left="0" w:firstLine="0"/>
        </w:pPr>
        <w:rPr>
          <w:rFonts w:ascii="Times New Roman" w:eastAsia="游明朝" w:hAnsi="Times New Roman" w:hint="default"/>
          <w:b/>
          <w:i w:val="0"/>
          <w:sz w:val="24"/>
          <w:szCs w:val="18"/>
        </w:rPr>
      </w:lvl>
    </w:lvlOverride>
    <w:lvlOverride w:ilvl="2">
      <w:lvl w:ilvl="2">
        <w:start w:val="1"/>
        <w:numFmt w:val="decimal"/>
        <w:lvlRestart w:val="1"/>
        <w:suff w:val="space"/>
        <w:lvlText w:val="%1.%2.%3"/>
        <w:lvlJc w:val="left"/>
        <w:pPr>
          <w:ind w:left="0" w:firstLine="0"/>
        </w:pPr>
        <w:rPr>
          <w:rFonts w:ascii="Times New Roman" w:eastAsia="游明朝" w:hAnsi="Times New Roman" w:hint="default"/>
          <w:b/>
          <w:i w:val="0"/>
          <w:sz w:val="22"/>
          <w:szCs w:val="21"/>
        </w:rPr>
      </w:lvl>
    </w:lvlOverride>
    <w:lvlOverride w:ilvl="3">
      <w:lvl w:ilvl="3">
        <w:start w:val="1"/>
        <w:numFmt w:val="decimal"/>
        <w:lvlText w:val="%1.%2.%3.%4"/>
        <w:lvlJc w:val="left"/>
        <w:pPr>
          <w:ind w:left="227" w:hanging="227"/>
        </w:pPr>
        <w:rPr>
          <w:rFonts w:ascii="Times New Roman" w:eastAsia="游明朝" w:hAnsi="Times New Roman" w:hint="default"/>
          <w:b/>
          <w:i w:val="0"/>
          <w:sz w:val="24"/>
        </w:rPr>
      </w:lvl>
    </w:lvlOverride>
    <w:lvlOverride w:ilvl="4">
      <w:lvl w:ilvl="4">
        <w:start w:val="1"/>
        <w:numFmt w:val="decimal"/>
        <w:lvlText w:val="%1.%2.%3.%4.%5"/>
        <w:lvlJc w:val="left"/>
        <w:pPr>
          <w:ind w:left="227" w:hanging="227"/>
        </w:pPr>
        <w:rPr>
          <w:rFonts w:hint="eastAsia"/>
        </w:rPr>
      </w:lvl>
    </w:lvlOverride>
    <w:lvlOverride w:ilvl="5">
      <w:lvl w:ilvl="5">
        <w:start w:val="1"/>
        <w:numFmt w:val="decimal"/>
        <w:lvlText w:val="%1.%2.%3.%4.%5.%6"/>
        <w:lvlJc w:val="left"/>
        <w:pPr>
          <w:ind w:left="227" w:hanging="227"/>
        </w:pPr>
        <w:rPr>
          <w:rFonts w:hint="eastAsia"/>
        </w:rPr>
      </w:lvl>
    </w:lvlOverride>
    <w:lvlOverride w:ilvl="6">
      <w:lvl w:ilvl="6">
        <w:start w:val="1"/>
        <w:numFmt w:val="decimal"/>
        <w:lvlText w:val="%1.%2.%3.%4.%5.%6.%7"/>
        <w:lvlJc w:val="left"/>
        <w:pPr>
          <w:ind w:left="227" w:hanging="227"/>
        </w:pPr>
        <w:rPr>
          <w:rFonts w:hint="eastAsia"/>
        </w:rPr>
      </w:lvl>
    </w:lvlOverride>
    <w:lvlOverride w:ilvl="7">
      <w:lvl w:ilvl="7">
        <w:start w:val="1"/>
        <w:numFmt w:val="decimal"/>
        <w:lvlText w:val="%1.%2.%3.%4.%5.%6.%7.%8"/>
        <w:lvlJc w:val="left"/>
        <w:pPr>
          <w:ind w:left="227" w:hanging="227"/>
        </w:pPr>
        <w:rPr>
          <w:rFonts w:hint="eastAsia"/>
        </w:rPr>
      </w:lvl>
    </w:lvlOverride>
    <w:lvlOverride w:ilvl="8">
      <w:lvl w:ilvl="8">
        <w:start w:val="1"/>
        <w:numFmt w:val="decimal"/>
        <w:lvlText w:val="%1.%2.%3.%4.%5.%6.%7.%8.%9"/>
        <w:lvlJc w:val="left"/>
        <w:pPr>
          <w:ind w:left="227" w:hanging="227"/>
        </w:pPr>
        <w:rPr>
          <w:rFonts w:hint="eastAsia"/>
        </w:rPr>
      </w:lvl>
    </w:lvlOverride>
  </w:num>
  <w:num w:numId="7" w16cid:durableId="540095383">
    <w:abstractNumId w:val="31"/>
  </w:num>
  <w:num w:numId="8" w16cid:durableId="673190054">
    <w:abstractNumId w:val="32"/>
  </w:num>
  <w:num w:numId="9" w16cid:durableId="469516285">
    <w:abstractNumId w:val="43"/>
  </w:num>
  <w:num w:numId="10" w16cid:durableId="1896500341">
    <w:abstractNumId w:val="30"/>
  </w:num>
  <w:num w:numId="11" w16cid:durableId="1102803241">
    <w:abstractNumId w:val="45"/>
  </w:num>
  <w:num w:numId="12" w16cid:durableId="316960588">
    <w:abstractNumId w:val="28"/>
  </w:num>
  <w:num w:numId="13" w16cid:durableId="1173688919">
    <w:abstractNumId w:val="39"/>
  </w:num>
  <w:num w:numId="14" w16cid:durableId="324940609">
    <w:abstractNumId w:val="17"/>
  </w:num>
  <w:num w:numId="15" w16cid:durableId="533425918">
    <w:abstractNumId w:val="19"/>
  </w:num>
  <w:num w:numId="16" w16cid:durableId="1867522332">
    <w:abstractNumId w:val="42"/>
  </w:num>
  <w:num w:numId="17" w16cid:durableId="1914970257">
    <w:abstractNumId w:val="21"/>
  </w:num>
  <w:num w:numId="18" w16cid:durableId="1808084351">
    <w:abstractNumId w:val="26"/>
  </w:num>
  <w:num w:numId="19" w16cid:durableId="975986658">
    <w:abstractNumId w:val="29"/>
  </w:num>
  <w:num w:numId="20" w16cid:durableId="1230186434">
    <w:abstractNumId w:val="41"/>
  </w:num>
  <w:num w:numId="21" w16cid:durableId="2132749057">
    <w:abstractNumId w:val="11"/>
  </w:num>
  <w:num w:numId="22" w16cid:durableId="958800217">
    <w:abstractNumId w:val="40"/>
  </w:num>
  <w:num w:numId="23" w16cid:durableId="584611401">
    <w:abstractNumId w:val="44"/>
  </w:num>
  <w:num w:numId="24" w16cid:durableId="179441025">
    <w:abstractNumId w:val="15"/>
  </w:num>
  <w:num w:numId="25" w16cid:durableId="1220674912">
    <w:abstractNumId w:val="8"/>
  </w:num>
  <w:num w:numId="26" w16cid:durableId="516968303">
    <w:abstractNumId w:val="4"/>
  </w:num>
  <w:num w:numId="27" w16cid:durableId="440302385">
    <w:abstractNumId w:val="10"/>
  </w:num>
  <w:num w:numId="28" w16cid:durableId="1956134424">
    <w:abstractNumId w:val="9"/>
  </w:num>
  <w:num w:numId="29" w16cid:durableId="1942839910">
    <w:abstractNumId w:val="24"/>
  </w:num>
  <w:num w:numId="30" w16cid:durableId="120732866">
    <w:abstractNumId w:val="3"/>
  </w:num>
  <w:num w:numId="31" w16cid:durableId="1329793815">
    <w:abstractNumId w:val="16"/>
  </w:num>
  <w:num w:numId="32" w16cid:durableId="608976305">
    <w:abstractNumId w:val="27"/>
  </w:num>
  <w:num w:numId="33" w16cid:durableId="601687206">
    <w:abstractNumId w:val="46"/>
  </w:num>
  <w:num w:numId="34" w16cid:durableId="1200435740">
    <w:abstractNumId w:val="20"/>
  </w:num>
  <w:num w:numId="35" w16cid:durableId="593247642">
    <w:abstractNumId w:val="38"/>
  </w:num>
  <w:num w:numId="36" w16cid:durableId="1949120863">
    <w:abstractNumId w:val="2"/>
  </w:num>
  <w:num w:numId="37" w16cid:durableId="162360608">
    <w:abstractNumId w:val="36"/>
  </w:num>
  <w:num w:numId="38" w16cid:durableId="17239413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60662442">
    <w:abstractNumId w:val="14"/>
  </w:num>
  <w:num w:numId="40" w16cid:durableId="1664818450">
    <w:abstractNumId w:val="25"/>
  </w:num>
  <w:num w:numId="41" w16cid:durableId="413553706">
    <w:abstractNumId w:val="23"/>
  </w:num>
  <w:num w:numId="42" w16cid:durableId="1502164581">
    <w:abstractNumId w:val="18"/>
  </w:num>
  <w:num w:numId="43" w16cid:durableId="1258172191">
    <w:abstractNumId w:val="33"/>
  </w:num>
  <w:num w:numId="44" w16cid:durableId="333726025">
    <w:abstractNumId w:val="1"/>
  </w:num>
  <w:num w:numId="45" w16cid:durableId="1292513749">
    <w:abstractNumId w:val="13"/>
  </w:num>
  <w:num w:numId="46" w16cid:durableId="231817856">
    <w:abstractNumId w:val="35"/>
  </w:num>
  <w:num w:numId="47" w16cid:durableId="521477896">
    <w:abstractNumId w:val="12"/>
  </w:num>
  <w:num w:numId="48" w16cid:durableId="1136215623">
    <w:abstractNumId w:val="3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02A5"/>
    <w:rsid w:val="00000493"/>
    <w:rsid w:val="00000878"/>
    <w:rsid w:val="00000A38"/>
    <w:rsid w:val="00000DEC"/>
    <w:rsid w:val="0000125A"/>
    <w:rsid w:val="00001D24"/>
    <w:rsid w:val="00002449"/>
    <w:rsid w:val="000030EB"/>
    <w:rsid w:val="0000334B"/>
    <w:rsid w:val="000033B1"/>
    <w:rsid w:val="00003F18"/>
    <w:rsid w:val="000047F7"/>
    <w:rsid w:val="0000481E"/>
    <w:rsid w:val="00004C2B"/>
    <w:rsid w:val="00004D92"/>
    <w:rsid w:val="000051F9"/>
    <w:rsid w:val="00006D38"/>
    <w:rsid w:val="0000769B"/>
    <w:rsid w:val="00007889"/>
    <w:rsid w:val="00007D93"/>
    <w:rsid w:val="00010A51"/>
    <w:rsid w:val="0001104A"/>
    <w:rsid w:val="000114FE"/>
    <w:rsid w:val="000117AC"/>
    <w:rsid w:val="00011F83"/>
    <w:rsid w:val="00012912"/>
    <w:rsid w:val="000129DE"/>
    <w:rsid w:val="00012ABC"/>
    <w:rsid w:val="00012C19"/>
    <w:rsid w:val="00015BDD"/>
    <w:rsid w:val="00015C58"/>
    <w:rsid w:val="00016EFC"/>
    <w:rsid w:val="000172E9"/>
    <w:rsid w:val="00017B1B"/>
    <w:rsid w:val="000200AE"/>
    <w:rsid w:val="00020CC4"/>
    <w:rsid w:val="0002152C"/>
    <w:rsid w:val="0002207A"/>
    <w:rsid w:val="000227BD"/>
    <w:rsid w:val="00022B9D"/>
    <w:rsid w:val="0002398B"/>
    <w:rsid w:val="0002448F"/>
    <w:rsid w:val="00024C35"/>
    <w:rsid w:val="00025A85"/>
    <w:rsid w:val="00025B42"/>
    <w:rsid w:val="00026AE9"/>
    <w:rsid w:val="00027397"/>
    <w:rsid w:val="00027707"/>
    <w:rsid w:val="00027CFB"/>
    <w:rsid w:val="00030A5B"/>
    <w:rsid w:val="00031E06"/>
    <w:rsid w:val="00032302"/>
    <w:rsid w:val="0003243B"/>
    <w:rsid w:val="00033E27"/>
    <w:rsid w:val="00034535"/>
    <w:rsid w:val="000347EB"/>
    <w:rsid w:val="00035641"/>
    <w:rsid w:val="000358E6"/>
    <w:rsid w:val="0003595A"/>
    <w:rsid w:val="0003670A"/>
    <w:rsid w:val="00036DDB"/>
    <w:rsid w:val="00036E4E"/>
    <w:rsid w:val="00037222"/>
    <w:rsid w:val="000376A6"/>
    <w:rsid w:val="000379CC"/>
    <w:rsid w:val="00037F63"/>
    <w:rsid w:val="000403D8"/>
    <w:rsid w:val="00040759"/>
    <w:rsid w:val="00040F3B"/>
    <w:rsid w:val="000411F7"/>
    <w:rsid w:val="00041914"/>
    <w:rsid w:val="0004218A"/>
    <w:rsid w:val="00042965"/>
    <w:rsid w:val="00043485"/>
    <w:rsid w:val="000434D8"/>
    <w:rsid w:val="00043A97"/>
    <w:rsid w:val="00043CC8"/>
    <w:rsid w:val="00043D45"/>
    <w:rsid w:val="000444DD"/>
    <w:rsid w:val="0004483E"/>
    <w:rsid w:val="00044A92"/>
    <w:rsid w:val="00044FAA"/>
    <w:rsid w:val="00045A8E"/>
    <w:rsid w:val="000461F2"/>
    <w:rsid w:val="00046F29"/>
    <w:rsid w:val="00047227"/>
    <w:rsid w:val="00047388"/>
    <w:rsid w:val="00050202"/>
    <w:rsid w:val="00051735"/>
    <w:rsid w:val="00051A6B"/>
    <w:rsid w:val="0005218B"/>
    <w:rsid w:val="000521B8"/>
    <w:rsid w:val="00052966"/>
    <w:rsid w:val="00052A22"/>
    <w:rsid w:val="000530BA"/>
    <w:rsid w:val="0005312B"/>
    <w:rsid w:val="0005359A"/>
    <w:rsid w:val="0005361C"/>
    <w:rsid w:val="000536F3"/>
    <w:rsid w:val="00053748"/>
    <w:rsid w:val="00053948"/>
    <w:rsid w:val="00054E47"/>
    <w:rsid w:val="00055E58"/>
    <w:rsid w:val="00056B31"/>
    <w:rsid w:val="00057C80"/>
    <w:rsid w:val="00057E67"/>
    <w:rsid w:val="00060C0F"/>
    <w:rsid w:val="000615EF"/>
    <w:rsid w:val="00062153"/>
    <w:rsid w:val="000623FE"/>
    <w:rsid w:val="000629CE"/>
    <w:rsid w:val="00064E8C"/>
    <w:rsid w:val="000666CF"/>
    <w:rsid w:val="00067CD0"/>
    <w:rsid w:val="00070258"/>
    <w:rsid w:val="000704D4"/>
    <w:rsid w:val="0007121D"/>
    <w:rsid w:val="00071D80"/>
    <w:rsid w:val="00074EA5"/>
    <w:rsid w:val="0007509A"/>
    <w:rsid w:val="00075644"/>
    <w:rsid w:val="0007619C"/>
    <w:rsid w:val="000766E5"/>
    <w:rsid w:val="00076772"/>
    <w:rsid w:val="00076899"/>
    <w:rsid w:val="00076956"/>
    <w:rsid w:val="00076EE7"/>
    <w:rsid w:val="00077818"/>
    <w:rsid w:val="00077D8A"/>
    <w:rsid w:val="0008096C"/>
    <w:rsid w:val="000817FC"/>
    <w:rsid w:val="00081B82"/>
    <w:rsid w:val="00081CD8"/>
    <w:rsid w:val="00081F1E"/>
    <w:rsid w:val="00082182"/>
    <w:rsid w:val="0008234F"/>
    <w:rsid w:val="00082ED2"/>
    <w:rsid w:val="0008383C"/>
    <w:rsid w:val="00084111"/>
    <w:rsid w:val="0008547A"/>
    <w:rsid w:val="00086D3A"/>
    <w:rsid w:val="000870A5"/>
    <w:rsid w:val="00091C7B"/>
    <w:rsid w:val="0009235E"/>
    <w:rsid w:val="0009297D"/>
    <w:rsid w:val="00092ED5"/>
    <w:rsid w:val="0009300B"/>
    <w:rsid w:val="0009594A"/>
    <w:rsid w:val="00095F93"/>
    <w:rsid w:val="00096134"/>
    <w:rsid w:val="00096BA4"/>
    <w:rsid w:val="00096FC8"/>
    <w:rsid w:val="000A070F"/>
    <w:rsid w:val="000A0B4E"/>
    <w:rsid w:val="000A0EF3"/>
    <w:rsid w:val="000A13F9"/>
    <w:rsid w:val="000A182F"/>
    <w:rsid w:val="000A1D9A"/>
    <w:rsid w:val="000A23FE"/>
    <w:rsid w:val="000A292B"/>
    <w:rsid w:val="000A3665"/>
    <w:rsid w:val="000A3F6F"/>
    <w:rsid w:val="000A469F"/>
    <w:rsid w:val="000A4F64"/>
    <w:rsid w:val="000A506B"/>
    <w:rsid w:val="000A5EF3"/>
    <w:rsid w:val="000A689A"/>
    <w:rsid w:val="000A6A04"/>
    <w:rsid w:val="000A6BB1"/>
    <w:rsid w:val="000A718E"/>
    <w:rsid w:val="000B0225"/>
    <w:rsid w:val="000B03BD"/>
    <w:rsid w:val="000B207E"/>
    <w:rsid w:val="000B2B66"/>
    <w:rsid w:val="000B30B4"/>
    <w:rsid w:val="000B4927"/>
    <w:rsid w:val="000B4AAA"/>
    <w:rsid w:val="000B56EC"/>
    <w:rsid w:val="000B61C8"/>
    <w:rsid w:val="000B6A19"/>
    <w:rsid w:val="000B7250"/>
    <w:rsid w:val="000B790D"/>
    <w:rsid w:val="000B7A12"/>
    <w:rsid w:val="000C0528"/>
    <w:rsid w:val="000C0FD8"/>
    <w:rsid w:val="000C1043"/>
    <w:rsid w:val="000C16D2"/>
    <w:rsid w:val="000C258A"/>
    <w:rsid w:val="000C265F"/>
    <w:rsid w:val="000C3803"/>
    <w:rsid w:val="000C43E6"/>
    <w:rsid w:val="000C44C7"/>
    <w:rsid w:val="000C462C"/>
    <w:rsid w:val="000C4E94"/>
    <w:rsid w:val="000C5987"/>
    <w:rsid w:val="000C59A3"/>
    <w:rsid w:val="000C6592"/>
    <w:rsid w:val="000C74A9"/>
    <w:rsid w:val="000C7601"/>
    <w:rsid w:val="000C7F17"/>
    <w:rsid w:val="000D0F6B"/>
    <w:rsid w:val="000D198E"/>
    <w:rsid w:val="000D2536"/>
    <w:rsid w:val="000D3249"/>
    <w:rsid w:val="000D43CB"/>
    <w:rsid w:val="000D4F06"/>
    <w:rsid w:val="000D4F4C"/>
    <w:rsid w:val="000D52EB"/>
    <w:rsid w:val="000D5745"/>
    <w:rsid w:val="000D5C29"/>
    <w:rsid w:val="000D7602"/>
    <w:rsid w:val="000E0206"/>
    <w:rsid w:val="000E051B"/>
    <w:rsid w:val="000E0EB7"/>
    <w:rsid w:val="000E2663"/>
    <w:rsid w:val="000E43C9"/>
    <w:rsid w:val="000E4C56"/>
    <w:rsid w:val="000E5293"/>
    <w:rsid w:val="000E5613"/>
    <w:rsid w:val="000E5DB1"/>
    <w:rsid w:val="000E66F7"/>
    <w:rsid w:val="000E6712"/>
    <w:rsid w:val="000E6F64"/>
    <w:rsid w:val="000E775C"/>
    <w:rsid w:val="000F03BC"/>
    <w:rsid w:val="000F0489"/>
    <w:rsid w:val="000F0B4A"/>
    <w:rsid w:val="000F0E63"/>
    <w:rsid w:val="000F1418"/>
    <w:rsid w:val="000F25B6"/>
    <w:rsid w:val="000F3117"/>
    <w:rsid w:val="000F330F"/>
    <w:rsid w:val="000F389A"/>
    <w:rsid w:val="000F3BAB"/>
    <w:rsid w:val="000F4461"/>
    <w:rsid w:val="000F4A73"/>
    <w:rsid w:val="000F6DCC"/>
    <w:rsid w:val="000F7E58"/>
    <w:rsid w:val="001005F4"/>
    <w:rsid w:val="001017FC"/>
    <w:rsid w:val="00102449"/>
    <w:rsid w:val="00103802"/>
    <w:rsid w:val="00103DE4"/>
    <w:rsid w:val="0010449D"/>
    <w:rsid w:val="00104FB9"/>
    <w:rsid w:val="00105841"/>
    <w:rsid w:val="00105CC0"/>
    <w:rsid w:val="00110F47"/>
    <w:rsid w:val="001114B1"/>
    <w:rsid w:val="00111D08"/>
    <w:rsid w:val="00112080"/>
    <w:rsid w:val="0011231C"/>
    <w:rsid w:val="001139C1"/>
    <w:rsid w:val="00114A6A"/>
    <w:rsid w:val="00116D01"/>
    <w:rsid w:val="00120A60"/>
    <w:rsid w:val="00120DCB"/>
    <w:rsid w:val="0012105A"/>
    <w:rsid w:val="00121490"/>
    <w:rsid w:val="001219C3"/>
    <w:rsid w:val="001222EC"/>
    <w:rsid w:val="0012257E"/>
    <w:rsid w:val="0012277E"/>
    <w:rsid w:val="001235C0"/>
    <w:rsid w:val="00125099"/>
    <w:rsid w:val="001252B9"/>
    <w:rsid w:val="0012557C"/>
    <w:rsid w:val="00125790"/>
    <w:rsid w:val="00125865"/>
    <w:rsid w:val="00125EA6"/>
    <w:rsid w:val="00126617"/>
    <w:rsid w:val="00130285"/>
    <w:rsid w:val="001302AE"/>
    <w:rsid w:val="00130A61"/>
    <w:rsid w:val="00131375"/>
    <w:rsid w:val="001313F4"/>
    <w:rsid w:val="00131F02"/>
    <w:rsid w:val="00132770"/>
    <w:rsid w:val="0013361C"/>
    <w:rsid w:val="00133A47"/>
    <w:rsid w:val="00134737"/>
    <w:rsid w:val="0013512A"/>
    <w:rsid w:val="001357E1"/>
    <w:rsid w:val="00135934"/>
    <w:rsid w:val="00135ADB"/>
    <w:rsid w:val="00135D9F"/>
    <w:rsid w:val="00136EFB"/>
    <w:rsid w:val="00137AD4"/>
    <w:rsid w:val="001400A5"/>
    <w:rsid w:val="00140404"/>
    <w:rsid w:val="001407C5"/>
    <w:rsid w:val="0014113C"/>
    <w:rsid w:val="0014169B"/>
    <w:rsid w:val="00141B51"/>
    <w:rsid w:val="00141F36"/>
    <w:rsid w:val="00142225"/>
    <w:rsid w:val="00142AA6"/>
    <w:rsid w:val="00142CF2"/>
    <w:rsid w:val="001442C4"/>
    <w:rsid w:val="00144D22"/>
    <w:rsid w:val="001457FC"/>
    <w:rsid w:val="00145992"/>
    <w:rsid w:val="00145D5C"/>
    <w:rsid w:val="00147308"/>
    <w:rsid w:val="001476DD"/>
    <w:rsid w:val="00147C9A"/>
    <w:rsid w:val="001502A8"/>
    <w:rsid w:val="0015063E"/>
    <w:rsid w:val="001509EA"/>
    <w:rsid w:val="00150D7E"/>
    <w:rsid w:val="00152E09"/>
    <w:rsid w:val="0015333A"/>
    <w:rsid w:val="001536E2"/>
    <w:rsid w:val="00156E46"/>
    <w:rsid w:val="00157814"/>
    <w:rsid w:val="001578CA"/>
    <w:rsid w:val="001606E7"/>
    <w:rsid w:val="001609E8"/>
    <w:rsid w:val="001613FD"/>
    <w:rsid w:val="001614E7"/>
    <w:rsid w:val="00161E75"/>
    <w:rsid w:val="0016244E"/>
    <w:rsid w:val="00162478"/>
    <w:rsid w:val="001625AA"/>
    <w:rsid w:val="00162DCF"/>
    <w:rsid w:val="00162EB8"/>
    <w:rsid w:val="001630BD"/>
    <w:rsid w:val="001634B4"/>
    <w:rsid w:val="001634E3"/>
    <w:rsid w:val="0016426E"/>
    <w:rsid w:val="001644C9"/>
    <w:rsid w:val="00164DA8"/>
    <w:rsid w:val="001651AE"/>
    <w:rsid w:val="0016559B"/>
    <w:rsid w:val="0016769E"/>
    <w:rsid w:val="001677A6"/>
    <w:rsid w:val="001679BB"/>
    <w:rsid w:val="00170A09"/>
    <w:rsid w:val="001729F5"/>
    <w:rsid w:val="00172E0F"/>
    <w:rsid w:val="00173369"/>
    <w:rsid w:val="001736F5"/>
    <w:rsid w:val="00174D5B"/>
    <w:rsid w:val="00175A74"/>
    <w:rsid w:val="00175AC1"/>
    <w:rsid w:val="00175F61"/>
    <w:rsid w:val="00177316"/>
    <w:rsid w:val="0017786C"/>
    <w:rsid w:val="00180664"/>
    <w:rsid w:val="00180DB3"/>
    <w:rsid w:val="00180F67"/>
    <w:rsid w:val="00180FE7"/>
    <w:rsid w:val="0018161E"/>
    <w:rsid w:val="00181A72"/>
    <w:rsid w:val="00181B24"/>
    <w:rsid w:val="001820C3"/>
    <w:rsid w:val="0018236E"/>
    <w:rsid w:val="001838E4"/>
    <w:rsid w:val="00184285"/>
    <w:rsid w:val="001845A0"/>
    <w:rsid w:val="00184C1E"/>
    <w:rsid w:val="00184F20"/>
    <w:rsid w:val="001853D2"/>
    <w:rsid w:val="0018549C"/>
    <w:rsid w:val="00185876"/>
    <w:rsid w:val="001858AE"/>
    <w:rsid w:val="00185BA4"/>
    <w:rsid w:val="00185EC5"/>
    <w:rsid w:val="00185FE3"/>
    <w:rsid w:val="00186A17"/>
    <w:rsid w:val="001877C3"/>
    <w:rsid w:val="00190004"/>
    <w:rsid w:val="001907B7"/>
    <w:rsid w:val="001907DA"/>
    <w:rsid w:val="00192ADD"/>
    <w:rsid w:val="00192D7F"/>
    <w:rsid w:val="00192F39"/>
    <w:rsid w:val="001931CA"/>
    <w:rsid w:val="00194A12"/>
    <w:rsid w:val="00195159"/>
    <w:rsid w:val="001952C2"/>
    <w:rsid w:val="0019578E"/>
    <w:rsid w:val="0019596F"/>
    <w:rsid w:val="00196AB7"/>
    <w:rsid w:val="00196FEA"/>
    <w:rsid w:val="00197A67"/>
    <w:rsid w:val="00197C12"/>
    <w:rsid w:val="00197E1C"/>
    <w:rsid w:val="001A002F"/>
    <w:rsid w:val="001A063A"/>
    <w:rsid w:val="001A1507"/>
    <w:rsid w:val="001A1D4F"/>
    <w:rsid w:val="001A24E6"/>
    <w:rsid w:val="001A27F3"/>
    <w:rsid w:val="001A309D"/>
    <w:rsid w:val="001A35EA"/>
    <w:rsid w:val="001A3987"/>
    <w:rsid w:val="001A3A92"/>
    <w:rsid w:val="001A4CB2"/>
    <w:rsid w:val="001A6626"/>
    <w:rsid w:val="001A7172"/>
    <w:rsid w:val="001A7744"/>
    <w:rsid w:val="001A7B4D"/>
    <w:rsid w:val="001B00FE"/>
    <w:rsid w:val="001B06A7"/>
    <w:rsid w:val="001B105D"/>
    <w:rsid w:val="001B14AA"/>
    <w:rsid w:val="001B1E0F"/>
    <w:rsid w:val="001B2F96"/>
    <w:rsid w:val="001B54F6"/>
    <w:rsid w:val="001B6BCA"/>
    <w:rsid w:val="001B6ED2"/>
    <w:rsid w:val="001B6F0D"/>
    <w:rsid w:val="001C00FF"/>
    <w:rsid w:val="001C106B"/>
    <w:rsid w:val="001C172E"/>
    <w:rsid w:val="001C1F06"/>
    <w:rsid w:val="001C26A7"/>
    <w:rsid w:val="001C3953"/>
    <w:rsid w:val="001C3BA5"/>
    <w:rsid w:val="001C47EC"/>
    <w:rsid w:val="001C4AD2"/>
    <w:rsid w:val="001C4D15"/>
    <w:rsid w:val="001C5902"/>
    <w:rsid w:val="001C5A53"/>
    <w:rsid w:val="001C68FB"/>
    <w:rsid w:val="001C6FC3"/>
    <w:rsid w:val="001C70DD"/>
    <w:rsid w:val="001C71F2"/>
    <w:rsid w:val="001C7263"/>
    <w:rsid w:val="001C7B47"/>
    <w:rsid w:val="001C7C42"/>
    <w:rsid w:val="001C7F90"/>
    <w:rsid w:val="001D0542"/>
    <w:rsid w:val="001D0C50"/>
    <w:rsid w:val="001D0F6C"/>
    <w:rsid w:val="001D1FE9"/>
    <w:rsid w:val="001D292F"/>
    <w:rsid w:val="001D2B02"/>
    <w:rsid w:val="001D40C7"/>
    <w:rsid w:val="001D4443"/>
    <w:rsid w:val="001D4478"/>
    <w:rsid w:val="001D4DE2"/>
    <w:rsid w:val="001D5A2E"/>
    <w:rsid w:val="001D5E66"/>
    <w:rsid w:val="001D664E"/>
    <w:rsid w:val="001D7645"/>
    <w:rsid w:val="001D7742"/>
    <w:rsid w:val="001D7D3D"/>
    <w:rsid w:val="001D7D85"/>
    <w:rsid w:val="001E04D8"/>
    <w:rsid w:val="001E0A8B"/>
    <w:rsid w:val="001E0BED"/>
    <w:rsid w:val="001E1A45"/>
    <w:rsid w:val="001E2650"/>
    <w:rsid w:val="001E3294"/>
    <w:rsid w:val="001E3458"/>
    <w:rsid w:val="001E3777"/>
    <w:rsid w:val="001E39E2"/>
    <w:rsid w:val="001E3C70"/>
    <w:rsid w:val="001E4A2D"/>
    <w:rsid w:val="001E4D6F"/>
    <w:rsid w:val="001E5261"/>
    <w:rsid w:val="001E5923"/>
    <w:rsid w:val="001E62C5"/>
    <w:rsid w:val="001E6DFF"/>
    <w:rsid w:val="001E763A"/>
    <w:rsid w:val="001E7A52"/>
    <w:rsid w:val="001E7BC5"/>
    <w:rsid w:val="001E7BDE"/>
    <w:rsid w:val="001F00A5"/>
    <w:rsid w:val="001F00D5"/>
    <w:rsid w:val="001F0605"/>
    <w:rsid w:val="001F1AFE"/>
    <w:rsid w:val="001F249F"/>
    <w:rsid w:val="001F3F69"/>
    <w:rsid w:val="001F4BA7"/>
    <w:rsid w:val="001F5312"/>
    <w:rsid w:val="001F5922"/>
    <w:rsid w:val="001F5DF8"/>
    <w:rsid w:val="001F6191"/>
    <w:rsid w:val="001F77B6"/>
    <w:rsid w:val="001F78CB"/>
    <w:rsid w:val="002009CD"/>
    <w:rsid w:val="0020199A"/>
    <w:rsid w:val="00201C1D"/>
    <w:rsid w:val="00201E41"/>
    <w:rsid w:val="00202248"/>
    <w:rsid w:val="002028D6"/>
    <w:rsid w:val="00203B6F"/>
    <w:rsid w:val="00204485"/>
    <w:rsid w:val="002052CC"/>
    <w:rsid w:val="002058F0"/>
    <w:rsid w:val="00206409"/>
    <w:rsid w:val="002071D3"/>
    <w:rsid w:val="0020734E"/>
    <w:rsid w:val="00207974"/>
    <w:rsid w:val="00211032"/>
    <w:rsid w:val="0021123A"/>
    <w:rsid w:val="00212CD0"/>
    <w:rsid w:val="00213436"/>
    <w:rsid w:val="0021380E"/>
    <w:rsid w:val="00213DF9"/>
    <w:rsid w:val="0021412C"/>
    <w:rsid w:val="0021550D"/>
    <w:rsid w:val="00216206"/>
    <w:rsid w:val="00216535"/>
    <w:rsid w:val="00216DCA"/>
    <w:rsid w:val="002170EC"/>
    <w:rsid w:val="00217D79"/>
    <w:rsid w:val="00217FB7"/>
    <w:rsid w:val="00220369"/>
    <w:rsid w:val="00220A73"/>
    <w:rsid w:val="002216A1"/>
    <w:rsid w:val="00221A82"/>
    <w:rsid w:val="0022255D"/>
    <w:rsid w:val="002225EB"/>
    <w:rsid w:val="0022330A"/>
    <w:rsid w:val="00223585"/>
    <w:rsid w:val="002236CB"/>
    <w:rsid w:val="002248DD"/>
    <w:rsid w:val="00224AE7"/>
    <w:rsid w:val="00225CF4"/>
    <w:rsid w:val="00226EBE"/>
    <w:rsid w:val="00226F07"/>
    <w:rsid w:val="00230268"/>
    <w:rsid w:val="00230364"/>
    <w:rsid w:val="0023085E"/>
    <w:rsid w:val="002313D3"/>
    <w:rsid w:val="0023187B"/>
    <w:rsid w:val="00231BD0"/>
    <w:rsid w:val="00231ED9"/>
    <w:rsid w:val="00232EE3"/>
    <w:rsid w:val="00233139"/>
    <w:rsid w:val="0023318B"/>
    <w:rsid w:val="00233E8C"/>
    <w:rsid w:val="002340C3"/>
    <w:rsid w:val="002341FF"/>
    <w:rsid w:val="00234994"/>
    <w:rsid w:val="002349A7"/>
    <w:rsid w:val="00234CB9"/>
    <w:rsid w:val="00235AAE"/>
    <w:rsid w:val="00235BB0"/>
    <w:rsid w:val="00235C9C"/>
    <w:rsid w:val="00235CA5"/>
    <w:rsid w:val="002366A9"/>
    <w:rsid w:val="002378FB"/>
    <w:rsid w:val="00241516"/>
    <w:rsid w:val="0024170F"/>
    <w:rsid w:val="0024192B"/>
    <w:rsid w:val="00242546"/>
    <w:rsid w:val="0024317C"/>
    <w:rsid w:val="002431C2"/>
    <w:rsid w:val="00243BD4"/>
    <w:rsid w:val="00244051"/>
    <w:rsid w:val="00244361"/>
    <w:rsid w:val="0024448D"/>
    <w:rsid w:val="00244AA1"/>
    <w:rsid w:val="002452D2"/>
    <w:rsid w:val="00245380"/>
    <w:rsid w:val="00246398"/>
    <w:rsid w:val="002464C5"/>
    <w:rsid w:val="00246A94"/>
    <w:rsid w:val="00251144"/>
    <w:rsid w:val="0025172C"/>
    <w:rsid w:val="00251E68"/>
    <w:rsid w:val="002534B9"/>
    <w:rsid w:val="002541C6"/>
    <w:rsid w:val="00254610"/>
    <w:rsid w:val="00254791"/>
    <w:rsid w:val="00254AB4"/>
    <w:rsid w:val="00255611"/>
    <w:rsid w:val="00256149"/>
    <w:rsid w:val="00256594"/>
    <w:rsid w:val="002572F0"/>
    <w:rsid w:val="00260605"/>
    <w:rsid w:val="002619E7"/>
    <w:rsid w:val="00261A76"/>
    <w:rsid w:val="00262800"/>
    <w:rsid w:val="00263599"/>
    <w:rsid w:val="00263AF4"/>
    <w:rsid w:val="00263B04"/>
    <w:rsid w:val="00263EE0"/>
    <w:rsid w:val="002642FC"/>
    <w:rsid w:val="00264578"/>
    <w:rsid w:val="00264B68"/>
    <w:rsid w:val="002664F9"/>
    <w:rsid w:val="00266A4D"/>
    <w:rsid w:val="00266EC4"/>
    <w:rsid w:val="00266F77"/>
    <w:rsid w:val="002673B5"/>
    <w:rsid w:val="00267FCE"/>
    <w:rsid w:val="00270032"/>
    <w:rsid w:val="00270E95"/>
    <w:rsid w:val="002712B6"/>
    <w:rsid w:val="002723AB"/>
    <w:rsid w:val="00272851"/>
    <w:rsid w:val="002738F2"/>
    <w:rsid w:val="00274615"/>
    <w:rsid w:val="00274A31"/>
    <w:rsid w:val="002758EF"/>
    <w:rsid w:val="00275DD8"/>
    <w:rsid w:val="00276332"/>
    <w:rsid w:val="00280672"/>
    <w:rsid w:val="00280827"/>
    <w:rsid w:val="00280D06"/>
    <w:rsid w:val="00280E01"/>
    <w:rsid w:val="002820A2"/>
    <w:rsid w:val="00282794"/>
    <w:rsid w:val="00282BEE"/>
    <w:rsid w:val="00282ECA"/>
    <w:rsid w:val="00283303"/>
    <w:rsid w:val="00284A01"/>
    <w:rsid w:val="00287633"/>
    <w:rsid w:val="0029013E"/>
    <w:rsid w:val="002915D1"/>
    <w:rsid w:val="002915FF"/>
    <w:rsid w:val="00291E86"/>
    <w:rsid w:val="002923CC"/>
    <w:rsid w:val="002929A9"/>
    <w:rsid w:val="00292B9A"/>
    <w:rsid w:val="00292D40"/>
    <w:rsid w:val="00292DD5"/>
    <w:rsid w:val="00292DF7"/>
    <w:rsid w:val="00293DAF"/>
    <w:rsid w:val="00293FE2"/>
    <w:rsid w:val="00294CC1"/>
    <w:rsid w:val="00294D14"/>
    <w:rsid w:val="00294FCE"/>
    <w:rsid w:val="0029554D"/>
    <w:rsid w:val="002955FC"/>
    <w:rsid w:val="002957EE"/>
    <w:rsid w:val="002967A3"/>
    <w:rsid w:val="00296A64"/>
    <w:rsid w:val="00296E12"/>
    <w:rsid w:val="00296EBF"/>
    <w:rsid w:val="0029734F"/>
    <w:rsid w:val="00297965"/>
    <w:rsid w:val="002979CB"/>
    <w:rsid w:val="00297AA3"/>
    <w:rsid w:val="002A0950"/>
    <w:rsid w:val="002A0AF1"/>
    <w:rsid w:val="002A110D"/>
    <w:rsid w:val="002A12C7"/>
    <w:rsid w:val="002A1B25"/>
    <w:rsid w:val="002A27CE"/>
    <w:rsid w:val="002A292C"/>
    <w:rsid w:val="002A3481"/>
    <w:rsid w:val="002A3A6F"/>
    <w:rsid w:val="002A40D5"/>
    <w:rsid w:val="002A56BC"/>
    <w:rsid w:val="002A57C2"/>
    <w:rsid w:val="002A5BAB"/>
    <w:rsid w:val="002A612E"/>
    <w:rsid w:val="002A6D62"/>
    <w:rsid w:val="002A740A"/>
    <w:rsid w:val="002B02DB"/>
    <w:rsid w:val="002B0EE8"/>
    <w:rsid w:val="002B0FB7"/>
    <w:rsid w:val="002B14E4"/>
    <w:rsid w:val="002B3A22"/>
    <w:rsid w:val="002B515A"/>
    <w:rsid w:val="002B51BF"/>
    <w:rsid w:val="002B56C3"/>
    <w:rsid w:val="002B5A76"/>
    <w:rsid w:val="002B674A"/>
    <w:rsid w:val="002B6B33"/>
    <w:rsid w:val="002B71C4"/>
    <w:rsid w:val="002B7D90"/>
    <w:rsid w:val="002C0D53"/>
    <w:rsid w:val="002C0D5A"/>
    <w:rsid w:val="002C0E0E"/>
    <w:rsid w:val="002C16FE"/>
    <w:rsid w:val="002C18F0"/>
    <w:rsid w:val="002C1FB9"/>
    <w:rsid w:val="002C27AB"/>
    <w:rsid w:val="002C3839"/>
    <w:rsid w:val="002C49E9"/>
    <w:rsid w:val="002C4A4A"/>
    <w:rsid w:val="002C562C"/>
    <w:rsid w:val="002C5918"/>
    <w:rsid w:val="002C5B8F"/>
    <w:rsid w:val="002C64E0"/>
    <w:rsid w:val="002C7364"/>
    <w:rsid w:val="002C78DD"/>
    <w:rsid w:val="002D034A"/>
    <w:rsid w:val="002D07FD"/>
    <w:rsid w:val="002D115B"/>
    <w:rsid w:val="002D11C3"/>
    <w:rsid w:val="002D2B18"/>
    <w:rsid w:val="002D39D7"/>
    <w:rsid w:val="002D42F6"/>
    <w:rsid w:val="002D450D"/>
    <w:rsid w:val="002D499C"/>
    <w:rsid w:val="002D49C7"/>
    <w:rsid w:val="002D4A73"/>
    <w:rsid w:val="002D5A39"/>
    <w:rsid w:val="002D5C2F"/>
    <w:rsid w:val="002D5CEA"/>
    <w:rsid w:val="002D673C"/>
    <w:rsid w:val="002D7D40"/>
    <w:rsid w:val="002E0532"/>
    <w:rsid w:val="002E09D5"/>
    <w:rsid w:val="002E1C26"/>
    <w:rsid w:val="002E22E4"/>
    <w:rsid w:val="002E2634"/>
    <w:rsid w:val="002E3BB8"/>
    <w:rsid w:val="002E3CAE"/>
    <w:rsid w:val="002E3D93"/>
    <w:rsid w:val="002E40E2"/>
    <w:rsid w:val="002E4C17"/>
    <w:rsid w:val="002E5577"/>
    <w:rsid w:val="002E55FE"/>
    <w:rsid w:val="002E5C4B"/>
    <w:rsid w:val="002E5FCE"/>
    <w:rsid w:val="002E65C9"/>
    <w:rsid w:val="002E6720"/>
    <w:rsid w:val="002E6938"/>
    <w:rsid w:val="002E7C3E"/>
    <w:rsid w:val="002E7D6F"/>
    <w:rsid w:val="002F00D1"/>
    <w:rsid w:val="002F00E4"/>
    <w:rsid w:val="002F06BA"/>
    <w:rsid w:val="002F06ED"/>
    <w:rsid w:val="002F1F43"/>
    <w:rsid w:val="002F20C2"/>
    <w:rsid w:val="002F2265"/>
    <w:rsid w:val="002F248B"/>
    <w:rsid w:val="002F355C"/>
    <w:rsid w:val="002F439A"/>
    <w:rsid w:val="002F493E"/>
    <w:rsid w:val="002F54DB"/>
    <w:rsid w:val="002F720B"/>
    <w:rsid w:val="002F7362"/>
    <w:rsid w:val="003002C6"/>
    <w:rsid w:val="00300AAF"/>
    <w:rsid w:val="0030114B"/>
    <w:rsid w:val="003018B1"/>
    <w:rsid w:val="003024FB"/>
    <w:rsid w:val="0030278E"/>
    <w:rsid w:val="00302CCE"/>
    <w:rsid w:val="00302E96"/>
    <w:rsid w:val="00302EDC"/>
    <w:rsid w:val="003030C4"/>
    <w:rsid w:val="003037C5"/>
    <w:rsid w:val="0030387C"/>
    <w:rsid w:val="00303922"/>
    <w:rsid w:val="00304D75"/>
    <w:rsid w:val="0030548D"/>
    <w:rsid w:val="00305787"/>
    <w:rsid w:val="003059AF"/>
    <w:rsid w:val="003059E8"/>
    <w:rsid w:val="00307956"/>
    <w:rsid w:val="003079F7"/>
    <w:rsid w:val="00307A57"/>
    <w:rsid w:val="00310CA0"/>
    <w:rsid w:val="0031104A"/>
    <w:rsid w:val="00311A3B"/>
    <w:rsid w:val="00311EFE"/>
    <w:rsid w:val="00312E34"/>
    <w:rsid w:val="00313186"/>
    <w:rsid w:val="00313312"/>
    <w:rsid w:val="00314294"/>
    <w:rsid w:val="003146F5"/>
    <w:rsid w:val="00314A04"/>
    <w:rsid w:val="00314C5A"/>
    <w:rsid w:val="00314E76"/>
    <w:rsid w:val="00315346"/>
    <w:rsid w:val="003158AA"/>
    <w:rsid w:val="00316357"/>
    <w:rsid w:val="00316928"/>
    <w:rsid w:val="00317206"/>
    <w:rsid w:val="00317A5C"/>
    <w:rsid w:val="00317EFB"/>
    <w:rsid w:val="00320CAF"/>
    <w:rsid w:val="003210C5"/>
    <w:rsid w:val="00321215"/>
    <w:rsid w:val="003214F8"/>
    <w:rsid w:val="0032152A"/>
    <w:rsid w:val="00321777"/>
    <w:rsid w:val="00321F51"/>
    <w:rsid w:val="00321F88"/>
    <w:rsid w:val="0032300C"/>
    <w:rsid w:val="003232DA"/>
    <w:rsid w:val="00324851"/>
    <w:rsid w:val="003248AC"/>
    <w:rsid w:val="00324CB6"/>
    <w:rsid w:val="003256F8"/>
    <w:rsid w:val="003260DC"/>
    <w:rsid w:val="00326BA2"/>
    <w:rsid w:val="0032706E"/>
    <w:rsid w:val="00327A7C"/>
    <w:rsid w:val="00327B10"/>
    <w:rsid w:val="00330220"/>
    <w:rsid w:val="00331562"/>
    <w:rsid w:val="00331740"/>
    <w:rsid w:val="0033214B"/>
    <w:rsid w:val="003323E4"/>
    <w:rsid w:val="00333341"/>
    <w:rsid w:val="003339DC"/>
    <w:rsid w:val="00333CDF"/>
    <w:rsid w:val="003349E2"/>
    <w:rsid w:val="0033574D"/>
    <w:rsid w:val="00335962"/>
    <w:rsid w:val="0034012D"/>
    <w:rsid w:val="00340CD6"/>
    <w:rsid w:val="00341060"/>
    <w:rsid w:val="003416A9"/>
    <w:rsid w:val="00341C86"/>
    <w:rsid w:val="003421C9"/>
    <w:rsid w:val="00342379"/>
    <w:rsid w:val="00342E12"/>
    <w:rsid w:val="003431B9"/>
    <w:rsid w:val="00343599"/>
    <w:rsid w:val="00343974"/>
    <w:rsid w:val="003446E4"/>
    <w:rsid w:val="003447C8"/>
    <w:rsid w:val="00345368"/>
    <w:rsid w:val="003458D9"/>
    <w:rsid w:val="003502F7"/>
    <w:rsid w:val="00350DC9"/>
    <w:rsid w:val="00351079"/>
    <w:rsid w:val="00351A90"/>
    <w:rsid w:val="003520AC"/>
    <w:rsid w:val="003520F4"/>
    <w:rsid w:val="00352222"/>
    <w:rsid w:val="003523C3"/>
    <w:rsid w:val="00352F0E"/>
    <w:rsid w:val="00353341"/>
    <w:rsid w:val="00354249"/>
    <w:rsid w:val="00354695"/>
    <w:rsid w:val="00354C41"/>
    <w:rsid w:val="00354ED8"/>
    <w:rsid w:val="00354F8E"/>
    <w:rsid w:val="003556ED"/>
    <w:rsid w:val="00357525"/>
    <w:rsid w:val="00357C15"/>
    <w:rsid w:val="00360AA6"/>
    <w:rsid w:val="00360DCA"/>
    <w:rsid w:val="00362534"/>
    <w:rsid w:val="00363A29"/>
    <w:rsid w:val="00364434"/>
    <w:rsid w:val="003645E2"/>
    <w:rsid w:val="00364E2E"/>
    <w:rsid w:val="00365874"/>
    <w:rsid w:val="00365EC6"/>
    <w:rsid w:val="0036638E"/>
    <w:rsid w:val="0037183B"/>
    <w:rsid w:val="00373065"/>
    <w:rsid w:val="00373285"/>
    <w:rsid w:val="0037341D"/>
    <w:rsid w:val="0037389B"/>
    <w:rsid w:val="00373F55"/>
    <w:rsid w:val="003740B5"/>
    <w:rsid w:val="00375458"/>
    <w:rsid w:val="00375481"/>
    <w:rsid w:val="00375A6C"/>
    <w:rsid w:val="00376618"/>
    <w:rsid w:val="0037724F"/>
    <w:rsid w:val="00377845"/>
    <w:rsid w:val="00377B61"/>
    <w:rsid w:val="00377CC2"/>
    <w:rsid w:val="003801FF"/>
    <w:rsid w:val="00380782"/>
    <w:rsid w:val="00382818"/>
    <w:rsid w:val="003828B7"/>
    <w:rsid w:val="0038307A"/>
    <w:rsid w:val="00383596"/>
    <w:rsid w:val="00384121"/>
    <w:rsid w:val="00384497"/>
    <w:rsid w:val="00384499"/>
    <w:rsid w:val="00384664"/>
    <w:rsid w:val="003862D9"/>
    <w:rsid w:val="003862DE"/>
    <w:rsid w:val="00390D3F"/>
    <w:rsid w:val="00390D69"/>
    <w:rsid w:val="0039109C"/>
    <w:rsid w:val="00392214"/>
    <w:rsid w:val="003924BB"/>
    <w:rsid w:val="00392ED3"/>
    <w:rsid w:val="00394047"/>
    <w:rsid w:val="003942CC"/>
    <w:rsid w:val="00394AC3"/>
    <w:rsid w:val="00394C25"/>
    <w:rsid w:val="00394DB9"/>
    <w:rsid w:val="003952FF"/>
    <w:rsid w:val="00396C0F"/>
    <w:rsid w:val="0039767F"/>
    <w:rsid w:val="003A02A8"/>
    <w:rsid w:val="003A03B4"/>
    <w:rsid w:val="003A084D"/>
    <w:rsid w:val="003A2458"/>
    <w:rsid w:val="003A26E9"/>
    <w:rsid w:val="003A2DEA"/>
    <w:rsid w:val="003A2FAC"/>
    <w:rsid w:val="003A3164"/>
    <w:rsid w:val="003A369D"/>
    <w:rsid w:val="003A3A32"/>
    <w:rsid w:val="003A4176"/>
    <w:rsid w:val="003A41F1"/>
    <w:rsid w:val="003A49D2"/>
    <w:rsid w:val="003A6339"/>
    <w:rsid w:val="003A6C9B"/>
    <w:rsid w:val="003A725B"/>
    <w:rsid w:val="003A74DF"/>
    <w:rsid w:val="003B0271"/>
    <w:rsid w:val="003B0410"/>
    <w:rsid w:val="003B18A4"/>
    <w:rsid w:val="003B1DB5"/>
    <w:rsid w:val="003B200B"/>
    <w:rsid w:val="003B288F"/>
    <w:rsid w:val="003B432D"/>
    <w:rsid w:val="003B4E4C"/>
    <w:rsid w:val="003B6D7F"/>
    <w:rsid w:val="003B7AA0"/>
    <w:rsid w:val="003C04E3"/>
    <w:rsid w:val="003C078F"/>
    <w:rsid w:val="003C0983"/>
    <w:rsid w:val="003C11D6"/>
    <w:rsid w:val="003C16FC"/>
    <w:rsid w:val="003C33BA"/>
    <w:rsid w:val="003C3721"/>
    <w:rsid w:val="003C3ED2"/>
    <w:rsid w:val="003C45B6"/>
    <w:rsid w:val="003C4727"/>
    <w:rsid w:val="003C4797"/>
    <w:rsid w:val="003C4EF6"/>
    <w:rsid w:val="003C5459"/>
    <w:rsid w:val="003C71DF"/>
    <w:rsid w:val="003D0009"/>
    <w:rsid w:val="003D11A3"/>
    <w:rsid w:val="003D1226"/>
    <w:rsid w:val="003D1394"/>
    <w:rsid w:val="003D152D"/>
    <w:rsid w:val="003D15A1"/>
    <w:rsid w:val="003D1C4B"/>
    <w:rsid w:val="003D206B"/>
    <w:rsid w:val="003D25E4"/>
    <w:rsid w:val="003D2E05"/>
    <w:rsid w:val="003D2F5C"/>
    <w:rsid w:val="003D3107"/>
    <w:rsid w:val="003D35B8"/>
    <w:rsid w:val="003D4382"/>
    <w:rsid w:val="003D4FA3"/>
    <w:rsid w:val="003D508A"/>
    <w:rsid w:val="003D521D"/>
    <w:rsid w:val="003D56D6"/>
    <w:rsid w:val="003D5A95"/>
    <w:rsid w:val="003D5C35"/>
    <w:rsid w:val="003D66EF"/>
    <w:rsid w:val="003D69B2"/>
    <w:rsid w:val="003D6B82"/>
    <w:rsid w:val="003D6D6F"/>
    <w:rsid w:val="003D7036"/>
    <w:rsid w:val="003D7599"/>
    <w:rsid w:val="003E0140"/>
    <w:rsid w:val="003E02C3"/>
    <w:rsid w:val="003E04BF"/>
    <w:rsid w:val="003E0C42"/>
    <w:rsid w:val="003E10E7"/>
    <w:rsid w:val="003E290F"/>
    <w:rsid w:val="003E35BC"/>
    <w:rsid w:val="003E3CED"/>
    <w:rsid w:val="003E3FD1"/>
    <w:rsid w:val="003E476C"/>
    <w:rsid w:val="003E4A80"/>
    <w:rsid w:val="003E4EE2"/>
    <w:rsid w:val="003E53A5"/>
    <w:rsid w:val="003E58FC"/>
    <w:rsid w:val="003E7EA2"/>
    <w:rsid w:val="003F0C65"/>
    <w:rsid w:val="003F1B91"/>
    <w:rsid w:val="003F1FB1"/>
    <w:rsid w:val="003F2495"/>
    <w:rsid w:val="003F2865"/>
    <w:rsid w:val="003F2FB1"/>
    <w:rsid w:val="003F3000"/>
    <w:rsid w:val="003F3C39"/>
    <w:rsid w:val="003F4C6F"/>
    <w:rsid w:val="003F7355"/>
    <w:rsid w:val="003F7DB8"/>
    <w:rsid w:val="00400627"/>
    <w:rsid w:val="00400AE0"/>
    <w:rsid w:val="00401852"/>
    <w:rsid w:val="0040188F"/>
    <w:rsid w:val="0040210C"/>
    <w:rsid w:val="004023BE"/>
    <w:rsid w:val="00402DAA"/>
    <w:rsid w:val="00402E22"/>
    <w:rsid w:val="004032A5"/>
    <w:rsid w:val="00403463"/>
    <w:rsid w:val="00404588"/>
    <w:rsid w:val="00404D1D"/>
    <w:rsid w:val="00404D94"/>
    <w:rsid w:val="00405A93"/>
    <w:rsid w:val="00406188"/>
    <w:rsid w:val="0040727C"/>
    <w:rsid w:val="00407411"/>
    <w:rsid w:val="004104DB"/>
    <w:rsid w:val="00410874"/>
    <w:rsid w:val="00411E18"/>
    <w:rsid w:val="00411E3B"/>
    <w:rsid w:val="004122DD"/>
    <w:rsid w:val="0041247F"/>
    <w:rsid w:val="00412891"/>
    <w:rsid w:val="00413BBC"/>
    <w:rsid w:val="00416183"/>
    <w:rsid w:val="0041727A"/>
    <w:rsid w:val="00420D02"/>
    <w:rsid w:val="004216ED"/>
    <w:rsid w:val="00423F03"/>
    <w:rsid w:val="0042468B"/>
    <w:rsid w:val="0042518F"/>
    <w:rsid w:val="004253BC"/>
    <w:rsid w:val="004255EF"/>
    <w:rsid w:val="004257EC"/>
    <w:rsid w:val="0042595C"/>
    <w:rsid w:val="0042673D"/>
    <w:rsid w:val="00426DB0"/>
    <w:rsid w:val="00426F8B"/>
    <w:rsid w:val="00427842"/>
    <w:rsid w:val="004300BB"/>
    <w:rsid w:val="00430449"/>
    <w:rsid w:val="00430D6C"/>
    <w:rsid w:val="0043102D"/>
    <w:rsid w:val="00431088"/>
    <w:rsid w:val="00431341"/>
    <w:rsid w:val="00431A06"/>
    <w:rsid w:val="004324D6"/>
    <w:rsid w:val="00433545"/>
    <w:rsid w:val="0043549D"/>
    <w:rsid w:val="0043644D"/>
    <w:rsid w:val="004374D5"/>
    <w:rsid w:val="00437567"/>
    <w:rsid w:val="004377D6"/>
    <w:rsid w:val="004402DD"/>
    <w:rsid w:val="0044131F"/>
    <w:rsid w:val="0044158E"/>
    <w:rsid w:val="00441643"/>
    <w:rsid w:val="004429AF"/>
    <w:rsid w:val="00442A93"/>
    <w:rsid w:val="00442FB2"/>
    <w:rsid w:val="00443012"/>
    <w:rsid w:val="004435D7"/>
    <w:rsid w:val="00444216"/>
    <w:rsid w:val="0044505B"/>
    <w:rsid w:val="00445996"/>
    <w:rsid w:val="00446E09"/>
    <w:rsid w:val="00447723"/>
    <w:rsid w:val="00447DCC"/>
    <w:rsid w:val="00447E60"/>
    <w:rsid w:val="00451976"/>
    <w:rsid w:val="0045238F"/>
    <w:rsid w:val="00452C63"/>
    <w:rsid w:val="00452CEB"/>
    <w:rsid w:val="00452EAB"/>
    <w:rsid w:val="00453C85"/>
    <w:rsid w:val="00454433"/>
    <w:rsid w:val="004547B0"/>
    <w:rsid w:val="00454A17"/>
    <w:rsid w:val="004554D0"/>
    <w:rsid w:val="00455CF5"/>
    <w:rsid w:val="00456387"/>
    <w:rsid w:val="0045657C"/>
    <w:rsid w:val="00457273"/>
    <w:rsid w:val="0045782A"/>
    <w:rsid w:val="00457B23"/>
    <w:rsid w:val="004616A4"/>
    <w:rsid w:val="00461AB0"/>
    <w:rsid w:val="00461BC2"/>
    <w:rsid w:val="00461BDD"/>
    <w:rsid w:val="0046231B"/>
    <w:rsid w:val="00462381"/>
    <w:rsid w:val="00462ABE"/>
    <w:rsid w:val="004637E3"/>
    <w:rsid w:val="00463DEF"/>
    <w:rsid w:val="00464057"/>
    <w:rsid w:val="0046413C"/>
    <w:rsid w:val="004645B0"/>
    <w:rsid w:val="004645C2"/>
    <w:rsid w:val="0046468E"/>
    <w:rsid w:val="0046472E"/>
    <w:rsid w:val="00464CA9"/>
    <w:rsid w:val="00465814"/>
    <w:rsid w:val="0046587D"/>
    <w:rsid w:val="00465E22"/>
    <w:rsid w:val="0046614B"/>
    <w:rsid w:val="004669BA"/>
    <w:rsid w:val="00466BE0"/>
    <w:rsid w:val="00466FA5"/>
    <w:rsid w:val="004676C0"/>
    <w:rsid w:val="00467B51"/>
    <w:rsid w:val="004701C7"/>
    <w:rsid w:val="00470F2B"/>
    <w:rsid w:val="0047158D"/>
    <w:rsid w:val="00473039"/>
    <w:rsid w:val="00473266"/>
    <w:rsid w:val="004737E2"/>
    <w:rsid w:val="00474041"/>
    <w:rsid w:val="00474058"/>
    <w:rsid w:val="00475F8C"/>
    <w:rsid w:val="004763CE"/>
    <w:rsid w:val="004763F6"/>
    <w:rsid w:val="00477554"/>
    <w:rsid w:val="00477CB3"/>
    <w:rsid w:val="00480257"/>
    <w:rsid w:val="0048047E"/>
    <w:rsid w:val="00480CC2"/>
    <w:rsid w:val="004810E3"/>
    <w:rsid w:val="00481240"/>
    <w:rsid w:val="00481499"/>
    <w:rsid w:val="004823BC"/>
    <w:rsid w:val="0048323B"/>
    <w:rsid w:val="004833BE"/>
    <w:rsid w:val="0048458F"/>
    <w:rsid w:val="00484CFF"/>
    <w:rsid w:val="0048571A"/>
    <w:rsid w:val="004858AA"/>
    <w:rsid w:val="004863D7"/>
    <w:rsid w:val="00486788"/>
    <w:rsid w:val="00487A26"/>
    <w:rsid w:val="00490FD7"/>
    <w:rsid w:val="004916A3"/>
    <w:rsid w:val="00491D95"/>
    <w:rsid w:val="00493B87"/>
    <w:rsid w:val="00494E3C"/>
    <w:rsid w:val="004962BF"/>
    <w:rsid w:val="00496384"/>
    <w:rsid w:val="0049693E"/>
    <w:rsid w:val="00497E39"/>
    <w:rsid w:val="004A144C"/>
    <w:rsid w:val="004A16B7"/>
    <w:rsid w:val="004A1B0D"/>
    <w:rsid w:val="004A21D4"/>
    <w:rsid w:val="004A3728"/>
    <w:rsid w:val="004A44DF"/>
    <w:rsid w:val="004A4506"/>
    <w:rsid w:val="004A46A3"/>
    <w:rsid w:val="004A5746"/>
    <w:rsid w:val="004A6654"/>
    <w:rsid w:val="004A6865"/>
    <w:rsid w:val="004A6B68"/>
    <w:rsid w:val="004A78CB"/>
    <w:rsid w:val="004B1601"/>
    <w:rsid w:val="004B1D94"/>
    <w:rsid w:val="004B2A00"/>
    <w:rsid w:val="004B3B2D"/>
    <w:rsid w:val="004B3D0F"/>
    <w:rsid w:val="004B3E2E"/>
    <w:rsid w:val="004B480B"/>
    <w:rsid w:val="004B4D69"/>
    <w:rsid w:val="004B50B4"/>
    <w:rsid w:val="004B574C"/>
    <w:rsid w:val="004B5969"/>
    <w:rsid w:val="004B5C3A"/>
    <w:rsid w:val="004B6068"/>
    <w:rsid w:val="004B690B"/>
    <w:rsid w:val="004B69D5"/>
    <w:rsid w:val="004B6C2A"/>
    <w:rsid w:val="004B7345"/>
    <w:rsid w:val="004B76E4"/>
    <w:rsid w:val="004B7804"/>
    <w:rsid w:val="004B7AFC"/>
    <w:rsid w:val="004C13A8"/>
    <w:rsid w:val="004C1C8A"/>
    <w:rsid w:val="004C2507"/>
    <w:rsid w:val="004C2798"/>
    <w:rsid w:val="004C2A6E"/>
    <w:rsid w:val="004C2ADC"/>
    <w:rsid w:val="004C2CA5"/>
    <w:rsid w:val="004C349B"/>
    <w:rsid w:val="004C3ACD"/>
    <w:rsid w:val="004C3BE3"/>
    <w:rsid w:val="004C3D05"/>
    <w:rsid w:val="004C3E29"/>
    <w:rsid w:val="004C40AC"/>
    <w:rsid w:val="004C41C9"/>
    <w:rsid w:val="004C4789"/>
    <w:rsid w:val="004C4A1A"/>
    <w:rsid w:val="004C4E47"/>
    <w:rsid w:val="004C52C3"/>
    <w:rsid w:val="004C6A1E"/>
    <w:rsid w:val="004C78F3"/>
    <w:rsid w:val="004D003D"/>
    <w:rsid w:val="004D00BD"/>
    <w:rsid w:val="004D09F9"/>
    <w:rsid w:val="004D0F88"/>
    <w:rsid w:val="004D13CB"/>
    <w:rsid w:val="004D16F0"/>
    <w:rsid w:val="004D174C"/>
    <w:rsid w:val="004D1E63"/>
    <w:rsid w:val="004D1F4F"/>
    <w:rsid w:val="004D2486"/>
    <w:rsid w:val="004D2548"/>
    <w:rsid w:val="004D3868"/>
    <w:rsid w:val="004D387C"/>
    <w:rsid w:val="004D3ED8"/>
    <w:rsid w:val="004D4E80"/>
    <w:rsid w:val="004D4F02"/>
    <w:rsid w:val="004D4F59"/>
    <w:rsid w:val="004D4F91"/>
    <w:rsid w:val="004D54B9"/>
    <w:rsid w:val="004D5D86"/>
    <w:rsid w:val="004D5D9D"/>
    <w:rsid w:val="004D6694"/>
    <w:rsid w:val="004D6CF9"/>
    <w:rsid w:val="004E0F00"/>
    <w:rsid w:val="004E1227"/>
    <w:rsid w:val="004E1ECE"/>
    <w:rsid w:val="004E1FED"/>
    <w:rsid w:val="004E23D3"/>
    <w:rsid w:val="004E26EF"/>
    <w:rsid w:val="004E2F98"/>
    <w:rsid w:val="004E4A49"/>
    <w:rsid w:val="004E7321"/>
    <w:rsid w:val="004E7595"/>
    <w:rsid w:val="004E7716"/>
    <w:rsid w:val="004F0030"/>
    <w:rsid w:val="004F05B0"/>
    <w:rsid w:val="004F0739"/>
    <w:rsid w:val="004F1B17"/>
    <w:rsid w:val="004F2492"/>
    <w:rsid w:val="004F3123"/>
    <w:rsid w:val="004F36A8"/>
    <w:rsid w:val="004F41CD"/>
    <w:rsid w:val="004F57D2"/>
    <w:rsid w:val="004F5A4F"/>
    <w:rsid w:val="004F5AC9"/>
    <w:rsid w:val="004F6222"/>
    <w:rsid w:val="004F6AFE"/>
    <w:rsid w:val="004F72A3"/>
    <w:rsid w:val="004F78F8"/>
    <w:rsid w:val="0050014A"/>
    <w:rsid w:val="00501C26"/>
    <w:rsid w:val="00502543"/>
    <w:rsid w:val="0050268D"/>
    <w:rsid w:val="005038EA"/>
    <w:rsid w:val="005046FA"/>
    <w:rsid w:val="00504CEE"/>
    <w:rsid w:val="00504D66"/>
    <w:rsid w:val="005050B9"/>
    <w:rsid w:val="00505191"/>
    <w:rsid w:val="00505EB9"/>
    <w:rsid w:val="00506074"/>
    <w:rsid w:val="0050625A"/>
    <w:rsid w:val="0050723F"/>
    <w:rsid w:val="005072CE"/>
    <w:rsid w:val="00507555"/>
    <w:rsid w:val="00507FD3"/>
    <w:rsid w:val="00510AF1"/>
    <w:rsid w:val="005113D7"/>
    <w:rsid w:val="005116BA"/>
    <w:rsid w:val="00512314"/>
    <w:rsid w:val="0051244D"/>
    <w:rsid w:val="0051261E"/>
    <w:rsid w:val="00513671"/>
    <w:rsid w:val="0051375F"/>
    <w:rsid w:val="00513E38"/>
    <w:rsid w:val="005141CD"/>
    <w:rsid w:val="00515055"/>
    <w:rsid w:val="0051553A"/>
    <w:rsid w:val="00515C3E"/>
    <w:rsid w:val="00515ED4"/>
    <w:rsid w:val="005172DC"/>
    <w:rsid w:val="005172F5"/>
    <w:rsid w:val="00521B22"/>
    <w:rsid w:val="00522714"/>
    <w:rsid w:val="00523618"/>
    <w:rsid w:val="00524D34"/>
    <w:rsid w:val="005255B8"/>
    <w:rsid w:val="0052562F"/>
    <w:rsid w:val="00525A3C"/>
    <w:rsid w:val="00527115"/>
    <w:rsid w:val="0052749E"/>
    <w:rsid w:val="00527F7D"/>
    <w:rsid w:val="0053027E"/>
    <w:rsid w:val="00530461"/>
    <w:rsid w:val="0053114F"/>
    <w:rsid w:val="00531638"/>
    <w:rsid w:val="0053177B"/>
    <w:rsid w:val="00532397"/>
    <w:rsid w:val="00532675"/>
    <w:rsid w:val="005335F9"/>
    <w:rsid w:val="00533755"/>
    <w:rsid w:val="00533B82"/>
    <w:rsid w:val="005343D4"/>
    <w:rsid w:val="00535FFE"/>
    <w:rsid w:val="005361D2"/>
    <w:rsid w:val="00536869"/>
    <w:rsid w:val="00536B13"/>
    <w:rsid w:val="00537C48"/>
    <w:rsid w:val="00537E50"/>
    <w:rsid w:val="0054014D"/>
    <w:rsid w:val="00540643"/>
    <w:rsid w:val="00540960"/>
    <w:rsid w:val="00540A14"/>
    <w:rsid w:val="00540D91"/>
    <w:rsid w:val="0054121E"/>
    <w:rsid w:val="00541362"/>
    <w:rsid w:val="00541DE6"/>
    <w:rsid w:val="00542098"/>
    <w:rsid w:val="005434C7"/>
    <w:rsid w:val="00544080"/>
    <w:rsid w:val="00544486"/>
    <w:rsid w:val="00545783"/>
    <w:rsid w:val="00546688"/>
    <w:rsid w:val="00550639"/>
    <w:rsid w:val="00550AEC"/>
    <w:rsid w:val="005519FD"/>
    <w:rsid w:val="00551A24"/>
    <w:rsid w:val="00552F73"/>
    <w:rsid w:val="00553EB3"/>
    <w:rsid w:val="00553FB4"/>
    <w:rsid w:val="00554792"/>
    <w:rsid w:val="00554C3F"/>
    <w:rsid w:val="005550D2"/>
    <w:rsid w:val="00555DB0"/>
    <w:rsid w:val="00555E2C"/>
    <w:rsid w:val="00555EB8"/>
    <w:rsid w:val="00555EBA"/>
    <w:rsid w:val="005564DA"/>
    <w:rsid w:val="00557C4F"/>
    <w:rsid w:val="00557E38"/>
    <w:rsid w:val="005606BD"/>
    <w:rsid w:val="00560B23"/>
    <w:rsid w:val="005614B8"/>
    <w:rsid w:val="005618F7"/>
    <w:rsid w:val="00561EDC"/>
    <w:rsid w:val="0056336D"/>
    <w:rsid w:val="005635AE"/>
    <w:rsid w:val="005642E8"/>
    <w:rsid w:val="005648AF"/>
    <w:rsid w:val="00564F9B"/>
    <w:rsid w:val="00565234"/>
    <w:rsid w:val="005654EE"/>
    <w:rsid w:val="00565793"/>
    <w:rsid w:val="00565819"/>
    <w:rsid w:val="005658D8"/>
    <w:rsid w:val="00567D1D"/>
    <w:rsid w:val="00570038"/>
    <w:rsid w:val="00570EB5"/>
    <w:rsid w:val="00573158"/>
    <w:rsid w:val="005733DC"/>
    <w:rsid w:val="0057344F"/>
    <w:rsid w:val="00573BC4"/>
    <w:rsid w:val="005742B0"/>
    <w:rsid w:val="00574C61"/>
    <w:rsid w:val="0057554D"/>
    <w:rsid w:val="00575771"/>
    <w:rsid w:val="00575B32"/>
    <w:rsid w:val="00575F9D"/>
    <w:rsid w:val="005776D4"/>
    <w:rsid w:val="00577A7E"/>
    <w:rsid w:val="00577BD3"/>
    <w:rsid w:val="00577C24"/>
    <w:rsid w:val="00577F7E"/>
    <w:rsid w:val="00581BE1"/>
    <w:rsid w:val="0058466F"/>
    <w:rsid w:val="005846E8"/>
    <w:rsid w:val="005846F6"/>
    <w:rsid w:val="00584773"/>
    <w:rsid w:val="00585BCC"/>
    <w:rsid w:val="00585D71"/>
    <w:rsid w:val="00586247"/>
    <w:rsid w:val="00586276"/>
    <w:rsid w:val="00587ACA"/>
    <w:rsid w:val="00587EBE"/>
    <w:rsid w:val="0059017C"/>
    <w:rsid w:val="00590FBA"/>
    <w:rsid w:val="005913D6"/>
    <w:rsid w:val="005915CE"/>
    <w:rsid w:val="005917B8"/>
    <w:rsid w:val="0059227C"/>
    <w:rsid w:val="00592F1E"/>
    <w:rsid w:val="005932A2"/>
    <w:rsid w:val="005935C2"/>
    <w:rsid w:val="00594561"/>
    <w:rsid w:val="005973B2"/>
    <w:rsid w:val="0059798D"/>
    <w:rsid w:val="005979C2"/>
    <w:rsid w:val="00597A51"/>
    <w:rsid w:val="00597ED7"/>
    <w:rsid w:val="005A0FA5"/>
    <w:rsid w:val="005A0FDB"/>
    <w:rsid w:val="005A10A8"/>
    <w:rsid w:val="005A1828"/>
    <w:rsid w:val="005A2142"/>
    <w:rsid w:val="005A2867"/>
    <w:rsid w:val="005A3ED4"/>
    <w:rsid w:val="005A436D"/>
    <w:rsid w:val="005A4CE4"/>
    <w:rsid w:val="005A4DF7"/>
    <w:rsid w:val="005A59A0"/>
    <w:rsid w:val="005A5A7C"/>
    <w:rsid w:val="005A6F97"/>
    <w:rsid w:val="005B0A8F"/>
    <w:rsid w:val="005B0B8A"/>
    <w:rsid w:val="005B119A"/>
    <w:rsid w:val="005B1B2D"/>
    <w:rsid w:val="005B2959"/>
    <w:rsid w:val="005B2D8C"/>
    <w:rsid w:val="005B2EB0"/>
    <w:rsid w:val="005B32A1"/>
    <w:rsid w:val="005B3755"/>
    <w:rsid w:val="005B37FE"/>
    <w:rsid w:val="005B3DFE"/>
    <w:rsid w:val="005B542D"/>
    <w:rsid w:val="005B550F"/>
    <w:rsid w:val="005B5AA0"/>
    <w:rsid w:val="005B5F7F"/>
    <w:rsid w:val="005B6369"/>
    <w:rsid w:val="005B670C"/>
    <w:rsid w:val="005B72C3"/>
    <w:rsid w:val="005B764C"/>
    <w:rsid w:val="005B7C2C"/>
    <w:rsid w:val="005B7D2A"/>
    <w:rsid w:val="005C0892"/>
    <w:rsid w:val="005C1180"/>
    <w:rsid w:val="005C13A4"/>
    <w:rsid w:val="005C1943"/>
    <w:rsid w:val="005C19BE"/>
    <w:rsid w:val="005C2941"/>
    <w:rsid w:val="005C2E38"/>
    <w:rsid w:val="005C3061"/>
    <w:rsid w:val="005C3093"/>
    <w:rsid w:val="005C38A5"/>
    <w:rsid w:val="005C4734"/>
    <w:rsid w:val="005C476B"/>
    <w:rsid w:val="005C49A1"/>
    <w:rsid w:val="005C56E2"/>
    <w:rsid w:val="005C5B61"/>
    <w:rsid w:val="005C6242"/>
    <w:rsid w:val="005C726F"/>
    <w:rsid w:val="005C7E8B"/>
    <w:rsid w:val="005D06ED"/>
    <w:rsid w:val="005D0969"/>
    <w:rsid w:val="005D106E"/>
    <w:rsid w:val="005D1417"/>
    <w:rsid w:val="005D22EE"/>
    <w:rsid w:val="005D23F4"/>
    <w:rsid w:val="005D2C4A"/>
    <w:rsid w:val="005D2CF0"/>
    <w:rsid w:val="005D4017"/>
    <w:rsid w:val="005D42B5"/>
    <w:rsid w:val="005D49F8"/>
    <w:rsid w:val="005D4AB9"/>
    <w:rsid w:val="005D5082"/>
    <w:rsid w:val="005D57B4"/>
    <w:rsid w:val="005D6043"/>
    <w:rsid w:val="005D73EE"/>
    <w:rsid w:val="005E0022"/>
    <w:rsid w:val="005E0985"/>
    <w:rsid w:val="005E1057"/>
    <w:rsid w:val="005E15C3"/>
    <w:rsid w:val="005E1785"/>
    <w:rsid w:val="005E1804"/>
    <w:rsid w:val="005E1CA3"/>
    <w:rsid w:val="005E1E9D"/>
    <w:rsid w:val="005E1FB0"/>
    <w:rsid w:val="005E2B40"/>
    <w:rsid w:val="005E2D8B"/>
    <w:rsid w:val="005E3A40"/>
    <w:rsid w:val="005E53E6"/>
    <w:rsid w:val="005E54AA"/>
    <w:rsid w:val="005E5992"/>
    <w:rsid w:val="005E64CA"/>
    <w:rsid w:val="005E799F"/>
    <w:rsid w:val="005E7AF1"/>
    <w:rsid w:val="005E7FCB"/>
    <w:rsid w:val="005F0A6B"/>
    <w:rsid w:val="005F1428"/>
    <w:rsid w:val="005F14CB"/>
    <w:rsid w:val="005F1C03"/>
    <w:rsid w:val="005F1F65"/>
    <w:rsid w:val="005F22D5"/>
    <w:rsid w:val="005F2DC5"/>
    <w:rsid w:val="005F3920"/>
    <w:rsid w:val="005F3D50"/>
    <w:rsid w:val="005F4134"/>
    <w:rsid w:val="005F426C"/>
    <w:rsid w:val="005F42E1"/>
    <w:rsid w:val="005F5038"/>
    <w:rsid w:val="005F51CC"/>
    <w:rsid w:val="005F5507"/>
    <w:rsid w:val="005F59D9"/>
    <w:rsid w:val="005F5AC3"/>
    <w:rsid w:val="005F63DD"/>
    <w:rsid w:val="005F7A61"/>
    <w:rsid w:val="005F7FF5"/>
    <w:rsid w:val="006005E4"/>
    <w:rsid w:val="00600626"/>
    <w:rsid w:val="00600C85"/>
    <w:rsid w:val="006018B6"/>
    <w:rsid w:val="00601A4F"/>
    <w:rsid w:val="00601F83"/>
    <w:rsid w:val="00601F92"/>
    <w:rsid w:val="0060339B"/>
    <w:rsid w:val="006034EB"/>
    <w:rsid w:val="006034FE"/>
    <w:rsid w:val="006047C8"/>
    <w:rsid w:val="00605D27"/>
    <w:rsid w:val="0060677E"/>
    <w:rsid w:val="00606DA4"/>
    <w:rsid w:val="00607743"/>
    <w:rsid w:val="00607A00"/>
    <w:rsid w:val="00610D57"/>
    <w:rsid w:val="0061108E"/>
    <w:rsid w:val="00611473"/>
    <w:rsid w:val="00612260"/>
    <w:rsid w:val="0061247E"/>
    <w:rsid w:val="00615792"/>
    <w:rsid w:val="00615B2E"/>
    <w:rsid w:val="00616663"/>
    <w:rsid w:val="0061685B"/>
    <w:rsid w:val="00616A55"/>
    <w:rsid w:val="00617B31"/>
    <w:rsid w:val="0062039C"/>
    <w:rsid w:val="00620827"/>
    <w:rsid w:val="006210CA"/>
    <w:rsid w:val="006225F9"/>
    <w:rsid w:val="006228B8"/>
    <w:rsid w:val="006242FC"/>
    <w:rsid w:val="00624AF9"/>
    <w:rsid w:val="00624ECA"/>
    <w:rsid w:val="006252ED"/>
    <w:rsid w:val="0062534F"/>
    <w:rsid w:val="00625DE5"/>
    <w:rsid w:val="00626651"/>
    <w:rsid w:val="00626B26"/>
    <w:rsid w:val="00626B5F"/>
    <w:rsid w:val="00626D7A"/>
    <w:rsid w:val="00627675"/>
    <w:rsid w:val="006277F8"/>
    <w:rsid w:val="006278D6"/>
    <w:rsid w:val="00627B72"/>
    <w:rsid w:val="0063051D"/>
    <w:rsid w:val="006308F8"/>
    <w:rsid w:val="00630ABC"/>
    <w:rsid w:val="00631E85"/>
    <w:rsid w:val="00631F5A"/>
    <w:rsid w:val="00632408"/>
    <w:rsid w:val="006339ED"/>
    <w:rsid w:val="00633BFB"/>
    <w:rsid w:val="00634DDE"/>
    <w:rsid w:val="00636036"/>
    <w:rsid w:val="0063605A"/>
    <w:rsid w:val="00640AEE"/>
    <w:rsid w:val="00640BC2"/>
    <w:rsid w:val="00640E32"/>
    <w:rsid w:val="00642193"/>
    <w:rsid w:val="0064394C"/>
    <w:rsid w:val="00644422"/>
    <w:rsid w:val="00644438"/>
    <w:rsid w:val="00644709"/>
    <w:rsid w:val="006449D0"/>
    <w:rsid w:val="0064510D"/>
    <w:rsid w:val="00645C43"/>
    <w:rsid w:val="00646ABE"/>
    <w:rsid w:val="0064727A"/>
    <w:rsid w:val="006508A6"/>
    <w:rsid w:val="00651622"/>
    <w:rsid w:val="00651E81"/>
    <w:rsid w:val="006529F8"/>
    <w:rsid w:val="00652C01"/>
    <w:rsid w:val="00652D05"/>
    <w:rsid w:val="00653F70"/>
    <w:rsid w:val="0065506D"/>
    <w:rsid w:val="006568F2"/>
    <w:rsid w:val="006570D0"/>
    <w:rsid w:val="00657762"/>
    <w:rsid w:val="00657A70"/>
    <w:rsid w:val="00657F37"/>
    <w:rsid w:val="0066068E"/>
    <w:rsid w:val="00661E25"/>
    <w:rsid w:val="0066288A"/>
    <w:rsid w:val="00662AED"/>
    <w:rsid w:val="00662B58"/>
    <w:rsid w:val="00662E2D"/>
    <w:rsid w:val="0066647D"/>
    <w:rsid w:val="006669DE"/>
    <w:rsid w:val="00666AB3"/>
    <w:rsid w:val="00666DED"/>
    <w:rsid w:val="006674F9"/>
    <w:rsid w:val="0066755A"/>
    <w:rsid w:val="00667CA3"/>
    <w:rsid w:val="00670085"/>
    <w:rsid w:val="006704FA"/>
    <w:rsid w:val="00670FC9"/>
    <w:rsid w:val="0067127A"/>
    <w:rsid w:val="00671976"/>
    <w:rsid w:val="00671D06"/>
    <w:rsid w:val="00672E90"/>
    <w:rsid w:val="00674514"/>
    <w:rsid w:val="0067493E"/>
    <w:rsid w:val="00674DB0"/>
    <w:rsid w:val="00674DF8"/>
    <w:rsid w:val="00674F7E"/>
    <w:rsid w:val="006768B9"/>
    <w:rsid w:val="00676B3E"/>
    <w:rsid w:val="00676C28"/>
    <w:rsid w:val="00676E3F"/>
    <w:rsid w:val="00676EC3"/>
    <w:rsid w:val="006774D3"/>
    <w:rsid w:val="00677EAC"/>
    <w:rsid w:val="00681276"/>
    <w:rsid w:val="0068156F"/>
    <w:rsid w:val="006823A4"/>
    <w:rsid w:val="00682901"/>
    <w:rsid w:val="00683326"/>
    <w:rsid w:val="006837E3"/>
    <w:rsid w:val="00683E91"/>
    <w:rsid w:val="00684401"/>
    <w:rsid w:val="00684413"/>
    <w:rsid w:val="006848BE"/>
    <w:rsid w:val="00684F07"/>
    <w:rsid w:val="0068549D"/>
    <w:rsid w:val="006856D2"/>
    <w:rsid w:val="00686292"/>
    <w:rsid w:val="0068638C"/>
    <w:rsid w:val="0068646C"/>
    <w:rsid w:val="0068692F"/>
    <w:rsid w:val="006873A6"/>
    <w:rsid w:val="006907F8"/>
    <w:rsid w:val="0069090B"/>
    <w:rsid w:val="00690E18"/>
    <w:rsid w:val="00690EA3"/>
    <w:rsid w:val="00691098"/>
    <w:rsid w:val="00691A72"/>
    <w:rsid w:val="00691DB3"/>
    <w:rsid w:val="006921AE"/>
    <w:rsid w:val="00692231"/>
    <w:rsid w:val="006922EF"/>
    <w:rsid w:val="0069244C"/>
    <w:rsid w:val="00692618"/>
    <w:rsid w:val="00692744"/>
    <w:rsid w:val="00693328"/>
    <w:rsid w:val="006937B1"/>
    <w:rsid w:val="0069419B"/>
    <w:rsid w:val="00694A37"/>
    <w:rsid w:val="006950DE"/>
    <w:rsid w:val="006957B8"/>
    <w:rsid w:val="00696047"/>
    <w:rsid w:val="006970A0"/>
    <w:rsid w:val="006A0685"/>
    <w:rsid w:val="006A06F4"/>
    <w:rsid w:val="006A0EAC"/>
    <w:rsid w:val="006A180F"/>
    <w:rsid w:val="006A1D14"/>
    <w:rsid w:val="006A1E67"/>
    <w:rsid w:val="006A1EEF"/>
    <w:rsid w:val="006A2EB0"/>
    <w:rsid w:val="006A2EC0"/>
    <w:rsid w:val="006A311D"/>
    <w:rsid w:val="006A36D8"/>
    <w:rsid w:val="006A4C9D"/>
    <w:rsid w:val="006A55BC"/>
    <w:rsid w:val="006A6550"/>
    <w:rsid w:val="006A7151"/>
    <w:rsid w:val="006A7332"/>
    <w:rsid w:val="006B1E95"/>
    <w:rsid w:val="006B2395"/>
    <w:rsid w:val="006B3B33"/>
    <w:rsid w:val="006B49FD"/>
    <w:rsid w:val="006B4F9D"/>
    <w:rsid w:val="006B5037"/>
    <w:rsid w:val="006B6621"/>
    <w:rsid w:val="006B6851"/>
    <w:rsid w:val="006C0001"/>
    <w:rsid w:val="006C0A13"/>
    <w:rsid w:val="006C0E09"/>
    <w:rsid w:val="006C1CAA"/>
    <w:rsid w:val="006C2B01"/>
    <w:rsid w:val="006C38C6"/>
    <w:rsid w:val="006C3A2E"/>
    <w:rsid w:val="006C40A6"/>
    <w:rsid w:val="006C4B44"/>
    <w:rsid w:val="006C5BFC"/>
    <w:rsid w:val="006C5C20"/>
    <w:rsid w:val="006C5CA0"/>
    <w:rsid w:val="006C60C7"/>
    <w:rsid w:val="006C62F3"/>
    <w:rsid w:val="006C7058"/>
    <w:rsid w:val="006C76BF"/>
    <w:rsid w:val="006C7B98"/>
    <w:rsid w:val="006D050E"/>
    <w:rsid w:val="006D0631"/>
    <w:rsid w:val="006D0889"/>
    <w:rsid w:val="006D091A"/>
    <w:rsid w:val="006D1A85"/>
    <w:rsid w:val="006D24EB"/>
    <w:rsid w:val="006D2848"/>
    <w:rsid w:val="006D3087"/>
    <w:rsid w:val="006D3E1C"/>
    <w:rsid w:val="006D3EA5"/>
    <w:rsid w:val="006D4A08"/>
    <w:rsid w:val="006D5365"/>
    <w:rsid w:val="006D65DD"/>
    <w:rsid w:val="006D6BB9"/>
    <w:rsid w:val="006D6E9F"/>
    <w:rsid w:val="006D6FB1"/>
    <w:rsid w:val="006D740C"/>
    <w:rsid w:val="006D7B0D"/>
    <w:rsid w:val="006E0D84"/>
    <w:rsid w:val="006E19E8"/>
    <w:rsid w:val="006E298B"/>
    <w:rsid w:val="006E316A"/>
    <w:rsid w:val="006E3177"/>
    <w:rsid w:val="006E4399"/>
    <w:rsid w:val="006E4685"/>
    <w:rsid w:val="006E4DBF"/>
    <w:rsid w:val="006E4F73"/>
    <w:rsid w:val="006E59FF"/>
    <w:rsid w:val="006E6863"/>
    <w:rsid w:val="006E68FB"/>
    <w:rsid w:val="006E6AD1"/>
    <w:rsid w:val="006E6D76"/>
    <w:rsid w:val="006E6E81"/>
    <w:rsid w:val="006E6F1C"/>
    <w:rsid w:val="006E7145"/>
    <w:rsid w:val="006E7F8D"/>
    <w:rsid w:val="006F1A20"/>
    <w:rsid w:val="006F2521"/>
    <w:rsid w:val="006F3890"/>
    <w:rsid w:val="006F39A5"/>
    <w:rsid w:val="006F3B52"/>
    <w:rsid w:val="006F4968"/>
    <w:rsid w:val="006F5DE0"/>
    <w:rsid w:val="006F5F82"/>
    <w:rsid w:val="006F5F8C"/>
    <w:rsid w:val="006F6260"/>
    <w:rsid w:val="006F65FC"/>
    <w:rsid w:val="006F6AB1"/>
    <w:rsid w:val="006F7669"/>
    <w:rsid w:val="00700371"/>
    <w:rsid w:val="0070069E"/>
    <w:rsid w:val="007009FB"/>
    <w:rsid w:val="00701875"/>
    <w:rsid w:val="007018C1"/>
    <w:rsid w:val="00702448"/>
    <w:rsid w:val="00702E5E"/>
    <w:rsid w:val="00703053"/>
    <w:rsid w:val="0070355A"/>
    <w:rsid w:val="0070399F"/>
    <w:rsid w:val="00703ECF"/>
    <w:rsid w:val="00704600"/>
    <w:rsid w:val="00704D5C"/>
    <w:rsid w:val="00705BD0"/>
    <w:rsid w:val="0070607E"/>
    <w:rsid w:val="00712031"/>
    <w:rsid w:val="00712D8E"/>
    <w:rsid w:val="007135C5"/>
    <w:rsid w:val="0071413C"/>
    <w:rsid w:val="00714621"/>
    <w:rsid w:val="00714C6E"/>
    <w:rsid w:val="00714E0C"/>
    <w:rsid w:val="00714E81"/>
    <w:rsid w:val="00715205"/>
    <w:rsid w:val="00715301"/>
    <w:rsid w:val="007153C6"/>
    <w:rsid w:val="00715B06"/>
    <w:rsid w:val="007162DD"/>
    <w:rsid w:val="00716A8F"/>
    <w:rsid w:val="00716B15"/>
    <w:rsid w:val="007177C3"/>
    <w:rsid w:val="0071786B"/>
    <w:rsid w:val="007178D6"/>
    <w:rsid w:val="00717D10"/>
    <w:rsid w:val="0072045D"/>
    <w:rsid w:val="0072059B"/>
    <w:rsid w:val="00720AEB"/>
    <w:rsid w:val="007219A8"/>
    <w:rsid w:val="007220AE"/>
    <w:rsid w:val="0072244E"/>
    <w:rsid w:val="0072275C"/>
    <w:rsid w:val="00722C86"/>
    <w:rsid w:val="0072316D"/>
    <w:rsid w:val="00723179"/>
    <w:rsid w:val="0072378C"/>
    <w:rsid w:val="00723827"/>
    <w:rsid w:val="00723F72"/>
    <w:rsid w:val="00724085"/>
    <w:rsid w:val="00724104"/>
    <w:rsid w:val="0072546B"/>
    <w:rsid w:val="00725942"/>
    <w:rsid w:val="00725DE5"/>
    <w:rsid w:val="00726919"/>
    <w:rsid w:val="00726947"/>
    <w:rsid w:val="00726F1B"/>
    <w:rsid w:val="0072722F"/>
    <w:rsid w:val="00727FD3"/>
    <w:rsid w:val="007305B2"/>
    <w:rsid w:val="0073086C"/>
    <w:rsid w:val="00732575"/>
    <w:rsid w:val="00732C73"/>
    <w:rsid w:val="00733069"/>
    <w:rsid w:val="00733D33"/>
    <w:rsid w:val="00734857"/>
    <w:rsid w:val="00734939"/>
    <w:rsid w:val="00735397"/>
    <w:rsid w:val="0073604D"/>
    <w:rsid w:val="00736306"/>
    <w:rsid w:val="0073792F"/>
    <w:rsid w:val="00737B6F"/>
    <w:rsid w:val="00737D18"/>
    <w:rsid w:val="00740CF3"/>
    <w:rsid w:val="00740E1D"/>
    <w:rsid w:val="007416B5"/>
    <w:rsid w:val="007416D0"/>
    <w:rsid w:val="00741C64"/>
    <w:rsid w:val="00742AA2"/>
    <w:rsid w:val="00742E7D"/>
    <w:rsid w:val="00743781"/>
    <w:rsid w:val="0074478D"/>
    <w:rsid w:val="00745892"/>
    <w:rsid w:val="00745EB2"/>
    <w:rsid w:val="00745F43"/>
    <w:rsid w:val="007470BA"/>
    <w:rsid w:val="00750431"/>
    <w:rsid w:val="00751242"/>
    <w:rsid w:val="007517C8"/>
    <w:rsid w:val="00752A9E"/>
    <w:rsid w:val="0075329B"/>
    <w:rsid w:val="00753728"/>
    <w:rsid w:val="00753EB1"/>
    <w:rsid w:val="00754018"/>
    <w:rsid w:val="00754744"/>
    <w:rsid w:val="00755346"/>
    <w:rsid w:val="00755400"/>
    <w:rsid w:val="0075643C"/>
    <w:rsid w:val="00756BC4"/>
    <w:rsid w:val="00757579"/>
    <w:rsid w:val="00757F5B"/>
    <w:rsid w:val="0076175F"/>
    <w:rsid w:val="0076180D"/>
    <w:rsid w:val="00762338"/>
    <w:rsid w:val="007628CF"/>
    <w:rsid w:val="007628EA"/>
    <w:rsid w:val="00763D6F"/>
    <w:rsid w:val="00764555"/>
    <w:rsid w:val="0076495D"/>
    <w:rsid w:val="00765413"/>
    <w:rsid w:val="0076542B"/>
    <w:rsid w:val="00766405"/>
    <w:rsid w:val="0076715F"/>
    <w:rsid w:val="007679CF"/>
    <w:rsid w:val="00767D1B"/>
    <w:rsid w:val="00770422"/>
    <w:rsid w:val="00771497"/>
    <w:rsid w:val="007714B7"/>
    <w:rsid w:val="007716C2"/>
    <w:rsid w:val="00772B01"/>
    <w:rsid w:val="00772BB5"/>
    <w:rsid w:val="007730D0"/>
    <w:rsid w:val="00773284"/>
    <w:rsid w:val="00773B98"/>
    <w:rsid w:val="007743D1"/>
    <w:rsid w:val="00775FA6"/>
    <w:rsid w:val="00776288"/>
    <w:rsid w:val="0077759D"/>
    <w:rsid w:val="00777E31"/>
    <w:rsid w:val="0078014A"/>
    <w:rsid w:val="00780214"/>
    <w:rsid w:val="00780681"/>
    <w:rsid w:val="0078068F"/>
    <w:rsid w:val="007808DE"/>
    <w:rsid w:val="00780CB1"/>
    <w:rsid w:val="007811D0"/>
    <w:rsid w:val="0078131C"/>
    <w:rsid w:val="007827BE"/>
    <w:rsid w:val="0078298F"/>
    <w:rsid w:val="00782EF2"/>
    <w:rsid w:val="007832FC"/>
    <w:rsid w:val="00783D2A"/>
    <w:rsid w:val="0078403A"/>
    <w:rsid w:val="0078439F"/>
    <w:rsid w:val="00785859"/>
    <w:rsid w:val="00786941"/>
    <w:rsid w:val="00787230"/>
    <w:rsid w:val="007908E7"/>
    <w:rsid w:val="00790C87"/>
    <w:rsid w:val="00791349"/>
    <w:rsid w:val="00791855"/>
    <w:rsid w:val="00792790"/>
    <w:rsid w:val="007928B2"/>
    <w:rsid w:val="007930F2"/>
    <w:rsid w:val="007932C6"/>
    <w:rsid w:val="00793FED"/>
    <w:rsid w:val="00795011"/>
    <w:rsid w:val="00795928"/>
    <w:rsid w:val="00795BFE"/>
    <w:rsid w:val="007960A8"/>
    <w:rsid w:val="007962F3"/>
    <w:rsid w:val="0079674B"/>
    <w:rsid w:val="00796A83"/>
    <w:rsid w:val="00796C65"/>
    <w:rsid w:val="00797079"/>
    <w:rsid w:val="007A0E32"/>
    <w:rsid w:val="007A1025"/>
    <w:rsid w:val="007A12D2"/>
    <w:rsid w:val="007A1AC6"/>
    <w:rsid w:val="007A221C"/>
    <w:rsid w:val="007A4E53"/>
    <w:rsid w:val="007A5286"/>
    <w:rsid w:val="007A7166"/>
    <w:rsid w:val="007A73D9"/>
    <w:rsid w:val="007A7B19"/>
    <w:rsid w:val="007B178F"/>
    <w:rsid w:val="007B2420"/>
    <w:rsid w:val="007B2A5A"/>
    <w:rsid w:val="007B30C0"/>
    <w:rsid w:val="007B30C4"/>
    <w:rsid w:val="007B39CE"/>
    <w:rsid w:val="007B3A76"/>
    <w:rsid w:val="007B4030"/>
    <w:rsid w:val="007B5F62"/>
    <w:rsid w:val="007B6579"/>
    <w:rsid w:val="007B6654"/>
    <w:rsid w:val="007B69D6"/>
    <w:rsid w:val="007B706E"/>
    <w:rsid w:val="007B713B"/>
    <w:rsid w:val="007B7368"/>
    <w:rsid w:val="007B73A9"/>
    <w:rsid w:val="007B78FA"/>
    <w:rsid w:val="007B7B78"/>
    <w:rsid w:val="007B7BBC"/>
    <w:rsid w:val="007C0830"/>
    <w:rsid w:val="007C1D0E"/>
    <w:rsid w:val="007C2CC7"/>
    <w:rsid w:val="007C305B"/>
    <w:rsid w:val="007C341E"/>
    <w:rsid w:val="007C358E"/>
    <w:rsid w:val="007C362E"/>
    <w:rsid w:val="007C3AC0"/>
    <w:rsid w:val="007C43D8"/>
    <w:rsid w:val="007C43FF"/>
    <w:rsid w:val="007C691B"/>
    <w:rsid w:val="007C6A59"/>
    <w:rsid w:val="007C6B97"/>
    <w:rsid w:val="007C7512"/>
    <w:rsid w:val="007C763E"/>
    <w:rsid w:val="007D06DB"/>
    <w:rsid w:val="007D10E6"/>
    <w:rsid w:val="007D10F4"/>
    <w:rsid w:val="007D21A4"/>
    <w:rsid w:val="007D29CF"/>
    <w:rsid w:val="007D2C7E"/>
    <w:rsid w:val="007D4491"/>
    <w:rsid w:val="007D46DE"/>
    <w:rsid w:val="007D4D7D"/>
    <w:rsid w:val="007D50D9"/>
    <w:rsid w:val="007D59F0"/>
    <w:rsid w:val="007D6FDE"/>
    <w:rsid w:val="007D7090"/>
    <w:rsid w:val="007D72FA"/>
    <w:rsid w:val="007D75B0"/>
    <w:rsid w:val="007D7D1E"/>
    <w:rsid w:val="007E078A"/>
    <w:rsid w:val="007E3C0D"/>
    <w:rsid w:val="007E3ED0"/>
    <w:rsid w:val="007E4633"/>
    <w:rsid w:val="007E4AAE"/>
    <w:rsid w:val="007E4B12"/>
    <w:rsid w:val="007E51D9"/>
    <w:rsid w:val="007E5CD9"/>
    <w:rsid w:val="007E5D45"/>
    <w:rsid w:val="007E6794"/>
    <w:rsid w:val="007E698E"/>
    <w:rsid w:val="007E6B44"/>
    <w:rsid w:val="007E7B84"/>
    <w:rsid w:val="007F06B5"/>
    <w:rsid w:val="007F2267"/>
    <w:rsid w:val="007F2379"/>
    <w:rsid w:val="007F4151"/>
    <w:rsid w:val="007F50B4"/>
    <w:rsid w:val="007F71A4"/>
    <w:rsid w:val="007F75EE"/>
    <w:rsid w:val="007F789A"/>
    <w:rsid w:val="007F7ACA"/>
    <w:rsid w:val="00800C1D"/>
    <w:rsid w:val="008012B3"/>
    <w:rsid w:val="008012E6"/>
    <w:rsid w:val="00801FA7"/>
    <w:rsid w:val="0080230A"/>
    <w:rsid w:val="00802CFF"/>
    <w:rsid w:val="00803B51"/>
    <w:rsid w:val="00803BE0"/>
    <w:rsid w:val="00803F5C"/>
    <w:rsid w:val="008049B3"/>
    <w:rsid w:val="00804E7B"/>
    <w:rsid w:val="00805CF2"/>
    <w:rsid w:val="008061A7"/>
    <w:rsid w:val="00806568"/>
    <w:rsid w:val="00806777"/>
    <w:rsid w:val="008068F2"/>
    <w:rsid w:val="00806CB5"/>
    <w:rsid w:val="00807081"/>
    <w:rsid w:val="008077FE"/>
    <w:rsid w:val="00807DD1"/>
    <w:rsid w:val="00810E01"/>
    <w:rsid w:val="00811A87"/>
    <w:rsid w:val="00811C5C"/>
    <w:rsid w:val="008122BF"/>
    <w:rsid w:val="0081241E"/>
    <w:rsid w:val="0081321E"/>
    <w:rsid w:val="0081362D"/>
    <w:rsid w:val="008139B2"/>
    <w:rsid w:val="00814F0B"/>
    <w:rsid w:val="00815DE6"/>
    <w:rsid w:val="00816167"/>
    <w:rsid w:val="008162CD"/>
    <w:rsid w:val="00816914"/>
    <w:rsid w:val="00816CAE"/>
    <w:rsid w:val="00817827"/>
    <w:rsid w:val="008200A9"/>
    <w:rsid w:val="00820361"/>
    <w:rsid w:val="00820DF7"/>
    <w:rsid w:val="00821C2B"/>
    <w:rsid w:val="0082209F"/>
    <w:rsid w:val="008224D6"/>
    <w:rsid w:val="00822971"/>
    <w:rsid w:val="00822A74"/>
    <w:rsid w:val="00824568"/>
    <w:rsid w:val="0082483F"/>
    <w:rsid w:val="00824BB3"/>
    <w:rsid w:val="00825707"/>
    <w:rsid w:val="00825E32"/>
    <w:rsid w:val="00826A45"/>
    <w:rsid w:val="0083072E"/>
    <w:rsid w:val="008308ED"/>
    <w:rsid w:val="00830C5B"/>
    <w:rsid w:val="00831043"/>
    <w:rsid w:val="00831348"/>
    <w:rsid w:val="008314C6"/>
    <w:rsid w:val="00831597"/>
    <w:rsid w:val="00831A63"/>
    <w:rsid w:val="00831BF2"/>
    <w:rsid w:val="00831DA3"/>
    <w:rsid w:val="00832103"/>
    <w:rsid w:val="00832145"/>
    <w:rsid w:val="00832C5D"/>
    <w:rsid w:val="00832E9A"/>
    <w:rsid w:val="00833EC7"/>
    <w:rsid w:val="0083432B"/>
    <w:rsid w:val="00834BEE"/>
    <w:rsid w:val="008351E4"/>
    <w:rsid w:val="0083596E"/>
    <w:rsid w:val="00836233"/>
    <w:rsid w:val="00836A62"/>
    <w:rsid w:val="00836BD2"/>
    <w:rsid w:val="00836CDF"/>
    <w:rsid w:val="0083725B"/>
    <w:rsid w:val="00837ED2"/>
    <w:rsid w:val="00841B97"/>
    <w:rsid w:val="008421E7"/>
    <w:rsid w:val="008425EB"/>
    <w:rsid w:val="00842D26"/>
    <w:rsid w:val="008434BC"/>
    <w:rsid w:val="00843EBD"/>
    <w:rsid w:val="00844DF6"/>
    <w:rsid w:val="00845BD9"/>
    <w:rsid w:val="00845DBE"/>
    <w:rsid w:val="00845DF9"/>
    <w:rsid w:val="00846591"/>
    <w:rsid w:val="00846D0A"/>
    <w:rsid w:val="00847553"/>
    <w:rsid w:val="00847C58"/>
    <w:rsid w:val="00850AF8"/>
    <w:rsid w:val="0085243D"/>
    <w:rsid w:val="0085252A"/>
    <w:rsid w:val="00852601"/>
    <w:rsid w:val="00852AF9"/>
    <w:rsid w:val="00853709"/>
    <w:rsid w:val="0085426D"/>
    <w:rsid w:val="008542A3"/>
    <w:rsid w:val="00854A1C"/>
    <w:rsid w:val="00855138"/>
    <w:rsid w:val="0085533A"/>
    <w:rsid w:val="008553A6"/>
    <w:rsid w:val="00855C7D"/>
    <w:rsid w:val="00855DE7"/>
    <w:rsid w:val="00855FE6"/>
    <w:rsid w:val="0085691D"/>
    <w:rsid w:val="008571FD"/>
    <w:rsid w:val="00857710"/>
    <w:rsid w:val="0086069C"/>
    <w:rsid w:val="00861291"/>
    <w:rsid w:val="00861DE3"/>
    <w:rsid w:val="00862A91"/>
    <w:rsid w:val="00862DC6"/>
    <w:rsid w:val="008638CB"/>
    <w:rsid w:val="00864103"/>
    <w:rsid w:val="00866055"/>
    <w:rsid w:val="008668A0"/>
    <w:rsid w:val="008670C4"/>
    <w:rsid w:val="008678A1"/>
    <w:rsid w:val="00867DE5"/>
    <w:rsid w:val="008702D3"/>
    <w:rsid w:val="00870331"/>
    <w:rsid w:val="00870CAB"/>
    <w:rsid w:val="0087150F"/>
    <w:rsid w:val="00871F76"/>
    <w:rsid w:val="0087205F"/>
    <w:rsid w:val="00872D29"/>
    <w:rsid w:val="00873845"/>
    <w:rsid w:val="00873953"/>
    <w:rsid w:val="00873C65"/>
    <w:rsid w:val="00875455"/>
    <w:rsid w:val="00875A47"/>
    <w:rsid w:val="00876253"/>
    <w:rsid w:val="00876828"/>
    <w:rsid w:val="00876D3C"/>
    <w:rsid w:val="008774E2"/>
    <w:rsid w:val="00877F4E"/>
    <w:rsid w:val="00880042"/>
    <w:rsid w:val="00880193"/>
    <w:rsid w:val="008805AE"/>
    <w:rsid w:val="0088074C"/>
    <w:rsid w:val="00881B09"/>
    <w:rsid w:val="008821C8"/>
    <w:rsid w:val="008823CF"/>
    <w:rsid w:val="00883104"/>
    <w:rsid w:val="008840B4"/>
    <w:rsid w:val="00884B51"/>
    <w:rsid w:val="00885E36"/>
    <w:rsid w:val="0088668F"/>
    <w:rsid w:val="0088679C"/>
    <w:rsid w:val="00886B40"/>
    <w:rsid w:val="00886E70"/>
    <w:rsid w:val="00886E73"/>
    <w:rsid w:val="00886F68"/>
    <w:rsid w:val="008877F2"/>
    <w:rsid w:val="00887EA4"/>
    <w:rsid w:val="008900A0"/>
    <w:rsid w:val="00890B9E"/>
    <w:rsid w:val="008918C7"/>
    <w:rsid w:val="008921CC"/>
    <w:rsid w:val="00892480"/>
    <w:rsid w:val="00892490"/>
    <w:rsid w:val="0089285A"/>
    <w:rsid w:val="0089297B"/>
    <w:rsid w:val="00892ECE"/>
    <w:rsid w:val="0089320C"/>
    <w:rsid w:val="008939D3"/>
    <w:rsid w:val="00893E2F"/>
    <w:rsid w:val="00894711"/>
    <w:rsid w:val="00894FFE"/>
    <w:rsid w:val="00895696"/>
    <w:rsid w:val="00895A15"/>
    <w:rsid w:val="008971B8"/>
    <w:rsid w:val="00897BF9"/>
    <w:rsid w:val="008A1B35"/>
    <w:rsid w:val="008A2060"/>
    <w:rsid w:val="008A27BD"/>
    <w:rsid w:val="008A2B30"/>
    <w:rsid w:val="008A2FB3"/>
    <w:rsid w:val="008A364C"/>
    <w:rsid w:val="008A378D"/>
    <w:rsid w:val="008A4600"/>
    <w:rsid w:val="008A4882"/>
    <w:rsid w:val="008A4D98"/>
    <w:rsid w:val="008A58B2"/>
    <w:rsid w:val="008A6D8F"/>
    <w:rsid w:val="008A7B58"/>
    <w:rsid w:val="008B0B4E"/>
    <w:rsid w:val="008B0DED"/>
    <w:rsid w:val="008B1694"/>
    <w:rsid w:val="008B1738"/>
    <w:rsid w:val="008B2736"/>
    <w:rsid w:val="008B2A6D"/>
    <w:rsid w:val="008B30D7"/>
    <w:rsid w:val="008B3CC8"/>
    <w:rsid w:val="008B4D96"/>
    <w:rsid w:val="008B4EDC"/>
    <w:rsid w:val="008B526D"/>
    <w:rsid w:val="008B559D"/>
    <w:rsid w:val="008B57EE"/>
    <w:rsid w:val="008B5A7E"/>
    <w:rsid w:val="008B6C9C"/>
    <w:rsid w:val="008C0C88"/>
    <w:rsid w:val="008C1415"/>
    <w:rsid w:val="008C17B7"/>
    <w:rsid w:val="008C3A3B"/>
    <w:rsid w:val="008C4131"/>
    <w:rsid w:val="008C42AD"/>
    <w:rsid w:val="008C4828"/>
    <w:rsid w:val="008C4A17"/>
    <w:rsid w:val="008C55F6"/>
    <w:rsid w:val="008C5773"/>
    <w:rsid w:val="008C6E0B"/>
    <w:rsid w:val="008C786C"/>
    <w:rsid w:val="008C7928"/>
    <w:rsid w:val="008C7C27"/>
    <w:rsid w:val="008C7D37"/>
    <w:rsid w:val="008C7E8C"/>
    <w:rsid w:val="008C7F35"/>
    <w:rsid w:val="008D065E"/>
    <w:rsid w:val="008D0D80"/>
    <w:rsid w:val="008D0DD1"/>
    <w:rsid w:val="008D0DD3"/>
    <w:rsid w:val="008D16D1"/>
    <w:rsid w:val="008D1D07"/>
    <w:rsid w:val="008D2266"/>
    <w:rsid w:val="008D4022"/>
    <w:rsid w:val="008D475A"/>
    <w:rsid w:val="008D4D8E"/>
    <w:rsid w:val="008D5081"/>
    <w:rsid w:val="008D5B76"/>
    <w:rsid w:val="008D693E"/>
    <w:rsid w:val="008D6C0F"/>
    <w:rsid w:val="008E098F"/>
    <w:rsid w:val="008E0FAB"/>
    <w:rsid w:val="008E1053"/>
    <w:rsid w:val="008E10E6"/>
    <w:rsid w:val="008E1826"/>
    <w:rsid w:val="008E21B1"/>
    <w:rsid w:val="008E29BF"/>
    <w:rsid w:val="008E3195"/>
    <w:rsid w:val="008E3335"/>
    <w:rsid w:val="008E34C4"/>
    <w:rsid w:val="008E43A1"/>
    <w:rsid w:val="008E5905"/>
    <w:rsid w:val="008E643B"/>
    <w:rsid w:val="008E697C"/>
    <w:rsid w:val="008E6C6F"/>
    <w:rsid w:val="008E771C"/>
    <w:rsid w:val="008E7C63"/>
    <w:rsid w:val="008E7CD1"/>
    <w:rsid w:val="008F03B8"/>
    <w:rsid w:val="008F0DB1"/>
    <w:rsid w:val="008F1211"/>
    <w:rsid w:val="008F1541"/>
    <w:rsid w:val="008F16C5"/>
    <w:rsid w:val="008F21A6"/>
    <w:rsid w:val="008F2578"/>
    <w:rsid w:val="008F2769"/>
    <w:rsid w:val="008F30E6"/>
    <w:rsid w:val="008F31F9"/>
    <w:rsid w:val="008F357E"/>
    <w:rsid w:val="008F3D9A"/>
    <w:rsid w:val="008F410D"/>
    <w:rsid w:val="008F41B3"/>
    <w:rsid w:val="008F4610"/>
    <w:rsid w:val="008F5163"/>
    <w:rsid w:val="008F5B01"/>
    <w:rsid w:val="008F5BCB"/>
    <w:rsid w:val="008F66B8"/>
    <w:rsid w:val="008F75E2"/>
    <w:rsid w:val="008F7791"/>
    <w:rsid w:val="008F7AB5"/>
    <w:rsid w:val="009004F8"/>
    <w:rsid w:val="00900DFF"/>
    <w:rsid w:val="00901106"/>
    <w:rsid w:val="00901585"/>
    <w:rsid w:val="00902BA6"/>
    <w:rsid w:val="00902D04"/>
    <w:rsid w:val="0090375E"/>
    <w:rsid w:val="009038E2"/>
    <w:rsid w:val="009038F1"/>
    <w:rsid w:val="00903ED1"/>
    <w:rsid w:val="00905E37"/>
    <w:rsid w:val="009063A6"/>
    <w:rsid w:val="00907F49"/>
    <w:rsid w:val="009102E5"/>
    <w:rsid w:val="0091080F"/>
    <w:rsid w:val="0091089A"/>
    <w:rsid w:val="00911A62"/>
    <w:rsid w:val="00912B02"/>
    <w:rsid w:val="00913164"/>
    <w:rsid w:val="00913791"/>
    <w:rsid w:val="00914A64"/>
    <w:rsid w:val="00914CB7"/>
    <w:rsid w:val="009158A8"/>
    <w:rsid w:val="0091602B"/>
    <w:rsid w:val="009166DB"/>
    <w:rsid w:val="0091720A"/>
    <w:rsid w:val="009172F2"/>
    <w:rsid w:val="00917B21"/>
    <w:rsid w:val="00917C2D"/>
    <w:rsid w:val="00920022"/>
    <w:rsid w:val="0092064D"/>
    <w:rsid w:val="009207AF"/>
    <w:rsid w:val="00920F0E"/>
    <w:rsid w:val="009214A5"/>
    <w:rsid w:val="00921E70"/>
    <w:rsid w:val="00923D4A"/>
    <w:rsid w:val="009241F1"/>
    <w:rsid w:val="00924211"/>
    <w:rsid w:val="00924BF4"/>
    <w:rsid w:val="00925D84"/>
    <w:rsid w:val="00926818"/>
    <w:rsid w:val="0092684B"/>
    <w:rsid w:val="00926C9E"/>
    <w:rsid w:val="00927C20"/>
    <w:rsid w:val="00927DDB"/>
    <w:rsid w:val="0093149A"/>
    <w:rsid w:val="009316F8"/>
    <w:rsid w:val="00931F84"/>
    <w:rsid w:val="00932C3E"/>
    <w:rsid w:val="00933502"/>
    <w:rsid w:val="009335D8"/>
    <w:rsid w:val="00933755"/>
    <w:rsid w:val="00933A26"/>
    <w:rsid w:val="00933DCC"/>
    <w:rsid w:val="00934077"/>
    <w:rsid w:val="009343AB"/>
    <w:rsid w:val="0093498E"/>
    <w:rsid w:val="00934CCA"/>
    <w:rsid w:val="00935CD6"/>
    <w:rsid w:val="00936BB2"/>
    <w:rsid w:val="009374DE"/>
    <w:rsid w:val="00937882"/>
    <w:rsid w:val="00937B56"/>
    <w:rsid w:val="00940077"/>
    <w:rsid w:val="009400CC"/>
    <w:rsid w:val="0094011A"/>
    <w:rsid w:val="00940156"/>
    <w:rsid w:val="009401F1"/>
    <w:rsid w:val="009408A9"/>
    <w:rsid w:val="0094256D"/>
    <w:rsid w:val="00942937"/>
    <w:rsid w:val="00942B5A"/>
    <w:rsid w:val="0094325D"/>
    <w:rsid w:val="009439D6"/>
    <w:rsid w:val="00943C0F"/>
    <w:rsid w:val="0094444A"/>
    <w:rsid w:val="00944495"/>
    <w:rsid w:val="009449F7"/>
    <w:rsid w:val="00946486"/>
    <w:rsid w:val="00947281"/>
    <w:rsid w:val="009476A2"/>
    <w:rsid w:val="00947E1B"/>
    <w:rsid w:val="00947F0F"/>
    <w:rsid w:val="0095020B"/>
    <w:rsid w:val="009505EF"/>
    <w:rsid w:val="0095075C"/>
    <w:rsid w:val="00950F83"/>
    <w:rsid w:val="009527D6"/>
    <w:rsid w:val="00952967"/>
    <w:rsid w:val="00952D21"/>
    <w:rsid w:val="00953237"/>
    <w:rsid w:val="00954466"/>
    <w:rsid w:val="0095450E"/>
    <w:rsid w:val="0095589E"/>
    <w:rsid w:val="00955E25"/>
    <w:rsid w:val="00955F1D"/>
    <w:rsid w:val="00956FA2"/>
    <w:rsid w:val="00957299"/>
    <w:rsid w:val="009576F5"/>
    <w:rsid w:val="0096029F"/>
    <w:rsid w:val="00960501"/>
    <w:rsid w:val="00960CEA"/>
    <w:rsid w:val="009610B8"/>
    <w:rsid w:val="00961681"/>
    <w:rsid w:val="00961DB0"/>
    <w:rsid w:val="0096220B"/>
    <w:rsid w:val="00962F38"/>
    <w:rsid w:val="00963456"/>
    <w:rsid w:val="00963A9B"/>
    <w:rsid w:val="0096413D"/>
    <w:rsid w:val="00964E07"/>
    <w:rsid w:val="00965747"/>
    <w:rsid w:val="00965D2D"/>
    <w:rsid w:val="00967231"/>
    <w:rsid w:val="009677EC"/>
    <w:rsid w:val="009714EB"/>
    <w:rsid w:val="00971590"/>
    <w:rsid w:val="0097169B"/>
    <w:rsid w:val="009734A4"/>
    <w:rsid w:val="00973505"/>
    <w:rsid w:val="0097359D"/>
    <w:rsid w:val="00973AC7"/>
    <w:rsid w:val="00973FEA"/>
    <w:rsid w:val="00975B9D"/>
    <w:rsid w:val="00975BF4"/>
    <w:rsid w:val="00975C24"/>
    <w:rsid w:val="009775C4"/>
    <w:rsid w:val="009777DF"/>
    <w:rsid w:val="00977FA0"/>
    <w:rsid w:val="00980615"/>
    <w:rsid w:val="00980AD8"/>
    <w:rsid w:val="0098166A"/>
    <w:rsid w:val="009816EA"/>
    <w:rsid w:val="0098175B"/>
    <w:rsid w:val="00981CE1"/>
    <w:rsid w:val="0098284D"/>
    <w:rsid w:val="0098287D"/>
    <w:rsid w:val="00982DDE"/>
    <w:rsid w:val="00983094"/>
    <w:rsid w:val="00984312"/>
    <w:rsid w:val="0098440B"/>
    <w:rsid w:val="00984D5F"/>
    <w:rsid w:val="009855AD"/>
    <w:rsid w:val="00985BAD"/>
    <w:rsid w:val="0098698C"/>
    <w:rsid w:val="00986D1A"/>
    <w:rsid w:val="00987205"/>
    <w:rsid w:val="00990213"/>
    <w:rsid w:val="00990674"/>
    <w:rsid w:val="00990987"/>
    <w:rsid w:val="0099120C"/>
    <w:rsid w:val="00991BDB"/>
    <w:rsid w:val="00991E32"/>
    <w:rsid w:val="00991FE5"/>
    <w:rsid w:val="00992583"/>
    <w:rsid w:val="00992ADA"/>
    <w:rsid w:val="009938D6"/>
    <w:rsid w:val="00993B78"/>
    <w:rsid w:val="009945B9"/>
    <w:rsid w:val="009946ED"/>
    <w:rsid w:val="00994777"/>
    <w:rsid w:val="0099484B"/>
    <w:rsid w:val="00994CBE"/>
    <w:rsid w:val="0099526E"/>
    <w:rsid w:val="00996303"/>
    <w:rsid w:val="009968B3"/>
    <w:rsid w:val="00996F8F"/>
    <w:rsid w:val="00997079"/>
    <w:rsid w:val="00997983"/>
    <w:rsid w:val="009A007E"/>
    <w:rsid w:val="009A1375"/>
    <w:rsid w:val="009A13F1"/>
    <w:rsid w:val="009A185F"/>
    <w:rsid w:val="009A321E"/>
    <w:rsid w:val="009A42E9"/>
    <w:rsid w:val="009A4D21"/>
    <w:rsid w:val="009A5FB0"/>
    <w:rsid w:val="009A5FB7"/>
    <w:rsid w:val="009A6881"/>
    <w:rsid w:val="009A6FFD"/>
    <w:rsid w:val="009A7AC1"/>
    <w:rsid w:val="009A7B11"/>
    <w:rsid w:val="009B1087"/>
    <w:rsid w:val="009B1193"/>
    <w:rsid w:val="009B13CC"/>
    <w:rsid w:val="009B19F9"/>
    <w:rsid w:val="009B1EFB"/>
    <w:rsid w:val="009B23C8"/>
    <w:rsid w:val="009B247D"/>
    <w:rsid w:val="009B298A"/>
    <w:rsid w:val="009B2EC7"/>
    <w:rsid w:val="009B307F"/>
    <w:rsid w:val="009B3089"/>
    <w:rsid w:val="009B34B8"/>
    <w:rsid w:val="009B4BA8"/>
    <w:rsid w:val="009B4C84"/>
    <w:rsid w:val="009B4EA6"/>
    <w:rsid w:val="009B60E5"/>
    <w:rsid w:val="009B6599"/>
    <w:rsid w:val="009B73EB"/>
    <w:rsid w:val="009C0A1E"/>
    <w:rsid w:val="009C0BB6"/>
    <w:rsid w:val="009C0F4B"/>
    <w:rsid w:val="009C1097"/>
    <w:rsid w:val="009C20B3"/>
    <w:rsid w:val="009C243A"/>
    <w:rsid w:val="009C2CEE"/>
    <w:rsid w:val="009C399C"/>
    <w:rsid w:val="009C3C97"/>
    <w:rsid w:val="009C4359"/>
    <w:rsid w:val="009C440D"/>
    <w:rsid w:val="009C454D"/>
    <w:rsid w:val="009C519B"/>
    <w:rsid w:val="009C5C4E"/>
    <w:rsid w:val="009C769C"/>
    <w:rsid w:val="009C7779"/>
    <w:rsid w:val="009C7C4E"/>
    <w:rsid w:val="009C7CAD"/>
    <w:rsid w:val="009C7DFE"/>
    <w:rsid w:val="009D073D"/>
    <w:rsid w:val="009D0ADF"/>
    <w:rsid w:val="009D1301"/>
    <w:rsid w:val="009D1C3B"/>
    <w:rsid w:val="009D3544"/>
    <w:rsid w:val="009D3CB7"/>
    <w:rsid w:val="009D4808"/>
    <w:rsid w:val="009D547C"/>
    <w:rsid w:val="009D57AF"/>
    <w:rsid w:val="009D5E5C"/>
    <w:rsid w:val="009D5FD4"/>
    <w:rsid w:val="009D62BB"/>
    <w:rsid w:val="009D6449"/>
    <w:rsid w:val="009D6613"/>
    <w:rsid w:val="009D66DF"/>
    <w:rsid w:val="009D6CAA"/>
    <w:rsid w:val="009D7316"/>
    <w:rsid w:val="009D748C"/>
    <w:rsid w:val="009E13F7"/>
    <w:rsid w:val="009E1E0D"/>
    <w:rsid w:val="009E275B"/>
    <w:rsid w:val="009E2D5D"/>
    <w:rsid w:val="009E40D7"/>
    <w:rsid w:val="009E42CF"/>
    <w:rsid w:val="009E575B"/>
    <w:rsid w:val="009E6715"/>
    <w:rsid w:val="009E6817"/>
    <w:rsid w:val="009E72D1"/>
    <w:rsid w:val="009E75BF"/>
    <w:rsid w:val="009E76BA"/>
    <w:rsid w:val="009E77FB"/>
    <w:rsid w:val="009F0E8B"/>
    <w:rsid w:val="009F25AA"/>
    <w:rsid w:val="009F2D30"/>
    <w:rsid w:val="009F3DF1"/>
    <w:rsid w:val="009F458D"/>
    <w:rsid w:val="009F510D"/>
    <w:rsid w:val="009F5706"/>
    <w:rsid w:val="009F595A"/>
    <w:rsid w:val="009F6013"/>
    <w:rsid w:val="009F60FD"/>
    <w:rsid w:val="009F6375"/>
    <w:rsid w:val="009F6776"/>
    <w:rsid w:val="009F6B78"/>
    <w:rsid w:val="009F6CD9"/>
    <w:rsid w:val="009F6F17"/>
    <w:rsid w:val="009F6FBD"/>
    <w:rsid w:val="009F7273"/>
    <w:rsid w:val="009F7392"/>
    <w:rsid w:val="009F77AF"/>
    <w:rsid w:val="00A00E42"/>
    <w:rsid w:val="00A010DB"/>
    <w:rsid w:val="00A01BF4"/>
    <w:rsid w:val="00A01FB6"/>
    <w:rsid w:val="00A02327"/>
    <w:rsid w:val="00A02AF7"/>
    <w:rsid w:val="00A032BF"/>
    <w:rsid w:val="00A04776"/>
    <w:rsid w:val="00A05ABC"/>
    <w:rsid w:val="00A06FC1"/>
    <w:rsid w:val="00A071F6"/>
    <w:rsid w:val="00A07C54"/>
    <w:rsid w:val="00A07F2D"/>
    <w:rsid w:val="00A1092B"/>
    <w:rsid w:val="00A10B72"/>
    <w:rsid w:val="00A11AB8"/>
    <w:rsid w:val="00A11BAA"/>
    <w:rsid w:val="00A11DF8"/>
    <w:rsid w:val="00A128AB"/>
    <w:rsid w:val="00A13053"/>
    <w:rsid w:val="00A130FC"/>
    <w:rsid w:val="00A133A6"/>
    <w:rsid w:val="00A14FDB"/>
    <w:rsid w:val="00A15F17"/>
    <w:rsid w:val="00A16328"/>
    <w:rsid w:val="00A16894"/>
    <w:rsid w:val="00A16E2D"/>
    <w:rsid w:val="00A17AB1"/>
    <w:rsid w:val="00A20638"/>
    <w:rsid w:val="00A2164A"/>
    <w:rsid w:val="00A21682"/>
    <w:rsid w:val="00A22B2D"/>
    <w:rsid w:val="00A232BC"/>
    <w:rsid w:val="00A2371F"/>
    <w:rsid w:val="00A238D6"/>
    <w:rsid w:val="00A2440A"/>
    <w:rsid w:val="00A24678"/>
    <w:rsid w:val="00A26B86"/>
    <w:rsid w:val="00A26BEE"/>
    <w:rsid w:val="00A276E3"/>
    <w:rsid w:val="00A27C2D"/>
    <w:rsid w:val="00A31D54"/>
    <w:rsid w:val="00A32FAF"/>
    <w:rsid w:val="00A340D7"/>
    <w:rsid w:val="00A34669"/>
    <w:rsid w:val="00A34AF5"/>
    <w:rsid w:val="00A34B41"/>
    <w:rsid w:val="00A35C91"/>
    <w:rsid w:val="00A35E92"/>
    <w:rsid w:val="00A368B2"/>
    <w:rsid w:val="00A37512"/>
    <w:rsid w:val="00A375C7"/>
    <w:rsid w:val="00A40CFD"/>
    <w:rsid w:val="00A40DB7"/>
    <w:rsid w:val="00A40E26"/>
    <w:rsid w:val="00A41FAF"/>
    <w:rsid w:val="00A43798"/>
    <w:rsid w:val="00A44210"/>
    <w:rsid w:val="00A452F9"/>
    <w:rsid w:val="00A46738"/>
    <w:rsid w:val="00A478E4"/>
    <w:rsid w:val="00A479A7"/>
    <w:rsid w:val="00A50906"/>
    <w:rsid w:val="00A50B62"/>
    <w:rsid w:val="00A51306"/>
    <w:rsid w:val="00A51722"/>
    <w:rsid w:val="00A51883"/>
    <w:rsid w:val="00A51DA4"/>
    <w:rsid w:val="00A5389E"/>
    <w:rsid w:val="00A54B0A"/>
    <w:rsid w:val="00A55B59"/>
    <w:rsid w:val="00A55C69"/>
    <w:rsid w:val="00A5630E"/>
    <w:rsid w:val="00A57395"/>
    <w:rsid w:val="00A57D28"/>
    <w:rsid w:val="00A60825"/>
    <w:rsid w:val="00A61D82"/>
    <w:rsid w:val="00A63DB6"/>
    <w:rsid w:val="00A6475B"/>
    <w:rsid w:val="00A64869"/>
    <w:rsid w:val="00A66C93"/>
    <w:rsid w:val="00A671FF"/>
    <w:rsid w:val="00A67924"/>
    <w:rsid w:val="00A67A02"/>
    <w:rsid w:val="00A67C49"/>
    <w:rsid w:val="00A67E9D"/>
    <w:rsid w:val="00A701D9"/>
    <w:rsid w:val="00A70787"/>
    <w:rsid w:val="00A720E4"/>
    <w:rsid w:val="00A72CC3"/>
    <w:rsid w:val="00A73E3F"/>
    <w:rsid w:val="00A73EE0"/>
    <w:rsid w:val="00A741A0"/>
    <w:rsid w:val="00A748A4"/>
    <w:rsid w:val="00A74B06"/>
    <w:rsid w:val="00A752F2"/>
    <w:rsid w:val="00A76A86"/>
    <w:rsid w:val="00A77065"/>
    <w:rsid w:val="00A77067"/>
    <w:rsid w:val="00A7727A"/>
    <w:rsid w:val="00A77C6F"/>
    <w:rsid w:val="00A77D52"/>
    <w:rsid w:val="00A82291"/>
    <w:rsid w:val="00A83496"/>
    <w:rsid w:val="00A85842"/>
    <w:rsid w:val="00A869AB"/>
    <w:rsid w:val="00A878E0"/>
    <w:rsid w:val="00A9096D"/>
    <w:rsid w:val="00A9147B"/>
    <w:rsid w:val="00A91BCD"/>
    <w:rsid w:val="00A91C73"/>
    <w:rsid w:val="00A91F64"/>
    <w:rsid w:val="00A91FDF"/>
    <w:rsid w:val="00A931DA"/>
    <w:rsid w:val="00A933E5"/>
    <w:rsid w:val="00A934F3"/>
    <w:rsid w:val="00A93C6F"/>
    <w:rsid w:val="00A94012"/>
    <w:rsid w:val="00A94FEE"/>
    <w:rsid w:val="00A9572E"/>
    <w:rsid w:val="00A95AFE"/>
    <w:rsid w:val="00A95EA8"/>
    <w:rsid w:val="00A96196"/>
    <w:rsid w:val="00A96ECD"/>
    <w:rsid w:val="00A9774F"/>
    <w:rsid w:val="00AA0371"/>
    <w:rsid w:val="00AA0D9B"/>
    <w:rsid w:val="00AA177B"/>
    <w:rsid w:val="00AA1C72"/>
    <w:rsid w:val="00AA1DA2"/>
    <w:rsid w:val="00AA2751"/>
    <w:rsid w:val="00AA2788"/>
    <w:rsid w:val="00AA2A4A"/>
    <w:rsid w:val="00AA3912"/>
    <w:rsid w:val="00AA3BF2"/>
    <w:rsid w:val="00AA45DF"/>
    <w:rsid w:val="00AA4E02"/>
    <w:rsid w:val="00AA6349"/>
    <w:rsid w:val="00AA6BD7"/>
    <w:rsid w:val="00AA764E"/>
    <w:rsid w:val="00AA7E30"/>
    <w:rsid w:val="00AB0061"/>
    <w:rsid w:val="00AB0629"/>
    <w:rsid w:val="00AB160E"/>
    <w:rsid w:val="00AB19C7"/>
    <w:rsid w:val="00AB1E6C"/>
    <w:rsid w:val="00AB258F"/>
    <w:rsid w:val="00AB2A48"/>
    <w:rsid w:val="00AB2EDD"/>
    <w:rsid w:val="00AB383C"/>
    <w:rsid w:val="00AB3C6D"/>
    <w:rsid w:val="00AB4D73"/>
    <w:rsid w:val="00AB5126"/>
    <w:rsid w:val="00AB5287"/>
    <w:rsid w:val="00AB6877"/>
    <w:rsid w:val="00AB68EE"/>
    <w:rsid w:val="00AB6A38"/>
    <w:rsid w:val="00AB70AA"/>
    <w:rsid w:val="00AB7804"/>
    <w:rsid w:val="00AB7CD3"/>
    <w:rsid w:val="00AC025A"/>
    <w:rsid w:val="00AC0604"/>
    <w:rsid w:val="00AC1979"/>
    <w:rsid w:val="00AC22FE"/>
    <w:rsid w:val="00AC442C"/>
    <w:rsid w:val="00AC543A"/>
    <w:rsid w:val="00AC5BC4"/>
    <w:rsid w:val="00AC5FC8"/>
    <w:rsid w:val="00AC61F9"/>
    <w:rsid w:val="00AC6428"/>
    <w:rsid w:val="00AC78ED"/>
    <w:rsid w:val="00AD0638"/>
    <w:rsid w:val="00AD0824"/>
    <w:rsid w:val="00AD0A6C"/>
    <w:rsid w:val="00AD0BA1"/>
    <w:rsid w:val="00AD1350"/>
    <w:rsid w:val="00AD1400"/>
    <w:rsid w:val="00AD144A"/>
    <w:rsid w:val="00AD18D4"/>
    <w:rsid w:val="00AD1C72"/>
    <w:rsid w:val="00AD1E22"/>
    <w:rsid w:val="00AD228F"/>
    <w:rsid w:val="00AD2348"/>
    <w:rsid w:val="00AD3335"/>
    <w:rsid w:val="00AD5D27"/>
    <w:rsid w:val="00AD63D1"/>
    <w:rsid w:val="00AD771E"/>
    <w:rsid w:val="00AD7EDE"/>
    <w:rsid w:val="00AE00CF"/>
    <w:rsid w:val="00AE0567"/>
    <w:rsid w:val="00AE067F"/>
    <w:rsid w:val="00AE0DB3"/>
    <w:rsid w:val="00AE2CBA"/>
    <w:rsid w:val="00AE3FED"/>
    <w:rsid w:val="00AE4944"/>
    <w:rsid w:val="00AE4C06"/>
    <w:rsid w:val="00AE4CFF"/>
    <w:rsid w:val="00AE4EBF"/>
    <w:rsid w:val="00AE547B"/>
    <w:rsid w:val="00AE5520"/>
    <w:rsid w:val="00AE5B2F"/>
    <w:rsid w:val="00AE5B65"/>
    <w:rsid w:val="00AE6019"/>
    <w:rsid w:val="00AE614C"/>
    <w:rsid w:val="00AE631C"/>
    <w:rsid w:val="00AE673A"/>
    <w:rsid w:val="00AE7A6A"/>
    <w:rsid w:val="00AF017B"/>
    <w:rsid w:val="00AF0890"/>
    <w:rsid w:val="00AF0C42"/>
    <w:rsid w:val="00AF13B2"/>
    <w:rsid w:val="00AF1494"/>
    <w:rsid w:val="00AF1F79"/>
    <w:rsid w:val="00AF2872"/>
    <w:rsid w:val="00AF37C5"/>
    <w:rsid w:val="00AF45F0"/>
    <w:rsid w:val="00AF45F4"/>
    <w:rsid w:val="00AF4C7D"/>
    <w:rsid w:val="00AF52B1"/>
    <w:rsid w:val="00AF68FF"/>
    <w:rsid w:val="00AF6C3B"/>
    <w:rsid w:val="00AF7DFD"/>
    <w:rsid w:val="00AF7FD9"/>
    <w:rsid w:val="00B00C2A"/>
    <w:rsid w:val="00B026B9"/>
    <w:rsid w:val="00B04835"/>
    <w:rsid w:val="00B04EC9"/>
    <w:rsid w:val="00B04F1F"/>
    <w:rsid w:val="00B05DF0"/>
    <w:rsid w:val="00B06F7B"/>
    <w:rsid w:val="00B06F98"/>
    <w:rsid w:val="00B07154"/>
    <w:rsid w:val="00B07A95"/>
    <w:rsid w:val="00B07BB4"/>
    <w:rsid w:val="00B10070"/>
    <w:rsid w:val="00B10D6E"/>
    <w:rsid w:val="00B11200"/>
    <w:rsid w:val="00B11D97"/>
    <w:rsid w:val="00B128C1"/>
    <w:rsid w:val="00B12D37"/>
    <w:rsid w:val="00B13112"/>
    <w:rsid w:val="00B135EF"/>
    <w:rsid w:val="00B13744"/>
    <w:rsid w:val="00B13E29"/>
    <w:rsid w:val="00B1434A"/>
    <w:rsid w:val="00B14A66"/>
    <w:rsid w:val="00B156C3"/>
    <w:rsid w:val="00B15781"/>
    <w:rsid w:val="00B16621"/>
    <w:rsid w:val="00B169F3"/>
    <w:rsid w:val="00B17819"/>
    <w:rsid w:val="00B17DEE"/>
    <w:rsid w:val="00B2043A"/>
    <w:rsid w:val="00B20757"/>
    <w:rsid w:val="00B210B7"/>
    <w:rsid w:val="00B216F1"/>
    <w:rsid w:val="00B21AB2"/>
    <w:rsid w:val="00B21FAF"/>
    <w:rsid w:val="00B227A9"/>
    <w:rsid w:val="00B232F5"/>
    <w:rsid w:val="00B23C1B"/>
    <w:rsid w:val="00B24431"/>
    <w:rsid w:val="00B244AF"/>
    <w:rsid w:val="00B24ACE"/>
    <w:rsid w:val="00B261D0"/>
    <w:rsid w:val="00B26469"/>
    <w:rsid w:val="00B26B3F"/>
    <w:rsid w:val="00B26D3C"/>
    <w:rsid w:val="00B276D6"/>
    <w:rsid w:val="00B279DB"/>
    <w:rsid w:val="00B27D31"/>
    <w:rsid w:val="00B305AF"/>
    <w:rsid w:val="00B3079B"/>
    <w:rsid w:val="00B30D36"/>
    <w:rsid w:val="00B3101C"/>
    <w:rsid w:val="00B31DF6"/>
    <w:rsid w:val="00B32513"/>
    <w:rsid w:val="00B32A10"/>
    <w:rsid w:val="00B336C2"/>
    <w:rsid w:val="00B34F19"/>
    <w:rsid w:val="00B350DD"/>
    <w:rsid w:val="00B356D9"/>
    <w:rsid w:val="00B35C34"/>
    <w:rsid w:val="00B36721"/>
    <w:rsid w:val="00B3689E"/>
    <w:rsid w:val="00B36C7E"/>
    <w:rsid w:val="00B36EE5"/>
    <w:rsid w:val="00B37CD0"/>
    <w:rsid w:val="00B40F3D"/>
    <w:rsid w:val="00B412D5"/>
    <w:rsid w:val="00B41484"/>
    <w:rsid w:val="00B4158D"/>
    <w:rsid w:val="00B41CE8"/>
    <w:rsid w:val="00B41D2C"/>
    <w:rsid w:val="00B429A7"/>
    <w:rsid w:val="00B42D1C"/>
    <w:rsid w:val="00B443D8"/>
    <w:rsid w:val="00B44CEB"/>
    <w:rsid w:val="00B45B18"/>
    <w:rsid w:val="00B45E88"/>
    <w:rsid w:val="00B47003"/>
    <w:rsid w:val="00B47132"/>
    <w:rsid w:val="00B4765D"/>
    <w:rsid w:val="00B50D82"/>
    <w:rsid w:val="00B51562"/>
    <w:rsid w:val="00B52E53"/>
    <w:rsid w:val="00B539DB"/>
    <w:rsid w:val="00B53C0D"/>
    <w:rsid w:val="00B53D59"/>
    <w:rsid w:val="00B54E1A"/>
    <w:rsid w:val="00B550BF"/>
    <w:rsid w:val="00B55272"/>
    <w:rsid w:val="00B559E2"/>
    <w:rsid w:val="00B5653D"/>
    <w:rsid w:val="00B57A48"/>
    <w:rsid w:val="00B60185"/>
    <w:rsid w:val="00B602D0"/>
    <w:rsid w:val="00B61577"/>
    <w:rsid w:val="00B619E3"/>
    <w:rsid w:val="00B61D2A"/>
    <w:rsid w:val="00B6268A"/>
    <w:rsid w:val="00B62DFC"/>
    <w:rsid w:val="00B63A20"/>
    <w:rsid w:val="00B63A5C"/>
    <w:rsid w:val="00B64652"/>
    <w:rsid w:val="00B6519F"/>
    <w:rsid w:val="00B65773"/>
    <w:rsid w:val="00B661D2"/>
    <w:rsid w:val="00B6686F"/>
    <w:rsid w:val="00B66A3E"/>
    <w:rsid w:val="00B66DCD"/>
    <w:rsid w:val="00B66F85"/>
    <w:rsid w:val="00B678F4"/>
    <w:rsid w:val="00B7038B"/>
    <w:rsid w:val="00B709C9"/>
    <w:rsid w:val="00B709E3"/>
    <w:rsid w:val="00B70CB3"/>
    <w:rsid w:val="00B71209"/>
    <w:rsid w:val="00B715BF"/>
    <w:rsid w:val="00B719B0"/>
    <w:rsid w:val="00B71A42"/>
    <w:rsid w:val="00B721A7"/>
    <w:rsid w:val="00B721B8"/>
    <w:rsid w:val="00B7276B"/>
    <w:rsid w:val="00B727A8"/>
    <w:rsid w:val="00B7294D"/>
    <w:rsid w:val="00B732F0"/>
    <w:rsid w:val="00B73DCA"/>
    <w:rsid w:val="00B73F44"/>
    <w:rsid w:val="00B74405"/>
    <w:rsid w:val="00B74641"/>
    <w:rsid w:val="00B746E6"/>
    <w:rsid w:val="00B75378"/>
    <w:rsid w:val="00B75C1E"/>
    <w:rsid w:val="00B76222"/>
    <w:rsid w:val="00B76300"/>
    <w:rsid w:val="00B77633"/>
    <w:rsid w:val="00B77960"/>
    <w:rsid w:val="00B80166"/>
    <w:rsid w:val="00B8020F"/>
    <w:rsid w:val="00B80B87"/>
    <w:rsid w:val="00B80E25"/>
    <w:rsid w:val="00B81767"/>
    <w:rsid w:val="00B81801"/>
    <w:rsid w:val="00B8181E"/>
    <w:rsid w:val="00B8197F"/>
    <w:rsid w:val="00B81B98"/>
    <w:rsid w:val="00B81EC8"/>
    <w:rsid w:val="00B8236D"/>
    <w:rsid w:val="00B83AAF"/>
    <w:rsid w:val="00B843E0"/>
    <w:rsid w:val="00B84E06"/>
    <w:rsid w:val="00B854AD"/>
    <w:rsid w:val="00B8586E"/>
    <w:rsid w:val="00B858C3"/>
    <w:rsid w:val="00B86AD1"/>
    <w:rsid w:val="00B87291"/>
    <w:rsid w:val="00B87F82"/>
    <w:rsid w:val="00B90ACB"/>
    <w:rsid w:val="00B919B9"/>
    <w:rsid w:val="00B91A73"/>
    <w:rsid w:val="00B925D0"/>
    <w:rsid w:val="00B92C84"/>
    <w:rsid w:val="00B92FFD"/>
    <w:rsid w:val="00B93A3A"/>
    <w:rsid w:val="00B93DF9"/>
    <w:rsid w:val="00B94B58"/>
    <w:rsid w:val="00B951D7"/>
    <w:rsid w:val="00B952B9"/>
    <w:rsid w:val="00B9589E"/>
    <w:rsid w:val="00B95DB3"/>
    <w:rsid w:val="00B963A7"/>
    <w:rsid w:val="00B96945"/>
    <w:rsid w:val="00B97282"/>
    <w:rsid w:val="00B97B0A"/>
    <w:rsid w:val="00B97BD2"/>
    <w:rsid w:val="00BA050F"/>
    <w:rsid w:val="00BA0C5C"/>
    <w:rsid w:val="00BA175A"/>
    <w:rsid w:val="00BA194F"/>
    <w:rsid w:val="00BA2AA5"/>
    <w:rsid w:val="00BA3183"/>
    <w:rsid w:val="00BA3457"/>
    <w:rsid w:val="00BA3514"/>
    <w:rsid w:val="00BA395D"/>
    <w:rsid w:val="00BA3B17"/>
    <w:rsid w:val="00BA48D8"/>
    <w:rsid w:val="00BA4A66"/>
    <w:rsid w:val="00BA4E6B"/>
    <w:rsid w:val="00BA5EF1"/>
    <w:rsid w:val="00BA65F1"/>
    <w:rsid w:val="00BA78F3"/>
    <w:rsid w:val="00BB0887"/>
    <w:rsid w:val="00BB1581"/>
    <w:rsid w:val="00BB1590"/>
    <w:rsid w:val="00BB1600"/>
    <w:rsid w:val="00BB1A53"/>
    <w:rsid w:val="00BB41AE"/>
    <w:rsid w:val="00BB442C"/>
    <w:rsid w:val="00BB4433"/>
    <w:rsid w:val="00BB57A4"/>
    <w:rsid w:val="00BB5B06"/>
    <w:rsid w:val="00BB5EB5"/>
    <w:rsid w:val="00BB70BE"/>
    <w:rsid w:val="00BB76BE"/>
    <w:rsid w:val="00BB7CF3"/>
    <w:rsid w:val="00BC0DEE"/>
    <w:rsid w:val="00BC0F9F"/>
    <w:rsid w:val="00BC2C57"/>
    <w:rsid w:val="00BC2CA2"/>
    <w:rsid w:val="00BC37F5"/>
    <w:rsid w:val="00BC3BB0"/>
    <w:rsid w:val="00BC3D4A"/>
    <w:rsid w:val="00BC4184"/>
    <w:rsid w:val="00BC44BF"/>
    <w:rsid w:val="00BC572A"/>
    <w:rsid w:val="00BC64A4"/>
    <w:rsid w:val="00BC6683"/>
    <w:rsid w:val="00BC7B52"/>
    <w:rsid w:val="00BD130E"/>
    <w:rsid w:val="00BD15AC"/>
    <w:rsid w:val="00BD1D2A"/>
    <w:rsid w:val="00BD246A"/>
    <w:rsid w:val="00BD24DB"/>
    <w:rsid w:val="00BD26B9"/>
    <w:rsid w:val="00BD2712"/>
    <w:rsid w:val="00BD27BB"/>
    <w:rsid w:val="00BD4B7F"/>
    <w:rsid w:val="00BD4FB5"/>
    <w:rsid w:val="00BD60F4"/>
    <w:rsid w:val="00BD62A0"/>
    <w:rsid w:val="00BD6986"/>
    <w:rsid w:val="00BD7917"/>
    <w:rsid w:val="00BD7BC2"/>
    <w:rsid w:val="00BD7F0F"/>
    <w:rsid w:val="00BD7F41"/>
    <w:rsid w:val="00BE07B2"/>
    <w:rsid w:val="00BE0F91"/>
    <w:rsid w:val="00BE16A8"/>
    <w:rsid w:val="00BE265E"/>
    <w:rsid w:val="00BE26D8"/>
    <w:rsid w:val="00BE2CAE"/>
    <w:rsid w:val="00BE2E4D"/>
    <w:rsid w:val="00BE3395"/>
    <w:rsid w:val="00BE41BD"/>
    <w:rsid w:val="00BE4848"/>
    <w:rsid w:val="00BE4B0F"/>
    <w:rsid w:val="00BE4CAB"/>
    <w:rsid w:val="00BE5443"/>
    <w:rsid w:val="00BE5A89"/>
    <w:rsid w:val="00BE624F"/>
    <w:rsid w:val="00BE6922"/>
    <w:rsid w:val="00BE6C6F"/>
    <w:rsid w:val="00BE7C62"/>
    <w:rsid w:val="00BF00C2"/>
    <w:rsid w:val="00BF0203"/>
    <w:rsid w:val="00BF08D1"/>
    <w:rsid w:val="00BF1318"/>
    <w:rsid w:val="00BF1B34"/>
    <w:rsid w:val="00BF4568"/>
    <w:rsid w:val="00BF4C1D"/>
    <w:rsid w:val="00BF4D28"/>
    <w:rsid w:val="00BF4E22"/>
    <w:rsid w:val="00BF5074"/>
    <w:rsid w:val="00BF5203"/>
    <w:rsid w:val="00BF561F"/>
    <w:rsid w:val="00BF60D1"/>
    <w:rsid w:val="00BF64BC"/>
    <w:rsid w:val="00BF7436"/>
    <w:rsid w:val="00C00004"/>
    <w:rsid w:val="00C00A7C"/>
    <w:rsid w:val="00C01962"/>
    <w:rsid w:val="00C0196C"/>
    <w:rsid w:val="00C023B2"/>
    <w:rsid w:val="00C02E2C"/>
    <w:rsid w:val="00C02EE4"/>
    <w:rsid w:val="00C03AB0"/>
    <w:rsid w:val="00C03E1A"/>
    <w:rsid w:val="00C05721"/>
    <w:rsid w:val="00C058DB"/>
    <w:rsid w:val="00C05CF6"/>
    <w:rsid w:val="00C05F2D"/>
    <w:rsid w:val="00C07BDE"/>
    <w:rsid w:val="00C10346"/>
    <w:rsid w:val="00C103C9"/>
    <w:rsid w:val="00C11299"/>
    <w:rsid w:val="00C114F4"/>
    <w:rsid w:val="00C12691"/>
    <w:rsid w:val="00C126A0"/>
    <w:rsid w:val="00C12B2A"/>
    <w:rsid w:val="00C12B85"/>
    <w:rsid w:val="00C12F26"/>
    <w:rsid w:val="00C13187"/>
    <w:rsid w:val="00C13338"/>
    <w:rsid w:val="00C13AE3"/>
    <w:rsid w:val="00C13EBD"/>
    <w:rsid w:val="00C14891"/>
    <w:rsid w:val="00C14AF2"/>
    <w:rsid w:val="00C162DF"/>
    <w:rsid w:val="00C169D2"/>
    <w:rsid w:val="00C16FEB"/>
    <w:rsid w:val="00C17B9A"/>
    <w:rsid w:val="00C17BD8"/>
    <w:rsid w:val="00C2030E"/>
    <w:rsid w:val="00C20CA7"/>
    <w:rsid w:val="00C20F00"/>
    <w:rsid w:val="00C216DC"/>
    <w:rsid w:val="00C21BFC"/>
    <w:rsid w:val="00C22A06"/>
    <w:rsid w:val="00C23CD2"/>
    <w:rsid w:val="00C24D08"/>
    <w:rsid w:val="00C24FCC"/>
    <w:rsid w:val="00C257A9"/>
    <w:rsid w:val="00C26979"/>
    <w:rsid w:val="00C30E85"/>
    <w:rsid w:val="00C312B5"/>
    <w:rsid w:val="00C31D91"/>
    <w:rsid w:val="00C32942"/>
    <w:rsid w:val="00C34351"/>
    <w:rsid w:val="00C345A3"/>
    <w:rsid w:val="00C3479C"/>
    <w:rsid w:val="00C354DC"/>
    <w:rsid w:val="00C35764"/>
    <w:rsid w:val="00C35D58"/>
    <w:rsid w:val="00C36DE2"/>
    <w:rsid w:val="00C37C8D"/>
    <w:rsid w:val="00C37D7B"/>
    <w:rsid w:val="00C406A2"/>
    <w:rsid w:val="00C40BF7"/>
    <w:rsid w:val="00C40E25"/>
    <w:rsid w:val="00C41DE5"/>
    <w:rsid w:val="00C42012"/>
    <w:rsid w:val="00C42547"/>
    <w:rsid w:val="00C42569"/>
    <w:rsid w:val="00C426E8"/>
    <w:rsid w:val="00C42F08"/>
    <w:rsid w:val="00C44E25"/>
    <w:rsid w:val="00C4509C"/>
    <w:rsid w:val="00C45772"/>
    <w:rsid w:val="00C45872"/>
    <w:rsid w:val="00C45C8C"/>
    <w:rsid w:val="00C46110"/>
    <w:rsid w:val="00C46B9A"/>
    <w:rsid w:val="00C4758A"/>
    <w:rsid w:val="00C47F50"/>
    <w:rsid w:val="00C501FD"/>
    <w:rsid w:val="00C502F6"/>
    <w:rsid w:val="00C509CE"/>
    <w:rsid w:val="00C53AA1"/>
    <w:rsid w:val="00C548B0"/>
    <w:rsid w:val="00C5577B"/>
    <w:rsid w:val="00C55D2C"/>
    <w:rsid w:val="00C56330"/>
    <w:rsid w:val="00C56A09"/>
    <w:rsid w:val="00C57355"/>
    <w:rsid w:val="00C575D3"/>
    <w:rsid w:val="00C57CEE"/>
    <w:rsid w:val="00C57DD3"/>
    <w:rsid w:val="00C60ED2"/>
    <w:rsid w:val="00C61AE2"/>
    <w:rsid w:val="00C62419"/>
    <w:rsid w:val="00C628DD"/>
    <w:rsid w:val="00C62E1C"/>
    <w:rsid w:val="00C6374F"/>
    <w:rsid w:val="00C6386E"/>
    <w:rsid w:val="00C653CA"/>
    <w:rsid w:val="00C65F1F"/>
    <w:rsid w:val="00C66133"/>
    <w:rsid w:val="00C6626E"/>
    <w:rsid w:val="00C668D8"/>
    <w:rsid w:val="00C66E0E"/>
    <w:rsid w:val="00C67CDF"/>
    <w:rsid w:val="00C71732"/>
    <w:rsid w:val="00C71938"/>
    <w:rsid w:val="00C72212"/>
    <w:rsid w:val="00C7291C"/>
    <w:rsid w:val="00C72B94"/>
    <w:rsid w:val="00C730BD"/>
    <w:rsid w:val="00C7381E"/>
    <w:rsid w:val="00C74741"/>
    <w:rsid w:val="00C747F2"/>
    <w:rsid w:val="00C74D4F"/>
    <w:rsid w:val="00C75BF1"/>
    <w:rsid w:val="00C77C8F"/>
    <w:rsid w:val="00C8061F"/>
    <w:rsid w:val="00C83946"/>
    <w:rsid w:val="00C843B2"/>
    <w:rsid w:val="00C84ED8"/>
    <w:rsid w:val="00C8552E"/>
    <w:rsid w:val="00C85F46"/>
    <w:rsid w:val="00C867AF"/>
    <w:rsid w:val="00C87090"/>
    <w:rsid w:val="00C87318"/>
    <w:rsid w:val="00C875D7"/>
    <w:rsid w:val="00C87F62"/>
    <w:rsid w:val="00C904D6"/>
    <w:rsid w:val="00C90F02"/>
    <w:rsid w:val="00C90F22"/>
    <w:rsid w:val="00C9151E"/>
    <w:rsid w:val="00C91566"/>
    <w:rsid w:val="00C9161F"/>
    <w:rsid w:val="00C91674"/>
    <w:rsid w:val="00C91EB1"/>
    <w:rsid w:val="00C92A96"/>
    <w:rsid w:val="00C9398F"/>
    <w:rsid w:val="00C9436F"/>
    <w:rsid w:val="00C94550"/>
    <w:rsid w:val="00C94790"/>
    <w:rsid w:val="00C952F9"/>
    <w:rsid w:val="00C95348"/>
    <w:rsid w:val="00C95406"/>
    <w:rsid w:val="00C955C3"/>
    <w:rsid w:val="00C96285"/>
    <w:rsid w:val="00C96364"/>
    <w:rsid w:val="00C963A4"/>
    <w:rsid w:val="00C96474"/>
    <w:rsid w:val="00C96845"/>
    <w:rsid w:val="00CA1042"/>
    <w:rsid w:val="00CA13B3"/>
    <w:rsid w:val="00CA182E"/>
    <w:rsid w:val="00CA2A67"/>
    <w:rsid w:val="00CA2D74"/>
    <w:rsid w:val="00CA373D"/>
    <w:rsid w:val="00CA39B1"/>
    <w:rsid w:val="00CA44DC"/>
    <w:rsid w:val="00CA4627"/>
    <w:rsid w:val="00CA4F76"/>
    <w:rsid w:val="00CA52C6"/>
    <w:rsid w:val="00CA53D0"/>
    <w:rsid w:val="00CA5726"/>
    <w:rsid w:val="00CA7B71"/>
    <w:rsid w:val="00CB12C5"/>
    <w:rsid w:val="00CB19DB"/>
    <w:rsid w:val="00CB2F4D"/>
    <w:rsid w:val="00CB3CCC"/>
    <w:rsid w:val="00CB4990"/>
    <w:rsid w:val="00CB5FC8"/>
    <w:rsid w:val="00CB7172"/>
    <w:rsid w:val="00CB769F"/>
    <w:rsid w:val="00CB7D39"/>
    <w:rsid w:val="00CC0C09"/>
    <w:rsid w:val="00CC11A8"/>
    <w:rsid w:val="00CC1B30"/>
    <w:rsid w:val="00CC204E"/>
    <w:rsid w:val="00CC3CED"/>
    <w:rsid w:val="00CC448E"/>
    <w:rsid w:val="00CC6313"/>
    <w:rsid w:val="00CC6FC7"/>
    <w:rsid w:val="00CC7F35"/>
    <w:rsid w:val="00CD0147"/>
    <w:rsid w:val="00CD01EA"/>
    <w:rsid w:val="00CD08B2"/>
    <w:rsid w:val="00CD0D74"/>
    <w:rsid w:val="00CD100D"/>
    <w:rsid w:val="00CD1101"/>
    <w:rsid w:val="00CD11BC"/>
    <w:rsid w:val="00CD1230"/>
    <w:rsid w:val="00CD1323"/>
    <w:rsid w:val="00CD1A15"/>
    <w:rsid w:val="00CD1D33"/>
    <w:rsid w:val="00CD2036"/>
    <w:rsid w:val="00CD24E5"/>
    <w:rsid w:val="00CD2690"/>
    <w:rsid w:val="00CD3423"/>
    <w:rsid w:val="00CD34D2"/>
    <w:rsid w:val="00CD3686"/>
    <w:rsid w:val="00CD3798"/>
    <w:rsid w:val="00CD39E1"/>
    <w:rsid w:val="00CD446D"/>
    <w:rsid w:val="00CD4986"/>
    <w:rsid w:val="00CD4F25"/>
    <w:rsid w:val="00CD63B2"/>
    <w:rsid w:val="00CD654E"/>
    <w:rsid w:val="00CD65DB"/>
    <w:rsid w:val="00CD6B0F"/>
    <w:rsid w:val="00CD71AC"/>
    <w:rsid w:val="00CD7954"/>
    <w:rsid w:val="00CE0608"/>
    <w:rsid w:val="00CE0684"/>
    <w:rsid w:val="00CE0867"/>
    <w:rsid w:val="00CE0B9B"/>
    <w:rsid w:val="00CE11FA"/>
    <w:rsid w:val="00CE159B"/>
    <w:rsid w:val="00CE2416"/>
    <w:rsid w:val="00CE2C66"/>
    <w:rsid w:val="00CE373D"/>
    <w:rsid w:val="00CE4137"/>
    <w:rsid w:val="00CE519B"/>
    <w:rsid w:val="00CE5E97"/>
    <w:rsid w:val="00CE71C0"/>
    <w:rsid w:val="00CE76F3"/>
    <w:rsid w:val="00CE7808"/>
    <w:rsid w:val="00CF007C"/>
    <w:rsid w:val="00CF0458"/>
    <w:rsid w:val="00CF0792"/>
    <w:rsid w:val="00CF0ADC"/>
    <w:rsid w:val="00CF28DF"/>
    <w:rsid w:val="00CF2A22"/>
    <w:rsid w:val="00CF2A28"/>
    <w:rsid w:val="00CF2E6F"/>
    <w:rsid w:val="00CF32A5"/>
    <w:rsid w:val="00CF341C"/>
    <w:rsid w:val="00CF4BD0"/>
    <w:rsid w:val="00CF5CFF"/>
    <w:rsid w:val="00CF6783"/>
    <w:rsid w:val="00CF6DF7"/>
    <w:rsid w:val="00CF731A"/>
    <w:rsid w:val="00D00091"/>
    <w:rsid w:val="00D00F16"/>
    <w:rsid w:val="00D00FD9"/>
    <w:rsid w:val="00D011BA"/>
    <w:rsid w:val="00D0141A"/>
    <w:rsid w:val="00D01ED0"/>
    <w:rsid w:val="00D04BED"/>
    <w:rsid w:val="00D04D60"/>
    <w:rsid w:val="00D05162"/>
    <w:rsid w:val="00D0521A"/>
    <w:rsid w:val="00D05757"/>
    <w:rsid w:val="00D0596D"/>
    <w:rsid w:val="00D059A6"/>
    <w:rsid w:val="00D05B75"/>
    <w:rsid w:val="00D05C44"/>
    <w:rsid w:val="00D068CD"/>
    <w:rsid w:val="00D072DB"/>
    <w:rsid w:val="00D074AB"/>
    <w:rsid w:val="00D07944"/>
    <w:rsid w:val="00D07DE3"/>
    <w:rsid w:val="00D10692"/>
    <w:rsid w:val="00D113BE"/>
    <w:rsid w:val="00D1147C"/>
    <w:rsid w:val="00D1200A"/>
    <w:rsid w:val="00D12110"/>
    <w:rsid w:val="00D123C3"/>
    <w:rsid w:val="00D12C0B"/>
    <w:rsid w:val="00D12CF3"/>
    <w:rsid w:val="00D12ED4"/>
    <w:rsid w:val="00D13A00"/>
    <w:rsid w:val="00D14842"/>
    <w:rsid w:val="00D159C5"/>
    <w:rsid w:val="00D164C0"/>
    <w:rsid w:val="00D176F8"/>
    <w:rsid w:val="00D210F4"/>
    <w:rsid w:val="00D21680"/>
    <w:rsid w:val="00D21884"/>
    <w:rsid w:val="00D21984"/>
    <w:rsid w:val="00D219C4"/>
    <w:rsid w:val="00D21F93"/>
    <w:rsid w:val="00D22E3A"/>
    <w:rsid w:val="00D236AC"/>
    <w:rsid w:val="00D23CEC"/>
    <w:rsid w:val="00D23D61"/>
    <w:rsid w:val="00D23DAD"/>
    <w:rsid w:val="00D25340"/>
    <w:rsid w:val="00D26305"/>
    <w:rsid w:val="00D26F67"/>
    <w:rsid w:val="00D2715A"/>
    <w:rsid w:val="00D27666"/>
    <w:rsid w:val="00D27D0F"/>
    <w:rsid w:val="00D27E08"/>
    <w:rsid w:val="00D30030"/>
    <w:rsid w:val="00D3089E"/>
    <w:rsid w:val="00D309F3"/>
    <w:rsid w:val="00D32564"/>
    <w:rsid w:val="00D32658"/>
    <w:rsid w:val="00D3424F"/>
    <w:rsid w:val="00D342B7"/>
    <w:rsid w:val="00D346C1"/>
    <w:rsid w:val="00D34EC5"/>
    <w:rsid w:val="00D35449"/>
    <w:rsid w:val="00D35EF9"/>
    <w:rsid w:val="00D361AF"/>
    <w:rsid w:val="00D3731B"/>
    <w:rsid w:val="00D375EC"/>
    <w:rsid w:val="00D377E2"/>
    <w:rsid w:val="00D37C12"/>
    <w:rsid w:val="00D40AA6"/>
    <w:rsid w:val="00D41726"/>
    <w:rsid w:val="00D4182D"/>
    <w:rsid w:val="00D42770"/>
    <w:rsid w:val="00D42F19"/>
    <w:rsid w:val="00D43545"/>
    <w:rsid w:val="00D43783"/>
    <w:rsid w:val="00D44371"/>
    <w:rsid w:val="00D468AF"/>
    <w:rsid w:val="00D46A57"/>
    <w:rsid w:val="00D47924"/>
    <w:rsid w:val="00D47931"/>
    <w:rsid w:val="00D47B06"/>
    <w:rsid w:val="00D5041F"/>
    <w:rsid w:val="00D514C4"/>
    <w:rsid w:val="00D51A94"/>
    <w:rsid w:val="00D51B99"/>
    <w:rsid w:val="00D51C4E"/>
    <w:rsid w:val="00D520E0"/>
    <w:rsid w:val="00D52772"/>
    <w:rsid w:val="00D53815"/>
    <w:rsid w:val="00D53839"/>
    <w:rsid w:val="00D53BFE"/>
    <w:rsid w:val="00D5447E"/>
    <w:rsid w:val="00D544BB"/>
    <w:rsid w:val="00D54B6F"/>
    <w:rsid w:val="00D55210"/>
    <w:rsid w:val="00D56EA4"/>
    <w:rsid w:val="00D6028A"/>
    <w:rsid w:val="00D602EB"/>
    <w:rsid w:val="00D606C0"/>
    <w:rsid w:val="00D60B48"/>
    <w:rsid w:val="00D60BED"/>
    <w:rsid w:val="00D60EFC"/>
    <w:rsid w:val="00D60F6F"/>
    <w:rsid w:val="00D61B38"/>
    <w:rsid w:val="00D61F20"/>
    <w:rsid w:val="00D61FD9"/>
    <w:rsid w:val="00D62261"/>
    <w:rsid w:val="00D633C9"/>
    <w:rsid w:val="00D63481"/>
    <w:rsid w:val="00D63869"/>
    <w:rsid w:val="00D63C37"/>
    <w:rsid w:val="00D64442"/>
    <w:rsid w:val="00D646F9"/>
    <w:rsid w:val="00D64BA7"/>
    <w:rsid w:val="00D6538B"/>
    <w:rsid w:val="00D656E6"/>
    <w:rsid w:val="00D6574E"/>
    <w:rsid w:val="00D6694D"/>
    <w:rsid w:val="00D66981"/>
    <w:rsid w:val="00D66F23"/>
    <w:rsid w:val="00D67428"/>
    <w:rsid w:val="00D678F2"/>
    <w:rsid w:val="00D70847"/>
    <w:rsid w:val="00D72507"/>
    <w:rsid w:val="00D72F17"/>
    <w:rsid w:val="00D731B2"/>
    <w:rsid w:val="00D7324C"/>
    <w:rsid w:val="00D73C42"/>
    <w:rsid w:val="00D7433F"/>
    <w:rsid w:val="00D7463D"/>
    <w:rsid w:val="00D753C3"/>
    <w:rsid w:val="00D75754"/>
    <w:rsid w:val="00D75CF0"/>
    <w:rsid w:val="00D77F9D"/>
    <w:rsid w:val="00D80664"/>
    <w:rsid w:val="00D80AE6"/>
    <w:rsid w:val="00D80E3E"/>
    <w:rsid w:val="00D81BFD"/>
    <w:rsid w:val="00D81CA6"/>
    <w:rsid w:val="00D82A76"/>
    <w:rsid w:val="00D82A8F"/>
    <w:rsid w:val="00D82DC4"/>
    <w:rsid w:val="00D82E42"/>
    <w:rsid w:val="00D8322F"/>
    <w:rsid w:val="00D84027"/>
    <w:rsid w:val="00D84806"/>
    <w:rsid w:val="00D84A47"/>
    <w:rsid w:val="00D85486"/>
    <w:rsid w:val="00D8611D"/>
    <w:rsid w:val="00D865D1"/>
    <w:rsid w:val="00D86B56"/>
    <w:rsid w:val="00D872F5"/>
    <w:rsid w:val="00D875AA"/>
    <w:rsid w:val="00D9011D"/>
    <w:rsid w:val="00D90F53"/>
    <w:rsid w:val="00D91D94"/>
    <w:rsid w:val="00D91F98"/>
    <w:rsid w:val="00D92886"/>
    <w:rsid w:val="00D92D1C"/>
    <w:rsid w:val="00D942A8"/>
    <w:rsid w:val="00D9433C"/>
    <w:rsid w:val="00D9445A"/>
    <w:rsid w:val="00D95180"/>
    <w:rsid w:val="00D951FC"/>
    <w:rsid w:val="00D95DAB"/>
    <w:rsid w:val="00D96279"/>
    <w:rsid w:val="00D9689E"/>
    <w:rsid w:val="00D97406"/>
    <w:rsid w:val="00D9747E"/>
    <w:rsid w:val="00D97AE5"/>
    <w:rsid w:val="00D97BE3"/>
    <w:rsid w:val="00DA0A39"/>
    <w:rsid w:val="00DA0B07"/>
    <w:rsid w:val="00DA1434"/>
    <w:rsid w:val="00DA1AA3"/>
    <w:rsid w:val="00DA1DF8"/>
    <w:rsid w:val="00DA2EAD"/>
    <w:rsid w:val="00DA3059"/>
    <w:rsid w:val="00DA3A9A"/>
    <w:rsid w:val="00DA3AB4"/>
    <w:rsid w:val="00DA3E75"/>
    <w:rsid w:val="00DA419E"/>
    <w:rsid w:val="00DA45FC"/>
    <w:rsid w:val="00DA4691"/>
    <w:rsid w:val="00DA4A16"/>
    <w:rsid w:val="00DA4D0B"/>
    <w:rsid w:val="00DA4F31"/>
    <w:rsid w:val="00DA6599"/>
    <w:rsid w:val="00DA71D9"/>
    <w:rsid w:val="00DA7518"/>
    <w:rsid w:val="00DA7D5B"/>
    <w:rsid w:val="00DB0099"/>
    <w:rsid w:val="00DB180E"/>
    <w:rsid w:val="00DB1C05"/>
    <w:rsid w:val="00DB1EC6"/>
    <w:rsid w:val="00DB2555"/>
    <w:rsid w:val="00DB38EF"/>
    <w:rsid w:val="00DB491B"/>
    <w:rsid w:val="00DB53FA"/>
    <w:rsid w:val="00DB5407"/>
    <w:rsid w:val="00DB55BC"/>
    <w:rsid w:val="00DB5B0F"/>
    <w:rsid w:val="00DB6007"/>
    <w:rsid w:val="00DB6340"/>
    <w:rsid w:val="00DB6973"/>
    <w:rsid w:val="00DB69DD"/>
    <w:rsid w:val="00DB70A4"/>
    <w:rsid w:val="00DB70D2"/>
    <w:rsid w:val="00DB78EC"/>
    <w:rsid w:val="00DC070B"/>
    <w:rsid w:val="00DC08C8"/>
    <w:rsid w:val="00DC0E11"/>
    <w:rsid w:val="00DC18FC"/>
    <w:rsid w:val="00DC2362"/>
    <w:rsid w:val="00DC268B"/>
    <w:rsid w:val="00DC3012"/>
    <w:rsid w:val="00DC3165"/>
    <w:rsid w:val="00DC3405"/>
    <w:rsid w:val="00DC381B"/>
    <w:rsid w:val="00DC3EC4"/>
    <w:rsid w:val="00DC43E9"/>
    <w:rsid w:val="00DC47D5"/>
    <w:rsid w:val="00DC51B5"/>
    <w:rsid w:val="00DC65F3"/>
    <w:rsid w:val="00DC6C78"/>
    <w:rsid w:val="00DC7275"/>
    <w:rsid w:val="00DD0A4E"/>
    <w:rsid w:val="00DD0CB6"/>
    <w:rsid w:val="00DD1C32"/>
    <w:rsid w:val="00DD1F3B"/>
    <w:rsid w:val="00DD22AC"/>
    <w:rsid w:val="00DD239D"/>
    <w:rsid w:val="00DD23C5"/>
    <w:rsid w:val="00DD273E"/>
    <w:rsid w:val="00DD3759"/>
    <w:rsid w:val="00DD46FF"/>
    <w:rsid w:val="00DD4DCF"/>
    <w:rsid w:val="00DD5974"/>
    <w:rsid w:val="00DD5F73"/>
    <w:rsid w:val="00DD66E5"/>
    <w:rsid w:val="00DD72F4"/>
    <w:rsid w:val="00DD7733"/>
    <w:rsid w:val="00DE047D"/>
    <w:rsid w:val="00DE071A"/>
    <w:rsid w:val="00DE13F3"/>
    <w:rsid w:val="00DE17B6"/>
    <w:rsid w:val="00DE1921"/>
    <w:rsid w:val="00DE1B10"/>
    <w:rsid w:val="00DE1DCE"/>
    <w:rsid w:val="00DE26A6"/>
    <w:rsid w:val="00DE3058"/>
    <w:rsid w:val="00DE35F9"/>
    <w:rsid w:val="00DE3925"/>
    <w:rsid w:val="00DE3E24"/>
    <w:rsid w:val="00DE475A"/>
    <w:rsid w:val="00DE486A"/>
    <w:rsid w:val="00DE4EEC"/>
    <w:rsid w:val="00DE5327"/>
    <w:rsid w:val="00DE66F5"/>
    <w:rsid w:val="00DE6EBD"/>
    <w:rsid w:val="00DE6EE4"/>
    <w:rsid w:val="00DE7E59"/>
    <w:rsid w:val="00DF0206"/>
    <w:rsid w:val="00DF046E"/>
    <w:rsid w:val="00DF0AF1"/>
    <w:rsid w:val="00DF18C0"/>
    <w:rsid w:val="00DF25F8"/>
    <w:rsid w:val="00DF2CE0"/>
    <w:rsid w:val="00DF44FE"/>
    <w:rsid w:val="00DF4577"/>
    <w:rsid w:val="00DF46CB"/>
    <w:rsid w:val="00DF47EE"/>
    <w:rsid w:val="00DF4985"/>
    <w:rsid w:val="00DF4BF2"/>
    <w:rsid w:val="00DF50C2"/>
    <w:rsid w:val="00DF593B"/>
    <w:rsid w:val="00DF5B02"/>
    <w:rsid w:val="00DF6373"/>
    <w:rsid w:val="00DF706B"/>
    <w:rsid w:val="00DF73F1"/>
    <w:rsid w:val="00DF75B5"/>
    <w:rsid w:val="00DF7E68"/>
    <w:rsid w:val="00E004BA"/>
    <w:rsid w:val="00E0163D"/>
    <w:rsid w:val="00E01B41"/>
    <w:rsid w:val="00E025A6"/>
    <w:rsid w:val="00E02673"/>
    <w:rsid w:val="00E02A2C"/>
    <w:rsid w:val="00E03325"/>
    <w:rsid w:val="00E034F4"/>
    <w:rsid w:val="00E03589"/>
    <w:rsid w:val="00E03C40"/>
    <w:rsid w:val="00E03CA1"/>
    <w:rsid w:val="00E043C3"/>
    <w:rsid w:val="00E0469F"/>
    <w:rsid w:val="00E05F06"/>
    <w:rsid w:val="00E05F8A"/>
    <w:rsid w:val="00E06D52"/>
    <w:rsid w:val="00E07613"/>
    <w:rsid w:val="00E07679"/>
    <w:rsid w:val="00E103D6"/>
    <w:rsid w:val="00E10867"/>
    <w:rsid w:val="00E10A47"/>
    <w:rsid w:val="00E10E3A"/>
    <w:rsid w:val="00E1138D"/>
    <w:rsid w:val="00E1277F"/>
    <w:rsid w:val="00E12875"/>
    <w:rsid w:val="00E12E90"/>
    <w:rsid w:val="00E12EC9"/>
    <w:rsid w:val="00E12FAE"/>
    <w:rsid w:val="00E132AB"/>
    <w:rsid w:val="00E13D97"/>
    <w:rsid w:val="00E14BEC"/>
    <w:rsid w:val="00E16153"/>
    <w:rsid w:val="00E20234"/>
    <w:rsid w:val="00E202EF"/>
    <w:rsid w:val="00E207EC"/>
    <w:rsid w:val="00E20D1A"/>
    <w:rsid w:val="00E21C97"/>
    <w:rsid w:val="00E22DB1"/>
    <w:rsid w:val="00E2413F"/>
    <w:rsid w:val="00E2462F"/>
    <w:rsid w:val="00E24DC7"/>
    <w:rsid w:val="00E25E2A"/>
    <w:rsid w:val="00E260BE"/>
    <w:rsid w:val="00E26E1A"/>
    <w:rsid w:val="00E26E8E"/>
    <w:rsid w:val="00E27970"/>
    <w:rsid w:val="00E27AEB"/>
    <w:rsid w:val="00E27B23"/>
    <w:rsid w:val="00E309BA"/>
    <w:rsid w:val="00E30D88"/>
    <w:rsid w:val="00E30F12"/>
    <w:rsid w:val="00E312D8"/>
    <w:rsid w:val="00E31665"/>
    <w:rsid w:val="00E31B50"/>
    <w:rsid w:val="00E320CA"/>
    <w:rsid w:val="00E320D1"/>
    <w:rsid w:val="00E325AB"/>
    <w:rsid w:val="00E326A4"/>
    <w:rsid w:val="00E3358E"/>
    <w:rsid w:val="00E3447B"/>
    <w:rsid w:val="00E3456C"/>
    <w:rsid w:val="00E34E92"/>
    <w:rsid w:val="00E350C6"/>
    <w:rsid w:val="00E3533B"/>
    <w:rsid w:val="00E3553C"/>
    <w:rsid w:val="00E35F5A"/>
    <w:rsid w:val="00E3633B"/>
    <w:rsid w:val="00E36590"/>
    <w:rsid w:val="00E367A4"/>
    <w:rsid w:val="00E36C51"/>
    <w:rsid w:val="00E36FE2"/>
    <w:rsid w:val="00E37E7D"/>
    <w:rsid w:val="00E40732"/>
    <w:rsid w:val="00E41763"/>
    <w:rsid w:val="00E42350"/>
    <w:rsid w:val="00E43024"/>
    <w:rsid w:val="00E431F5"/>
    <w:rsid w:val="00E443AE"/>
    <w:rsid w:val="00E44671"/>
    <w:rsid w:val="00E44D95"/>
    <w:rsid w:val="00E45166"/>
    <w:rsid w:val="00E46565"/>
    <w:rsid w:val="00E46F73"/>
    <w:rsid w:val="00E472BB"/>
    <w:rsid w:val="00E50124"/>
    <w:rsid w:val="00E502A0"/>
    <w:rsid w:val="00E50CCE"/>
    <w:rsid w:val="00E514EB"/>
    <w:rsid w:val="00E51F36"/>
    <w:rsid w:val="00E5209A"/>
    <w:rsid w:val="00E5238A"/>
    <w:rsid w:val="00E53665"/>
    <w:rsid w:val="00E53CD1"/>
    <w:rsid w:val="00E54537"/>
    <w:rsid w:val="00E54711"/>
    <w:rsid w:val="00E55112"/>
    <w:rsid w:val="00E55663"/>
    <w:rsid w:val="00E556E2"/>
    <w:rsid w:val="00E55D26"/>
    <w:rsid w:val="00E579E1"/>
    <w:rsid w:val="00E60BCE"/>
    <w:rsid w:val="00E60CE0"/>
    <w:rsid w:val="00E61FDD"/>
    <w:rsid w:val="00E621CD"/>
    <w:rsid w:val="00E6358E"/>
    <w:rsid w:val="00E63AC3"/>
    <w:rsid w:val="00E63B7D"/>
    <w:rsid w:val="00E64E15"/>
    <w:rsid w:val="00E65379"/>
    <w:rsid w:val="00E65D32"/>
    <w:rsid w:val="00E66D7D"/>
    <w:rsid w:val="00E67B65"/>
    <w:rsid w:val="00E701D7"/>
    <w:rsid w:val="00E70B8D"/>
    <w:rsid w:val="00E71470"/>
    <w:rsid w:val="00E72D23"/>
    <w:rsid w:val="00E75706"/>
    <w:rsid w:val="00E76B9A"/>
    <w:rsid w:val="00E76EF0"/>
    <w:rsid w:val="00E77F82"/>
    <w:rsid w:val="00E8000A"/>
    <w:rsid w:val="00E809E9"/>
    <w:rsid w:val="00E8109B"/>
    <w:rsid w:val="00E82712"/>
    <w:rsid w:val="00E830AB"/>
    <w:rsid w:val="00E8363A"/>
    <w:rsid w:val="00E8389E"/>
    <w:rsid w:val="00E84A02"/>
    <w:rsid w:val="00E84BC7"/>
    <w:rsid w:val="00E85582"/>
    <w:rsid w:val="00E858DB"/>
    <w:rsid w:val="00E860AE"/>
    <w:rsid w:val="00E86260"/>
    <w:rsid w:val="00E86BAE"/>
    <w:rsid w:val="00E879CC"/>
    <w:rsid w:val="00E9128A"/>
    <w:rsid w:val="00E918D2"/>
    <w:rsid w:val="00E92444"/>
    <w:rsid w:val="00E93F9F"/>
    <w:rsid w:val="00E944C2"/>
    <w:rsid w:val="00E957B1"/>
    <w:rsid w:val="00E95AB9"/>
    <w:rsid w:val="00E95C41"/>
    <w:rsid w:val="00E966D8"/>
    <w:rsid w:val="00E96E96"/>
    <w:rsid w:val="00E970B6"/>
    <w:rsid w:val="00E9786E"/>
    <w:rsid w:val="00E97BAC"/>
    <w:rsid w:val="00EA0819"/>
    <w:rsid w:val="00EA0838"/>
    <w:rsid w:val="00EA1502"/>
    <w:rsid w:val="00EA1592"/>
    <w:rsid w:val="00EA1756"/>
    <w:rsid w:val="00EA18E8"/>
    <w:rsid w:val="00EA1A4D"/>
    <w:rsid w:val="00EA21AE"/>
    <w:rsid w:val="00EA2AC9"/>
    <w:rsid w:val="00EA2B22"/>
    <w:rsid w:val="00EA3228"/>
    <w:rsid w:val="00EA3381"/>
    <w:rsid w:val="00EA38D4"/>
    <w:rsid w:val="00EA3EF0"/>
    <w:rsid w:val="00EA4465"/>
    <w:rsid w:val="00EA4C61"/>
    <w:rsid w:val="00EA51D8"/>
    <w:rsid w:val="00EA6293"/>
    <w:rsid w:val="00EA6377"/>
    <w:rsid w:val="00EB1A48"/>
    <w:rsid w:val="00EB29E6"/>
    <w:rsid w:val="00EB2DFC"/>
    <w:rsid w:val="00EB3D94"/>
    <w:rsid w:val="00EB4448"/>
    <w:rsid w:val="00EB4832"/>
    <w:rsid w:val="00EB51FD"/>
    <w:rsid w:val="00EB579A"/>
    <w:rsid w:val="00EB5DDF"/>
    <w:rsid w:val="00EB5F97"/>
    <w:rsid w:val="00EB6305"/>
    <w:rsid w:val="00EB6A33"/>
    <w:rsid w:val="00EB6D3F"/>
    <w:rsid w:val="00EB70F1"/>
    <w:rsid w:val="00EB77DB"/>
    <w:rsid w:val="00EC06E1"/>
    <w:rsid w:val="00EC2CEC"/>
    <w:rsid w:val="00EC331F"/>
    <w:rsid w:val="00EC3368"/>
    <w:rsid w:val="00EC43A5"/>
    <w:rsid w:val="00EC4831"/>
    <w:rsid w:val="00EC4F61"/>
    <w:rsid w:val="00EC5568"/>
    <w:rsid w:val="00EC6079"/>
    <w:rsid w:val="00EC6E84"/>
    <w:rsid w:val="00EC6F10"/>
    <w:rsid w:val="00EC6FEE"/>
    <w:rsid w:val="00EC7311"/>
    <w:rsid w:val="00ED092F"/>
    <w:rsid w:val="00ED09F6"/>
    <w:rsid w:val="00ED13C8"/>
    <w:rsid w:val="00ED25DA"/>
    <w:rsid w:val="00ED284A"/>
    <w:rsid w:val="00ED2BAF"/>
    <w:rsid w:val="00ED362C"/>
    <w:rsid w:val="00ED3C5F"/>
    <w:rsid w:val="00ED4982"/>
    <w:rsid w:val="00ED4C08"/>
    <w:rsid w:val="00ED531E"/>
    <w:rsid w:val="00ED5FCA"/>
    <w:rsid w:val="00ED60CF"/>
    <w:rsid w:val="00ED757B"/>
    <w:rsid w:val="00EE0A78"/>
    <w:rsid w:val="00EE1061"/>
    <w:rsid w:val="00EE1B06"/>
    <w:rsid w:val="00EE29FA"/>
    <w:rsid w:val="00EE2B14"/>
    <w:rsid w:val="00EE2C95"/>
    <w:rsid w:val="00EE4456"/>
    <w:rsid w:val="00EE48E6"/>
    <w:rsid w:val="00EE52D8"/>
    <w:rsid w:val="00EE67F5"/>
    <w:rsid w:val="00EE6DE2"/>
    <w:rsid w:val="00EE76DE"/>
    <w:rsid w:val="00EE7CEC"/>
    <w:rsid w:val="00EF0AC1"/>
    <w:rsid w:val="00EF0F79"/>
    <w:rsid w:val="00EF1009"/>
    <w:rsid w:val="00EF17EC"/>
    <w:rsid w:val="00EF18C7"/>
    <w:rsid w:val="00EF191B"/>
    <w:rsid w:val="00EF25E5"/>
    <w:rsid w:val="00EF274C"/>
    <w:rsid w:val="00EF2FB8"/>
    <w:rsid w:val="00EF3352"/>
    <w:rsid w:val="00EF3C2F"/>
    <w:rsid w:val="00EF4348"/>
    <w:rsid w:val="00EF4B91"/>
    <w:rsid w:val="00EF5E2C"/>
    <w:rsid w:val="00EF651B"/>
    <w:rsid w:val="00EF6AAD"/>
    <w:rsid w:val="00EF7EDE"/>
    <w:rsid w:val="00F00A5E"/>
    <w:rsid w:val="00F00FBC"/>
    <w:rsid w:val="00F01B4C"/>
    <w:rsid w:val="00F01CD2"/>
    <w:rsid w:val="00F03875"/>
    <w:rsid w:val="00F03C5C"/>
    <w:rsid w:val="00F04094"/>
    <w:rsid w:val="00F04872"/>
    <w:rsid w:val="00F04C94"/>
    <w:rsid w:val="00F04F3F"/>
    <w:rsid w:val="00F0523F"/>
    <w:rsid w:val="00F054B9"/>
    <w:rsid w:val="00F05C88"/>
    <w:rsid w:val="00F06742"/>
    <w:rsid w:val="00F07352"/>
    <w:rsid w:val="00F1050B"/>
    <w:rsid w:val="00F10D67"/>
    <w:rsid w:val="00F11188"/>
    <w:rsid w:val="00F11519"/>
    <w:rsid w:val="00F11785"/>
    <w:rsid w:val="00F11C43"/>
    <w:rsid w:val="00F11E7F"/>
    <w:rsid w:val="00F12253"/>
    <w:rsid w:val="00F129DD"/>
    <w:rsid w:val="00F1327D"/>
    <w:rsid w:val="00F14010"/>
    <w:rsid w:val="00F14831"/>
    <w:rsid w:val="00F1526A"/>
    <w:rsid w:val="00F1551F"/>
    <w:rsid w:val="00F1664F"/>
    <w:rsid w:val="00F16AF8"/>
    <w:rsid w:val="00F16C7E"/>
    <w:rsid w:val="00F16CE6"/>
    <w:rsid w:val="00F174F5"/>
    <w:rsid w:val="00F1776C"/>
    <w:rsid w:val="00F17BBC"/>
    <w:rsid w:val="00F17C28"/>
    <w:rsid w:val="00F206AA"/>
    <w:rsid w:val="00F20A1E"/>
    <w:rsid w:val="00F21951"/>
    <w:rsid w:val="00F230D7"/>
    <w:rsid w:val="00F23407"/>
    <w:rsid w:val="00F23652"/>
    <w:rsid w:val="00F237A2"/>
    <w:rsid w:val="00F24372"/>
    <w:rsid w:val="00F24620"/>
    <w:rsid w:val="00F25615"/>
    <w:rsid w:val="00F25B93"/>
    <w:rsid w:val="00F25C7F"/>
    <w:rsid w:val="00F26A4F"/>
    <w:rsid w:val="00F305E8"/>
    <w:rsid w:val="00F309E7"/>
    <w:rsid w:val="00F31455"/>
    <w:rsid w:val="00F3201A"/>
    <w:rsid w:val="00F325BF"/>
    <w:rsid w:val="00F32D04"/>
    <w:rsid w:val="00F33203"/>
    <w:rsid w:val="00F3334D"/>
    <w:rsid w:val="00F3378D"/>
    <w:rsid w:val="00F33A68"/>
    <w:rsid w:val="00F3432A"/>
    <w:rsid w:val="00F3443E"/>
    <w:rsid w:val="00F3515E"/>
    <w:rsid w:val="00F35441"/>
    <w:rsid w:val="00F358E3"/>
    <w:rsid w:val="00F35B4A"/>
    <w:rsid w:val="00F35FC0"/>
    <w:rsid w:val="00F36B2D"/>
    <w:rsid w:val="00F36BE3"/>
    <w:rsid w:val="00F36C0E"/>
    <w:rsid w:val="00F370FB"/>
    <w:rsid w:val="00F37336"/>
    <w:rsid w:val="00F37ED8"/>
    <w:rsid w:val="00F4030F"/>
    <w:rsid w:val="00F40F3D"/>
    <w:rsid w:val="00F41546"/>
    <w:rsid w:val="00F41C81"/>
    <w:rsid w:val="00F41C83"/>
    <w:rsid w:val="00F41CA3"/>
    <w:rsid w:val="00F41D9F"/>
    <w:rsid w:val="00F41DF6"/>
    <w:rsid w:val="00F42696"/>
    <w:rsid w:val="00F4302C"/>
    <w:rsid w:val="00F43256"/>
    <w:rsid w:val="00F43C55"/>
    <w:rsid w:val="00F44003"/>
    <w:rsid w:val="00F441BE"/>
    <w:rsid w:val="00F44254"/>
    <w:rsid w:val="00F44259"/>
    <w:rsid w:val="00F44557"/>
    <w:rsid w:val="00F448BF"/>
    <w:rsid w:val="00F449AE"/>
    <w:rsid w:val="00F449F5"/>
    <w:rsid w:val="00F44B2F"/>
    <w:rsid w:val="00F44FFD"/>
    <w:rsid w:val="00F45995"/>
    <w:rsid w:val="00F45CE5"/>
    <w:rsid w:val="00F47A4D"/>
    <w:rsid w:val="00F47F75"/>
    <w:rsid w:val="00F50CEF"/>
    <w:rsid w:val="00F50E18"/>
    <w:rsid w:val="00F50FF8"/>
    <w:rsid w:val="00F51AFD"/>
    <w:rsid w:val="00F52597"/>
    <w:rsid w:val="00F528D1"/>
    <w:rsid w:val="00F530A7"/>
    <w:rsid w:val="00F53A54"/>
    <w:rsid w:val="00F54C01"/>
    <w:rsid w:val="00F56705"/>
    <w:rsid w:val="00F56DD9"/>
    <w:rsid w:val="00F56E29"/>
    <w:rsid w:val="00F574A7"/>
    <w:rsid w:val="00F578F2"/>
    <w:rsid w:val="00F57D45"/>
    <w:rsid w:val="00F605A8"/>
    <w:rsid w:val="00F61DB8"/>
    <w:rsid w:val="00F61EAC"/>
    <w:rsid w:val="00F61F2C"/>
    <w:rsid w:val="00F621B3"/>
    <w:rsid w:val="00F6253C"/>
    <w:rsid w:val="00F62AA7"/>
    <w:rsid w:val="00F639FD"/>
    <w:rsid w:val="00F63C8C"/>
    <w:rsid w:val="00F641A6"/>
    <w:rsid w:val="00F645D4"/>
    <w:rsid w:val="00F64FAD"/>
    <w:rsid w:val="00F67445"/>
    <w:rsid w:val="00F67716"/>
    <w:rsid w:val="00F677F0"/>
    <w:rsid w:val="00F7015F"/>
    <w:rsid w:val="00F70442"/>
    <w:rsid w:val="00F72183"/>
    <w:rsid w:val="00F729BE"/>
    <w:rsid w:val="00F72B7B"/>
    <w:rsid w:val="00F72D16"/>
    <w:rsid w:val="00F72DFF"/>
    <w:rsid w:val="00F73045"/>
    <w:rsid w:val="00F74229"/>
    <w:rsid w:val="00F75058"/>
    <w:rsid w:val="00F75220"/>
    <w:rsid w:val="00F7547A"/>
    <w:rsid w:val="00F75CBB"/>
    <w:rsid w:val="00F76462"/>
    <w:rsid w:val="00F765C1"/>
    <w:rsid w:val="00F766E6"/>
    <w:rsid w:val="00F76728"/>
    <w:rsid w:val="00F76BAC"/>
    <w:rsid w:val="00F76D4A"/>
    <w:rsid w:val="00F76E4F"/>
    <w:rsid w:val="00F7792E"/>
    <w:rsid w:val="00F806B1"/>
    <w:rsid w:val="00F8109E"/>
    <w:rsid w:val="00F81D58"/>
    <w:rsid w:val="00F826C0"/>
    <w:rsid w:val="00F82824"/>
    <w:rsid w:val="00F831C3"/>
    <w:rsid w:val="00F8351A"/>
    <w:rsid w:val="00F83B61"/>
    <w:rsid w:val="00F840B1"/>
    <w:rsid w:val="00F84A38"/>
    <w:rsid w:val="00F84C7C"/>
    <w:rsid w:val="00F856A8"/>
    <w:rsid w:val="00F85946"/>
    <w:rsid w:val="00F8631A"/>
    <w:rsid w:val="00F866EF"/>
    <w:rsid w:val="00F8737C"/>
    <w:rsid w:val="00F87569"/>
    <w:rsid w:val="00F903E5"/>
    <w:rsid w:val="00F9058D"/>
    <w:rsid w:val="00F9117F"/>
    <w:rsid w:val="00F915A1"/>
    <w:rsid w:val="00F91BE6"/>
    <w:rsid w:val="00F91D6D"/>
    <w:rsid w:val="00F92B3A"/>
    <w:rsid w:val="00F93920"/>
    <w:rsid w:val="00F952D5"/>
    <w:rsid w:val="00F953D1"/>
    <w:rsid w:val="00F95AC5"/>
    <w:rsid w:val="00F9625F"/>
    <w:rsid w:val="00F96D76"/>
    <w:rsid w:val="00F970B6"/>
    <w:rsid w:val="00F976DE"/>
    <w:rsid w:val="00FA0CC1"/>
    <w:rsid w:val="00FA1FFE"/>
    <w:rsid w:val="00FA2DBA"/>
    <w:rsid w:val="00FA4473"/>
    <w:rsid w:val="00FA5589"/>
    <w:rsid w:val="00FA60D7"/>
    <w:rsid w:val="00FA6B06"/>
    <w:rsid w:val="00FA75E9"/>
    <w:rsid w:val="00FB09F7"/>
    <w:rsid w:val="00FB10ED"/>
    <w:rsid w:val="00FB182B"/>
    <w:rsid w:val="00FB2A1E"/>
    <w:rsid w:val="00FB2C64"/>
    <w:rsid w:val="00FB2DA1"/>
    <w:rsid w:val="00FB33F9"/>
    <w:rsid w:val="00FB3972"/>
    <w:rsid w:val="00FB47E4"/>
    <w:rsid w:val="00FB4A26"/>
    <w:rsid w:val="00FB54DC"/>
    <w:rsid w:val="00FB5978"/>
    <w:rsid w:val="00FB6C9C"/>
    <w:rsid w:val="00FB6E35"/>
    <w:rsid w:val="00FB6F78"/>
    <w:rsid w:val="00FB7749"/>
    <w:rsid w:val="00FB7E04"/>
    <w:rsid w:val="00FC0706"/>
    <w:rsid w:val="00FC1902"/>
    <w:rsid w:val="00FC1ED2"/>
    <w:rsid w:val="00FC2315"/>
    <w:rsid w:val="00FC2D4C"/>
    <w:rsid w:val="00FC35B4"/>
    <w:rsid w:val="00FC39F9"/>
    <w:rsid w:val="00FC3D63"/>
    <w:rsid w:val="00FC4167"/>
    <w:rsid w:val="00FC482A"/>
    <w:rsid w:val="00FC5418"/>
    <w:rsid w:val="00FC5A17"/>
    <w:rsid w:val="00FC60B9"/>
    <w:rsid w:val="00FC6BDD"/>
    <w:rsid w:val="00FC76F0"/>
    <w:rsid w:val="00FD028A"/>
    <w:rsid w:val="00FD0A8C"/>
    <w:rsid w:val="00FD0C0D"/>
    <w:rsid w:val="00FD0CE0"/>
    <w:rsid w:val="00FD30F2"/>
    <w:rsid w:val="00FD4495"/>
    <w:rsid w:val="00FD6653"/>
    <w:rsid w:val="00FD7920"/>
    <w:rsid w:val="00FE0532"/>
    <w:rsid w:val="00FE10D1"/>
    <w:rsid w:val="00FE1210"/>
    <w:rsid w:val="00FE1424"/>
    <w:rsid w:val="00FE2203"/>
    <w:rsid w:val="00FE245F"/>
    <w:rsid w:val="00FE3099"/>
    <w:rsid w:val="00FE452D"/>
    <w:rsid w:val="00FE5371"/>
    <w:rsid w:val="00FE5583"/>
    <w:rsid w:val="00FE6064"/>
    <w:rsid w:val="00FE60EB"/>
    <w:rsid w:val="00FE6228"/>
    <w:rsid w:val="00FE6491"/>
    <w:rsid w:val="00FE6497"/>
    <w:rsid w:val="00FE68EB"/>
    <w:rsid w:val="00FE780C"/>
    <w:rsid w:val="00FE7959"/>
    <w:rsid w:val="00FF0AC1"/>
    <w:rsid w:val="00FF0F80"/>
    <w:rsid w:val="00FF1287"/>
    <w:rsid w:val="00FF13CC"/>
    <w:rsid w:val="00FF15D8"/>
    <w:rsid w:val="00FF2072"/>
    <w:rsid w:val="00FF2CFD"/>
    <w:rsid w:val="00FF2FDD"/>
    <w:rsid w:val="00FF3119"/>
    <w:rsid w:val="00FF31C3"/>
    <w:rsid w:val="00FF3886"/>
    <w:rsid w:val="00FF4393"/>
    <w:rsid w:val="00FF4DD4"/>
    <w:rsid w:val="00FF50FF"/>
    <w:rsid w:val="00FF5847"/>
    <w:rsid w:val="00FF6618"/>
    <w:rsid w:val="00FF6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5377C5AB"/>
  <w15:chartTrackingRefBased/>
  <w15:docId w15:val="{759C4BC3-1ED8-487B-BCDD-D07DA20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F0458"/>
    <w:pPr>
      <w:widowControl w:val="0"/>
      <w:jc w:val="both"/>
    </w:pPr>
  </w:style>
  <w:style w:type="paragraph" w:styleId="1">
    <w:name w:val="heading 1"/>
    <w:basedOn w:val="a1"/>
    <w:next w:val="a2"/>
    <w:link w:val="11"/>
    <w:autoRedefine/>
    <w:uiPriority w:val="9"/>
    <w:qFormat/>
    <w:rsid w:val="007A5286"/>
    <w:pPr>
      <w:keepNext/>
      <w:numPr>
        <w:numId w:val="39"/>
      </w:numPr>
      <w:outlineLvl w:val="0"/>
    </w:pPr>
    <w:rPr>
      <w:rFonts w:ascii="Times New Roman" w:eastAsiaTheme="minorHAnsi" w:hAnsi="Times New Roman" w:cs="Times New Roman"/>
      <w:b/>
      <w:sz w:val="28"/>
    </w:rPr>
  </w:style>
  <w:style w:type="paragraph" w:styleId="20">
    <w:name w:val="heading 2"/>
    <w:basedOn w:val="a1"/>
    <w:next w:val="a2"/>
    <w:link w:val="22"/>
    <w:uiPriority w:val="9"/>
    <w:unhideWhenUsed/>
    <w:qFormat/>
    <w:rsid w:val="008939D3"/>
    <w:pPr>
      <w:keepNext/>
      <w:numPr>
        <w:ilvl w:val="1"/>
        <w:numId w:val="39"/>
      </w:numPr>
      <w:outlineLvl w:val="1"/>
    </w:pPr>
    <w:rPr>
      <w:rFonts w:ascii="Times New Roman" w:hAnsi="Times New Roman" w:cstheme="majorBidi"/>
      <w:b/>
      <w:sz w:val="24"/>
    </w:rPr>
  </w:style>
  <w:style w:type="paragraph" w:styleId="3">
    <w:name w:val="heading 3"/>
    <w:basedOn w:val="a1"/>
    <w:next w:val="a2"/>
    <w:link w:val="30"/>
    <w:uiPriority w:val="9"/>
    <w:unhideWhenUsed/>
    <w:qFormat/>
    <w:rsid w:val="002A56BC"/>
    <w:pPr>
      <w:keepNext/>
      <w:numPr>
        <w:ilvl w:val="2"/>
        <w:numId w:val="39"/>
      </w:numPr>
      <w:outlineLvl w:val="2"/>
    </w:pPr>
    <w:rPr>
      <w:rFonts w:ascii="Times New Roman" w:eastAsia="游明朝" w:hAnsi="Times New Roman" w:cstheme="majorBidi"/>
      <w:b/>
      <w:sz w:val="24"/>
    </w:rPr>
  </w:style>
  <w:style w:type="paragraph" w:styleId="4">
    <w:name w:val="heading 4"/>
    <w:aliases w:val="タイトル"/>
    <w:basedOn w:val="a1"/>
    <w:next w:val="a1"/>
    <w:link w:val="40"/>
    <w:uiPriority w:val="9"/>
    <w:unhideWhenUsed/>
    <w:qFormat/>
    <w:rsid w:val="001B06A7"/>
    <w:pPr>
      <w:keepNext/>
      <w:jc w:val="center"/>
      <w:outlineLvl w:val="3"/>
    </w:pPr>
    <w:rPr>
      <w:rFonts w:ascii="Times New Roman" w:hAnsi="Times New Roman"/>
      <w:b/>
      <w:bCs/>
      <w:sz w:val="32"/>
    </w:rPr>
  </w:style>
  <w:style w:type="paragraph" w:styleId="5">
    <w:name w:val="heading 5"/>
    <w:aliases w:val="Appendix"/>
    <w:basedOn w:val="1"/>
    <w:next w:val="a2"/>
    <w:link w:val="50"/>
    <w:uiPriority w:val="9"/>
    <w:unhideWhenUsed/>
    <w:qFormat/>
    <w:rsid w:val="0065506D"/>
    <w:pPr>
      <w:numPr>
        <w:numId w:val="29"/>
      </w:numPr>
      <w:outlineLvl w:val="4"/>
    </w:pPr>
    <w:rPr>
      <w:rFonts w:eastAsia="游明朝"/>
      <w:sz w:val="24"/>
    </w:rPr>
  </w:style>
  <w:style w:type="paragraph" w:styleId="6">
    <w:name w:val="heading 6"/>
    <w:basedOn w:val="a1"/>
    <w:next w:val="a1"/>
    <w:link w:val="60"/>
    <w:uiPriority w:val="9"/>
    <w:semiHidden/>
    <w:unhideWhenUsed/>
    <w:qFormat/>
    <w:rsid w:val="00862A91"/>
    <w:pPr>
      <w:keepNext/>
      <w:ind w:leftChars="800" w:left="800"/>
      <w:outlineLvl w:val="5"/>
    </w:pPr>
    <w:rPr>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2">
    <w:name w:val="段落1"/>
    <w:basedOn w:val="a6"/>
    <w:next w:val="a6"/>
    <w:link w:val="13"/>
    <w:autoRedefine/>
    <w:rsid w:val="00350DC9"/>
    <w:rPr>
      <w:b/>
      <w:sz w:val="28"/>
    </w:rPr>
  </w:style>
  <w:style w:type="character" w:customStyle="1" w:styleId="13">
    <w:name w:val="段落1 (文字)"/>
    <w:basedOn w:val="a3"/>
    <w:link w:val="12"/>
    <w:rsid w:val="00350DC9"/>
    <w:rPr>
      <w:b/>
      <w:sz w:val="28"/>
    </w:rPr>
  </w:style>
  <w:style w:type="paragraph" w:styleId="a6">
    <w:name w:val="Body Text"/>
    <w:basedOn w:val="a1"/>
    <w:link w:val="a7"/>
    <w:uiPriority w:val="99"/>
    <w:unhideWhenUsed/>
    <w:rsid w:val="00350DC9"/>
  </w:style>
  <w:style w:type="character" w:customStyle="1" w:styleId="a7">
    <w:name w:val="本文 (文字)"/>
    <w:basedOn w:val="a3"/>
    <w:link w:val="a6"/>
    <w:uiPriority w:val="99"/>
    <w:rsid w:val="00B858C3"/>
  </w:style>
  <w:style w:type="paragraph" w:customStyle="1" w:styleId="23">
    <w:name w:val="段落2"/>
    <w:basedOn w:val="a6"/>
    <w:next w:val="a6"/>
    <w:link w:val="24"/>
    <w:autoRedefine/>
    <w:rsid w:val="00350DC9"/>
    <w:rPr>
      <w:sz w:val="24"/>
    </w:rPr>
  </w:style>
  <w:style w:type="character" w:customStyle="1" w:styleId="24">
    <w:name w:val="段落2 (文字)"/>
    <w:basedOn w:val="a7"/>
    <w:link w:val="23"/>
    <w:rsid w:val="0048323B"/>
    <w:rPr>
      <w:sz w:val="24"/>
    </w:rPr>
  </w:style>
  <w:style w:type="numbering" w:customStyle="1" w:styleId="10">
    <w:name w:val="スタイル1"/>
    <w:uiPriority w:val="99"/>
    <w:rsid w:val="00EC6E84"/>
    <w:pPr>
      <w:numPr>
        <w:numId w:val="1"/>
      </w:numPr>
    </w:pPr>
  </w:style>
  <w:style w:type="numbering" w:customStyle="1" w:styleId="2">
    <w:name w:val="スタイル2"/>
    <w:uiPriority w:val="99"/>
    <w:rsid w:val="008939D3"/>
    <w:pPr>
      <w:numPr>
        <w:numId w:val="2"/>
      </w:numPr>
    </w:pPr>
  </w:style>
  <w:style w:type="numbering" w:customStyle="1" w:styleId="a">
    <w:name w:val="スタイル３"/>
    <w:uiPriority w:val="99"/>
    <w:rsid w:val="008939D3"/>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ind w:left="425" w:hanging="425"/>
    </w:pPr>
  </w:style>
  <w:style w:type="paragraph" w:customStyle="1" w:styleId="41">
    <w:name w:val="スタイル4"/>
    <w:basedOn w:val="12"/>
    <w:next w:val="a6"/>
    <w:link w:val="42"/>
    <w:autoRedefine/>
    <w:rsid w:val="00350DC9"/>
    <w:rPr>
      <w:rFonts w:eastAsia="Times New Roman"/>
    </w:rPr>
  </w:style>
  <w:style w:type="character" w:customStyle="1" w:styleId="32">
    <w:name w:val="スタイル3 (文字)"/>
    <w:basedOn w:val="13"/>
    <w:link w:val="31"/>
    <w:rsid w:val="00350DC9"/>
    <w:rPr>
      <w:b/>
      <w:sz w:val="28"/>
      <w:szCs w:val="24"/>
    </w:rPr>
  </w:style>
  <w:style w:type="character" w:customStyle="1" w:styleId="22">
    <w:name w:val="見出し 2 (文字)"/>
    <w:basedOn w:val="a3"/>
    <w:link w:val="20"/>
    <w:uiPriority w:val="9"/>
    <w:rsid w:val="00611473"/>
    <w:rPr>
      <w:rFonts w:ascii="Times New Roman" w:hAnsi="Times New Roman" w:cstheme="majorBidi"/>
      <w:b/>
      <w:sz w:val="24"/>
      <w:szCs w:val="24"/>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3"/>
    <w:link w:val="1"/>
    <w:uiPriority w:val="9"/>
    <w:rsid w:val="007A5286"/>
    <w:rPr>
      <w:rFonts w:ascii="Times New Roman" w:eastAsiaTheme="minorHAnsi" w:hAnsi="Times New Roman" w:cs="Times New Roman"/>
      <w:b/>
      <w:sz w:val="28"/>
    </w:rPr>
  </w:style>
  <w:style w:type="paragraph" w:styleId="a8">
    <w:name w:val="List Paragraph"/>
    <w:basedOn w:val="a1"/>
    <w:uiPriority w:val="1"/>
    <w:rsid w:val="0081321E"/>
    <w:pPr>
      <w:ind w:leftChars="400" w:left="840"/>
    </w:pPr>
  </w:style>
  <w:style w:type="character" w:customStyle="1" w:styleId="30">
    <w:name w:val="見出し 3 (文字)"/>
    <w:basedOn w:val="a3"/>
    <w:link w:val="3"/>
    <w:uiPriority w:val="9"/>
    <w:rsid w:val="002A56BC"/>
    <w:rPr>
      <w:rFonts w:ascii="Times New Roman" w:eastAsia="游明朝" w:hAnsi="Times New Roman" w:cstheme="majorBidi"/>
      <w:b/>
      <w:sz w:val="24"/>
    </w:rPr>
  </w:style>
  <w:style w:type="character" w:customStyle="1" w:styleId="40">
    <w:name w:val="見出し 4 (文字)"/>
    <w:aliases w:val="タイトル (文字)"/>
    <w:basedOn w:val="a3"/>
    <w:link w:val="4"/>
    <w:uiPriority w:val="9"/>
    <w:rsid w:val="001B06A7"/>
    <w:rPr>
      <w:rFonts w:ascii="Times New Roman" w:hAnsi="Times New Roman"/>
      <w:b/>
      <w:bCs/>
      <w:sz w:val="32"/>
    </w:rPr>
  </w:style>
  <w:style w:type="paragraph" w:styleId="a9">
    <w:name w:val="Date"/>
    <w:basedOn w:val="a1"/>
    <w:next w:val="a1"/>
    <w:link w:val="aa"/>
    <w:uiPriority w:val="99"/>
    <w:semiHidden/>
    <w:unhideWhenUsed/>
    <w:rsid w:val="00E1138D"/>
  </w:style>
  <w:style w:type="character" w:customStyle="1" w:styleId="aa">
    <w:name w:val="日付 (文字)"/>
    <w:basedOn w:val="a3"/>
    <w:link w:val="a9"/>
    <w:uiPriority w:val="99"/>
    <w:semiHidden/>
    <w:rsid w:val="00E1138D"/>
  </w:style>
  <w:style w:type="character" w:styleId="ab">
    <w:name w:val="Placeholder Text"/>
    <w:basedOn w:val="a3"/>
    <w:uiPriority w:val="99"/>
    <w:semiHidden/>
    <w:rsid w:val="00177316"/>
    <w:rPr>
      <w:color w:val="808080"/>
    </w:rPr>
  </w:style>
  <w:style w:type="table" w:styleId="ac">
    <w:name w:val="Table Grid"/>
    <w:basedOn w:val="a4"/>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1"/>
    <w:next w:val="a1"/>
    <w:uiPriority w:val="35"/>
    <w:unhideWhenUsed/>
    <w:qFormat/>
    <w:rsid w:val="003A369D"/>
    <w:rPr>
      <w:b/>
      <w:bCs/>
    </w:rPr>
  </w:style>
  <w:style w:type="paragraph" w:styleId="ae">
    <w:name w:val="header"/>
    <w:basedOn w:val="a1"/>
    <w:link w:val="af"/>
    <w:uiPriority w:val="99"/>
    <w:unhideWhenUsed/>
    <w:rsid w:val="00D91D94"/>
    <w:pPr>
      <w:tabs>
        <w:tab w:val="center" w:pos="4252"/>
        <w:tab w:val="right" w:pos="8504"/>
      </w:tabs>
      <w:snapToGrid w:val="0"/>
    </w:pPr>
  </w:style>
  <w:style w:type="character" w:customStyle="1" w:styleId="af">
    <w:name w:val="ヘッダー (文字)"/>
    <w:basedOn w:val="a3"/>
    <w:link w:val="ae"/>
    <w:uiPriority w:val="99"/>
    <w:rsid w:val="00D91D94"/>
  </w:style>
  <w:style w:type="paragraph" w:styleId="af0">
    <w:name w:val="footer"/>
    <w:basedOn w:val="a1"/>
    <w:link w:val="af1"/>
    <w:uiPriority w:val="99"/>
    <w:unhideWhenUsed/>
    <w:rsid w:val="00D91D94"/>
    <w:pPr>
      <w:tabs>
        <w:tab w:val="center" w:pos="4252"/>
        <w:tab w:val="right" w:pos="8504"/>
      </w:tabs>
      <w:snapToGrid w:val="0"/>
    </w:pPr>
  </w:style>
  <w:style w:type="character" w:customStyle="1" w:styleId="af1">
    <w:name w:val="フッター (文字)"/>
    <w:basedOn w:val="a3"/>
    <w:link w:val="af0"/>
    <w:uiPriority w:val="99"/>
    <w:rsid w:val="00D91D94"/>
  </w:style>
  <w:style w:type="paragraph" w:styleId="af2">
    <w:name w:val="Balloon Text"/>
    <w:basedOn w:val="a1"/>
    <w:link w:val="af3"/>
    <w:uiPriority w:val="99"/>
    <w:semiHidden/>
    <w:unhideWhenUsed/>
    <w:rsid w:val="009F6375"/>
    <w:rPr>
      <w:rFonts w:asciiTheme="majorHAnsi" w:eastAsiaTheme="majorEastAsia" w:hAnsiTheme="majorHAnsi" w:cstheme="majorBidi"/>
      <w:sz w:val="18"/>
      <w:szCs w:val="18"/>
    </w:rPr>
  </w:style>
  <w:style w:type="character" w:customStyle="1" w:styleId="af3">
    <w:name w:val="吹き出し (文字)"/>
    <w:basedOn w:val="a3"/>
    <w:link w:val="af2"/>
    <w:uiPriority w:val="99"/>
    <w:semiHidden/>
    <w:rsid w:val="009F6375"/>
    <w:rPr>
      <w:rFonts w:asciiTheme="majorHAnsi" w:eastAsiaTheme="majorEastAsia" w:hAnsiTheme="majorHAnsi" w:cstheme="majorBidi"/>
      <w:sz w:val="18"/>
      <w:szCs w:val="18"/>
    </w:rPr>
  </w:style>
  <w:style w:type="paragraph" w:styleId="af4">
    <w:name w:val="footnote text"/>
    <w:basedOn w:val="a1"/>
    <w:link w:val="af5"/>
    <w:uiPriority w:val="99"/>
    <w:semiHidden/>
    <w:unhideWhenUsed/>
    <w:rsid w:val="004D5D9D"/>
    <w:pPr>
      <w:snapToGrid w:val="0"/>
      <w:jc w:val="left"/>
    </w:pPr>
  </w:style>
  <w:style w:type="character" w:customStyle="1" w:styleId="af5">
    <w:name w:val="脚注文字列 (文字)"/>
    <w:basedOn w:val="a3"/>
    <w:link w:val="af4"/>
    <w:uiPriority w:val="99"/>
    <w:semiHidden/>
    <w:rsid w:val="004D5D9D"/>
  </w:style>
  <w:style w:type="character" w:styleId="af6">
    <w:name w:val="footnote reference"/>
    <w:basedOn w:val="a3"/>
    <w:uiPriority w:val="99"/>
    <w:semiHidden/>
    <w:unhideWhenUsed/>
    <w:rsid w:val="004D5D9D"/>
    <w:rPr>
      <w:vertAlign w:val="superscript"/>
    </w:rPr>
  </w:style>
  <w:style w:type="paragraph" w:styleId="af7">
    <w:name w:val="No Spacing"/>
    <w:uiPriority w:val="1"/>
    <w:rsid w:val="00BC2CA2"/>
    <w:pPr>
      <w:widowControl w:val="0"/>
      <w:jc w:val="both"/>
    </w:pPr>
    <w:rPr>
      <w:szCs w:val="24"/>
    </w:rPr>
  </w:style>
  <w:style w:type="character" w:styleId="af8">
    <w:name w:val="annotation reference"/>
    <w:basedOn w:val="a3"/>
    <w:uiPriority w:val="99"/>
    <w:semiHidden/>
    <w:unhideWhenUsed/>
    <w:rsid w:val="00884B51"/>
    <w:rPr>
      <w:sz w:val="18"/>
      <w:szCs w:val="18"/>
    </w:rPr>
  </w:style>
  <w:style w:type="paragraph" w:styleId="af9">
    <w:name w:val="annotation text"/>
    <w:basedOn w:val="a1"/>
    <w:link w:val="afa"/>
    <w:uiPriority w:val="99"/>
    <w:semiHidden/>
    <w:unhideWhenUsed/>
    <w:rsid w:val="00884B51"/>
    <w:pPr>
      <w:jc w:val="left"/>
    </w:pPr>
  </w:style>
  <w:style w:type="character" w:customStyle="1" w:styleId="afa">
    <w:name w:val="コメント文字列 (文字)"/>
    <w:basedOn w:val="a3"/>
    <w:link w:val="af9"/>
    <w:uiPriority w:val="99"/>
    <w:semiHidden/>
    <w:rsid w:val="00884B51"/>
    <w:rPr>
      <w:szCs w:val="24"/>
    </w:rPr>
  </w:style>
  <w:style w:type="paragraph" w:styleId="afb">
    <w:name w:val="annotation subject"/>
    <w:basedOn w:val="af9"/>
    <w:next w:val="af9"/>
    <w:link w:val="afc"/>
    <w:uiPriority w:val="99"/>
    <w:semiHidden/>
    <w:unhideWhenUsed/>
    <w:rsid w:val="00884B51"/>
    <w:rPr>
      <w:b/>
      <w:bCs/>
    </w:rPr>
  </w:style>
  <w:style w:type="character" w:customStyle="1" w:styleId="afc">
    <w:name w:val="コメント内容 (文字)"/>
    <w:basedOn w:val="afa"/>
    <w:link w:val="afb"/>
    <w:uiPriority w:val="99"/>
    <w:semiHidden/>
    <w:rsid w:val="00884B51"/>
    <w:rPr>
      <w:b/>
      <w:bCs/>
      <w:szCs w:val="24"/>
    </w:rPr>
  </w:style>
  <w:style w:type="character" w:styleId="afd">
    <w:name w:val="Hyperlink"/>
    <w:basedOn w:val="a3"/>
    <w:uiPriority w:val="99"/>
    <w:unhideWhenUsed/>
    <w:rsid w:val="000704D4"/>
    <w:rPr>
      <w:color w:val="0563C1" w:themeColor="hyperlink"/>
      <w:u w:val="single"/>
    </w:rPr>
  </w:style>
  <w:style w:type="character" w:styleId="afe">
    <w:name w:val="Unresolved Mention"/>
    <w:basedOn w:val="a3"/>
    <w:uiPriority w:val="99"/>
    <w:semiHidden/>
    <w:unhideWhenUsed/>
    <w:rsid w:val="000704D4"/>
    <w:rPr>
      <w:color w:val="605E5C"/>
      <w:shd w:val="clear" w:color="auto" w:fill="E1DFDD"/>
    </w:rPr>
  </w:style>
  <w:style w:type="paragraph" w:customStyle="1" w:styleId="TableParagraph">
    <w:name w:val="Table Paragraph"/>
    <w:basedOn w:val="a1"/>
    <w:uiPriority w:val="1"/>
    <w:rsid w:val="00DE3058"/>
    <w:pPr>
      <w:autoSpaceDE w:val="0"/>
      <w:autoSpaceDN w:val="0"/>
      <w:spacing w:before="32"/>
      <w:ind w:left="118"/>
      <w:jc w:val="left"/>
    </w:pPr>
    <w:rPr>
      <w:rFonts w:ascii="Cambria" w:eastAsia="Cambria" w:hAnsi="Cambria" w:cs="Cambria"/>
      <w:kern w:val="0"/>
      <w:sz w:val="22"/>
      <w:szCs w:val="22"/>
      <w:lang w:eastAsia="en-US"/>
    </w:rPr>
  </w:style>
  <w:style w:type="character" w:customStyle="1" w:styleId="50">
    <w:name w:val="見出し 5 (文字)"/>
    <w:aliases w:val="Appendix (文字)"/>
    <w:basedOn w:val="a3"/>
    <w:link w:val="5"/>
    <w:uiPriority w:val="9"/>
    <w:rsid w:val="0065506D"/>
    <w:rPr>
      <w:rFonts w:ascii="Times New Roman" w:eastAsia="游明朝" w:hAnsi="Times New Roman" w:cs="Times New Roman"/>
      <w:b/>
      <w:sz w:val="24"/>
    </w:rPr>
  </w:style>
  <w:style w:type="character" w:customStyle="1" w:styleId="60">
    <w:name w:val="見出し 6 (文字)"/>
    <w:basedOn w:val="a3"/>
    <w:link w:val="6"/>
    <w:uiPriority w:val="9"/>
    <w:semiHidden/>
    <w:rsid w:val="00862A91"/>
    <w:rPr>
      <w:b/>
      <w:bCs/>
      <w:szCs w:val="24"/>
    </w:rPr>
  </w:style>
  <w:style w:type="character" w:styleId="aff">
    <w:name w:val="Strong"/>
    <w:basedOn w:val="a3"/>
    <w:uiPriority w:val="22"/>
    <w:rsid w:val="001B6BCA"/>
    <w:rPr>
      <w:b/>
      <w:bCs/>
    </w:rPr>
  </w:style>
  <w:style w:type="character" w:styleId="aff0">
    <w:name w:val="FollowedHyperlink"/>
    <w:basedOn w:val="a3"/>
    <w:uiPriority w:val="99"/>
    <w:semiHidden/>
    <w:unhideWhenUsed/>
    <w:rsid w:val="000051F9"/>
    <w:rPr>
      <w:color w:val="954F72" w:themeColor="followedHyperlink"/>
      <w:u w:val="single"/>
    </w:rPr>
  </w:style>
  <w:style w:type="paragraph" w:customStyle="1" w:styleId="msonormal0">
    <w:name w:val="msonormal"/>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Web">
    <w:name w:val="Normal (Web)"/>
    <w:basedOn w:val="a1"/>
    <w:uiPriority w:val="99"/>
    <w:semiHidden/>
    <w:unhideWhenUsed/>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m-taglistitem">
    <w:name w:val="m-taglist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m-iconbuttonlabelwithicon">
    <w:name w:val="m-iconbutton__labelwithicon"/>
    <w:basedOn w:val="a3"/>
    <w:rsid w:val="006005E4"/>
  </w:style>
  <w:style w:type="character" w:customStyle="1" w:styleId="is-clickable">
    <w:name w:val="is-clickable"/>
    <w:basedOn w:val="a3"/>
    <w:rsid w:val="006005E4"/>
  </w:style>
  <w:style w:type="paragraph" w:customStyle="1" w:styleId="m-creatorsociallinksitem">
    <w:name w:val="m-creatorsociallinks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o-smallnotesummarystatusicon">
    <w:name w:val="o-smallnotesummary__statusicon"/>
    <w:basedOn w:val="a3"/>
    <w:rsid w:val="006005E4"/>
  </w:style>
  <w:style w:type="character" w:customStyle="1" w:styleId="o-smallnotesummarystatuscount">
    <w:name w:val="o-smallnotesummary__statuscount"/>
    <w:basedOn w:val="a3"/>
    <w:rsid w:val="006005E4"/>
  </w:style>
  <w:style w:type="table" w:customStyle="1" w:styleId="TableNormal1">
    <w:name w:val="Table Normal1"/>
    <w:uiPriority w:val="2"/>
    <w:semiHidden/>
    <w:unhideWhenUsed/>
    <w:qFormat/>
    <w:rsid w:val="002955FC"/>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2">
    <w:name w:val="Body Text First Indent"/>
    <w:basedOn w:val="a6"/>
    <w:link w:val="aff1"/>
    <w:uiPriority w:val="99"/>
    <w:unhideWhenUsed/>
    <w:rsid w:val="0029554D"/>
    <w:pPr>
      <w:ind w:firstLineChars="100" w:firstLine="210"/>
    </w:pPr>
  </w:style>
  <w:style w:type="character" w:customStyle="1" w:styleId="aff1">
    <w:name w:val="本文字下げ (文字)"/>
    <w:basedOn w:val="a7"/>
    <w:link w:val="a2"/>
    <w:uiPriority w:val="99"/>
    <w:rsid w:val="0029554D"/>
    <w:rPr>
      <w:szCs w:val="24"/>
    </w:rPr>
  </w:style>
  <w:style w:type="character" w:styleId="aff2">
    <w:name w:val="Subtle Reference"/>
    <w:basedOn w:val="a3"/>
    <w:uiPriority w:val="31"/>
    <w:rsid w:val="008939D3"/>
    <w:rPr>
      <w:smallCaps/>
      <w:color w:val="5A5A5A" w:themeColor="text1" w:themeTint="A5"/>
    </w:rPr>
  </w:style>
  <w:style w:type="paragraph" w:styleId="aff3">
    <w:name w:val="Body Text Indent"/>
    <w:basedOn w:val="a1"/>
    <w:link w:val="aff4"/>
    <w:uiPriority w:val="99"/>
    <w:semiHidden/>
    <w:unhideWhenUsed/>
    <w:rsid w:val="00F07352"/>
    <w:pPr>
      <w:ind w:leftChars="400" w:left="851"/>
    </w:pPr>
  </w:style>
  <w:style w:type="character" w:customStyle="1" w:styleId="aff4">
    <w:name w:val="本文インデント (文字)"/>
    <w:basedOn w:val="a3"/>
    <w:link w:val="aff3"/>
    <w:uiPriority w:val="99"/>
    <w:semiHidden/>
    <w:rsid w:val="00F07352"/>
    <w:rPr>
      <w:szCs w:val="24"/>
    </w:rPr>
  </w:style>
  <w:style w:type="character" w:styleId="25">
    <w:name w:val="Intense Reference"/>
    <w:basedOn w:val="a3"/>
    <w:uiPriority w:val="32"/>
    <w:qFormat/>
    <w:rsid w:val="008939D3"/>
    <w:rPr>
      <w:b/>
      <w:bCs/>
      <w:smallCaps/>
      <w:color w:val="4472C4" w:themeColor="accent1"/>
      <w:spacing w:val="5"/>
    </w:rPr>
  </w:style>
  <w:style w:type="numbering" w:customStyle="1" w:styleId="21">
    <w:name w:val="見出し2"/>
    <w:uiPriority w:val="99"/>
    <w:rsid w:val="008939D3"/>
    <w:pPr>
      <w:numPr>
        <w:numId w:val="34"/>
      </w:numPr>
    </w:pPr>
  </w:style>
  <w:style w:type="paragraph" w:styleId="26">
    <w:name w:val="Body Text First Indent 2"/>
    <w:basedOn w:val="aff3"/>
    <w:link w:val="27"/>
    <w:uiPriority w:val="99"/>
    <w:semiHidden/>
    <w:unhideWhenUsed/>
    <w:rsid w:val="00B97282"/>
    <w:pPr>
      <w:ind w:firstLineChars="100" w:firstLine="210"/>
    </w:pPr>
  </w:style>
  <w:style w:type="character" w:customStyle="1" w:styleId="27">
    <w:name w:val="本文字下げ 2 (文字)"/>
    <w:basedOn w:val="aff4"/>
    <w:link w:val="26"/>
    <w:uiPriority w:val="99"/>
    <w:semiHidden/>
    <w:rsid w:val="00B97282"/>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90559">
      <w:bodyDiv w:val="1"/>
      <w:marLeft w:val="0"/>
      <w:marRight w:val="0"/>
      <w:marTop w:val="0"/>
      <w:marBottom w:val="0"/>
      <w:divBdr>
        <w:top w:val="none" w:sz="0" w:space="0" w:color="auto"/>
        <w:left w:val="none" w:sz="0" w:space="0" w:color="auto"/>
        <w:bottom w:val="none" w:sz="0" w:space="0" w:color="auto"/>
        <w:right w:val="none" w:sz="0" w:space="0" w:color="auto"/>
      </w:divBdr>
    </w:div>
    <w:div w:id="1193029901">
      <w:bodyDiv w:val="1"/>
      <w:marLeft w:val="0"/>
      <w:marRight w:val="0"/>
      <w:marTop w:val="0"/>
      <w:marBottom w:val="0"/>
      <w:divBdr>
        <w:top w:val="none" w:sz="0" w:space="0" w:color="auto"/>
        <w:left w:val="none" w:sz="0" w:space="0" w:color="auto"/>
        <w:bottom w:val="none" w:sz="0" w:space="0" w:color="auto"/>
        <w:right w:val="none" w:sz="0" w:space="0" w:color="auto"/>
      </w:divBdr>
      <w:divsChild>
        <w:div w:id="957880044">
          <w:marLeft w:val="0"/>
          <w:marRight w:val="0"/>
          <w:marTop w:val="720"/>
          <w:marBottom w:val="720"/>
          <w:divBdr>
            <w:top w:val="none" w:sz="0" w:space="0" w:color="auto"/>
            <w:left w:val="none" w:sz="0" w:space="0" w:color="auto"/>
            <w:bottom w:val="none" w:sz="0" w:space="0" w:color="auto"/>
            <w:right w:val="none" w:sz="0" w:space="0" w:color="auto"/>
          </w:divBdr>
          <w:divsChild>
            <w:div w:id="2059549825">
              <w:marLeft w:val="0"/>
              <w:marRight w:val="0"/>
              <w:marTop w:val="0"/>
              <w:marBottom w:val="0"/>
              <w:divBdr>
                <w:top w:val="none" w:sz="0" w:space="0" w:color="auto"/>
                <w:left w:val="none" w:sz="0" w:space="0" w:color="auto"/>
                <w:bottom w:val="none" w:sz="0" w:space="0" w:color="auto"/>
                <w:right w:val="none" w:sz="0" w:space="0" w:color="auto"/>
              </w:divBdr>
              <w:divsChild>
                <w:div w:id="803276376">
                  <w:marLeft w:val="0"/>
                  <w:marRight w:val="0"/>
                  <w:marTop w:val="0"/>
                  <w:marBottom w:val="0"/>
                  <w:divBdr>
                    <w:top w:val="none" w:sz="0" w:space="0" w:color="auto"/>
                    <w:left w:val="none" w:sz="0" w:space="0" w:color="auto"/>
                    <w:bottom w:val="none" w:sz="0" w:space="0" w:color="auto"/>
                    <w:right w:val="none" w:sz="0" w:space="0" w:color="auto"/>
                  </w:divBdr>
                  <w:divsChild>
                    <w:div w:id="694430641">
                      <w:marLeft w:val="0"/>
                      <w:marRight w:val="0"/>
                      <w:marTop w:val="0"/>
                      <w:marBottom w:val="0"/>
                      <w:divBdr>
                        <w:top w:val="none" w:sz="0" w:space="0" w:color="auto"/>
                        <w:left w:val="none" w:sz="0" w:space="0" w:color="auto"/>
                        <w:bottom w:val="none" w:sz="0" w:space="0" w:color="auto"/>
                        <w:right w:val="none" w:sz="0" w:space="0" w:color="auto"/>
                      </w:divBdr>
                      <w:divsChild>
                        <w:div w:id="1507554105">
                          <w:blockQuote w:val="1"/>
                          <w:marLeft w:val="0"/>
                          <w:marRight w:val="0"/>
                          <w:marTop w:val="540"/>
                          <w:marBottom w:val="540"/>
                          <w:divBdr>
                            <w:top w:val="none" w:sz="0" w:space="0" w:color="auto"/>
                            <w:left w:val="none" w:sz="0" w:space="0" w:color="auto"/>
                            <w:bottom w:val="none" w:sz="0" w:space="0" w:color="auto"/>
                            <w:right w:val="none" w:sz="0" w:space="0" w:color="auto"/>
                          </w:divBdr>
                        </w:div>
                        <w:div w:id="173110591">
                          <w:blockQuote w:val="1"/>
                          <w:marLeft w:val="0"/>
                          <w:marRight w:val="0"/>
                          <w:marTop w:val="540"/>
                          <w:marBottom w:val="540"/>
                          <w:divBdr>
                            <w:top w:val="none" w:sz="0" w:space="0" w:color="auto"/>
                            <w:left w:val="none" w:sz="0" w:space="0" w:color="auto"/>
                            <w:bottom w:val="none" w:sz="0" w:space="0" w:color="auto"/>
                            <w:right w:val="none" w:sz="0" w:space="0" w:color="auto"/>
                          </w:divBdr>
                        </w:div>
                        <w:div w:id="424347587">
                          <w:blockQuote w:val="1"/>
                          <w:marLeft w:val="0"/>
                          <w:marRight w:val="0"/>
                          <w:marTop w:val="540"/>
                          <w:marBottom w:val="540"/>
                          <w:divBdr>
                            <w:top w:val="none" w:sz="0" w:space="0" w:color="auto"/>
                            <w:left w:val="none" w:sz="0" w:space="0" w:color="auto"/>
                            <w:bottom w:val="none" w:sz="0" w:space="0" w:color="auto"/>
                            <w:right w:val="none" w:sz="0" w:space="0" w:color="auto"/>
                          </w:divBdr>
                        </w:div>
                        <w:div w:id="1253472502">
                          <w:blockQuote w:val="1"/>
                          <w:marLeft w:val="0"/>
                          <w:marRight w:val="0"/>
                          <w:marTop w:val="540"/>
                          <w:marBottom w:val="540"/>
                          <w:divBdr>
                            <w:top w:val="none" w:sz="0" w:space="0" w:color="auto"/>
                            <w:left w:val="none" w:sz="0" w:space="0" w:color="auto"/>
                            <w:bottom w:val="none" w:sz="0" w:space="0" w:color="auto"/>
                            <w:right w:val="none" w:sz="0" w:space="0" w:color="auto"/>
                          </w:divBdr>
                        </w:div>
                        <w:div w:id="2012833501">
                          <w:marLeft w:val="0"/>
                          <w:marRight w:val="0"/>
                          <w:marTop w:val="600"/>
                          <w:marBottom w:val="600"/>
                          <w:divBdr>
                            <w:top w:val="none" w:sz="0" w:space="0" w:color="auto"/>
                            <w:left w:val="none" w:sz="0" w:space="0" w:color="auto"/>
                            <w:bottom w:val="none" w:sz="0" w:space="0" w:color="auto"/>
                            <w:right w:val="none" w:sz="0" w:space="0" w:color="auto"/>
                          </w:divBdr>
                          <w:divsChild>
                            <w:div w:id="796336480">
                              <w:marLeft w:val="0"/>
                              <w:marRight w:val="0"/>
                              <w:marTop w:val="0"/>
                              <w:marBottom w:val="0"/>
                              <w:divBdr>
                                <w:top w:val="none" w:sz="0" w:space="0" w:color="auto"/>
                                <w:left w:val="none" w:sz="0" w:space="0" w:color="auto"/>
                                <w:bottom w:val="none" w:sz="0" w:space="0" w:color="auto"/>
                                <w:right w:val="none" w:sz="0" w:space="0" w:color="auto"/>
                              </w:divBdr>
                            </w:div>
                          </w:divsChild>
                        </w:div>
                        <w:div w:id="1322198619">
                          <w:blockQuote w:val="1"/>
                          <w:marLeft w:val="0"/>
                          <w:marRight w:val="0"/>
                          <w:marTop w:val="540"/>
                          <w:marBottom w:val="540"/>
                          <w:divBdr>
                            <w:top w:val="none" w:sz="0" w:space="0" w:color="auto"/>
                            <w:left w:val="none" w:sz="0" w:space="0" w:color="auto"/>
                            <w:bottom w:val="none" w:sz="0" w:space="0" w:color="auto"/>
                            <w:right w:val="none" w:sz="0" w:space="0" w:color="auto"/>
                          </w:divBdr>
                        </w:div>
                        <w:div w:id="119223541">
                          <w:blockQuote w:val="1"/>
                          <w:marLeft w:val="0"/>
                          <w:marRight w:val="0"/>
                          <w:marTop w:val="540"/>
                          <w:marBottom w:val="540"/>
                          <w:divBdr>
                            <w:top w:val="none" w:sz="0" w:space="0" w:color="auto"/>
                            <w:left w:val="none" w:sz="0" w:space="0" w:color="auto"/>
                            <w:bottom w:val="none" w:sz="0" w:space="0" w:color="auto"/>
                            <w:right w:val="none" w:sz="0" w:space="0" w:color="auto"/>
                          </w:divBdr>
                        </w:div>
                        <w:div w:id="568074381">
                          <w:blockQuote w:val="1"/>
                          <w:marLeft w:val="0"/>
                          <w:marRight w:val="0"/>
                          <w:marTop w:val="540"/>
                          <w:marBottom w:val="540"/>
                          <w:divBdr>
                            <w:top w:val="none" w:sz="0" w:space="0" w:color="auto"/>
                            <w:left w:val="none" w:sz="0" w:space="0" w:color="auto"/>
                            <w:bottom w:val="none" w:sz="0" w:space="0" w:color="auto"/>
                            <w:right w:val="none" w:sz="0" w:space="0" w:color="auto"/>
                          </w:divBdr>
                        </w:div>
                        <w:div w:id="1556308014">
                          <w:blockQuote w:val="1"/>
                          <w:marLeft w:val="0"/>
                          <w:marRight w:val="0"/>
                          <w:marTop w:val="540"/>
                          <w:marBottom w:val="540"/>
                          <w:divBdr>
                            <w:top w:val="none" w:sz="0" w:space="0" w:color="auto"/>
                            <w:left w:val="none" w:sz="0" w:space="0" w:color="auto"/>
                            <w:bottom w:val="none" w:sz="0" w:space="0" w:color="auto"/>
                            <w:right w:val="none" w:sz="0" w:space="0" w:color="auto"/>
                          </w:divBdr>
                        </w:div>
                        <w:div w:id="1549142412">
                          <w:blockQuote w:val="1"/>
                          <w:marLeft w:val="0"/>
                          <w:marRight w:val="0"/>
                          <w:marTop w:val="540"/>
                          <w:marBottom w:val="540"/>
                          <w:divBdr>
                            <w:top w:val="none" w:sz="0" w:space="0" w:color="auto"/>
                            <w:left w:val="none" w:sz="0" w:space="0" w:color="auto"/>
                            <w:bottom w:val="none" w:sz="0" w:space="0" w:color="auto"/>
                            <w:right w:val="none" w:sz="0" w:space="0" w:color="auto"/>
                          </w:divBdr>
                        </w:div>
                        <w:div w:id="981158913">
                          <w:blockQuote w:val="1"/>
                          <w:marLeft w:val="0"/>
                          <w:marRight w:val="0"/>
                          <w:marTop w:val="540"/>
                          <w:marBottom w:val="540"/>
                          <w:divBdr>
                            <w:top w:val="none" w:sz="0" w:space="0" w:color="auto"/>
                            <w:left w:val="none" w:sz="0" w:space="0" w:color="auto"/>
                            <w:bottom w:val="none" w:sz="0" w:space="0" w:color="auto"/>
                            <w:right w:val="none" w:sz="0" w:space="0" w:color="auto"/>
                          </w:divBdr>
                        </w:div>
                        <w:div w:id="1344740984">
                          <w:blockQuote w:val="1"/>
                          <w:marLeft w:val="0"/>
                          <w:marRight w:val="0"/>
                          <w:marTop w:val="540"/>
                          <w:marBottom w:val="540"/>
                          <w:divBdr>
                            <w:top w:val="none" w:sz="0" w:space="0" w:color="auto"/>
                            <w:left w:val="none" w:sz="0" w:space="0" w:color="auto"/>
                            <w:bottom w:val="none" w:sz="0" w:space="0" w:color="auto"/>
                            <w:right w:val="none" w:sz="0" w:space="0" w:color="auto"/>
                          </w:divBdr>
                        </w:div>
                        <w:div w:id="2020964912">
                          <w:blockQuote w:val="1"/>
                          <w:marLeft w:val="0"/>
                          <w:marRight w:val="0"/>
                          <w:marTop w:val="540"/>
                          <w:marBottom w:val="540"/>
                          <w:divBdr>
                            <w:top w:val="none" w:sz="0" w:space="0" w:color="auto"/>
                            <w:left w:val="none" w:sz="0" w:space="0" w:color="auto"/>
                            <w:bottom w:val="none" w:sz="0" w:space="0" w:color="auto"/>
                            <w:right w:val="none" w:sz="0" w:space="0" w:color="auto"/>
                          </w:divBdr>
                        </w:div>
                        <w:div w:id="873081645">
                          <w:blockQuote w:val="1"/>
                          <w:marLeft w:val="0"/>
                          <w:marRight w:val="0"/>
                          <w:marTop w:val="540"/>
                          <w:marBottom w:val="540"/>
                          <w:divBdr>
                            <w:top w:val="none" w:sz="0" w:space="0" w:color="auto"/>
                            <w:left w:val="none" w:sz="0" w:space="0" w:color="auto"/>
                            <w:bottom w:val="none" w:sz="0" w:space="0" w:color="auto"/>
                            <w:right w:val="none" w:sz="0" w:space="0" w:color="auto"/>
                          </w:divBdr>
                        </w:div>
                        <w:div w:id="62488340">
                          <w:blockQuote w:val="1"/>
                          <w:marLeft w:val="0"/>
                          <w:marRight w:val="0"/>
                          <w:marTop w:val="540"/>
                          <w:marBottom w:val="540"/>
                          <w:divBdr>
                            <w:top w:val="none" w:sz="0" w:space="0" w:color="auto"/>
                            <w:left w:val="none" w:sz="0" w:space="0" w:color="auto"/>
                            <w:bottom w:val="none" w:sz="0" w:space="0" w:color="auto"/>
                            <w:right w:val="none" w:sz="0" w:space="0" w:color="auto"/>
                          </w:divBdr>
                        </w:div>
                        <w:div w:id="1148205068">
                          <w:blockQuote w:val="1"/>
                          <w:marLeft w:val="0"/>
                          <w:marRight w:val="0"/>
                          <w:marTop w:val="540"/>
                          <w:marBottom w:val="540"/>
                          <w:divBdr>
                            <w:top w:val="none" w:sz="0" w:space="0" w:color="auto"/>
                            <w:left w:val="none" w:sz="0" w:space="0" w:color="auto"/>
                            <w:bottom w:val="none" w:sz="0" w:space="0" w:color="auto"/>
                            <w:right w:val="none" w:sz="0" w:space="0" w:color="auto"/>
                          </w:divBdr>
                        </w:div>
                        <w:div w:id="770930903">
                          <w:blockQuote w:val="1"/>
                          <w:marLeft w:val="0"/>
                          <w:marRight w:val="0"/>
                          <w:marTop w:val="540"/>
                          <w:marBottom w:val="540"/>
                          <w:divBdr>
                            <w:top w:val="none" w:sz="0" w:space="0" w:color="auto"/>
                            <w:left w:val="none" w:sz="0" w:space="0" w:color="auto"/>
                            <w:bottom w:val="none" w:sz="0" w:space="0" w:color="auto"/>
                            <w:right w:val="none" w:sz="0" w:space="0" w:color="auto"/>
                          </w:divBdr>
                        </w:div>
                        <w:div w:id="1954825426">
                          <w:blockQuote w:val="1"/>
                          <w:marLeft w:val="0"/>
                          <w:marRight w:val="0"/>
                          <w:marTop w:val="540"/>
                          <w:marBottom w:val="540"/>
                          <w:divBdr>
                            <w:top w:val="none" w:sz="0" w:space="0" w:color="auto"/>
                            <w:left w:val="none" w:sz="0" w:space="0" w:color="auto"/>
                            <w:bottom w:val="none" w:sz="0" w:space="0" w:color="auto"/>
                            <w:right w:val="none" w:sz="0" w:space="0" w:color="auto"/>
                          </w:divBdr>
                        </w:div>
                        <w:div w:id="1017923852">
                          <w:blockQuote w:val="1"/>
                          <w:marLeft w:val="0"/>
                          <w:marRight w:val="0"/>
                          <w:marTop w:val="540"/>
                          <w:marBottom w:val="540"/>
                          <w:divBdr>
                            <w:top w:val="none" w:sz="0" w:space="0" w:color="auto"/>
                            <w:left w:val="none" w:sz="0" w:space="0" w:color="auto"/>
                            <w:bottom w:val="none" w:sz="0" w:space="0" w:color="auto"/>
                            <w:right w:val="none" w:sz="0" w:space="0" w:color="auto"/>
                          </w:divBdr>
                        </w:div>
                        <w:div w:id="1862737527">
                          <w:blockQuote w:val="1"/>
                          <w:marLeft w:val="0"/>
                          <w:marRight w:val="0"/>
                          <w:marTop w:val="540"/>
                          <w:marBottom w:val="540"/>
                          <w:divBdr>
                            <w:top w:val="none" w:sz="0" w:space="0" w:color="auto"/>
                            <w:left w:val="none" w:sz="0" w:space="0" w:color="auto"/>
                            <w:bottom w:val="none" w:sz="0" w:space="0" w:color="auto"/>
                            <w:right w:val="none" w:sz="0" w:space="0" w:color="auto"/>
                          </w:divBdr>
                        </w:div>
                        <w:div w:id="1017736522">
                          <w:blockQuote w:val="1"/>
                          <w:marLeft w:val="0"/>
                          <w:marRight w:val="0"/>
                          <w:marTop w:val="540"/>
                          <w:marBottom w:val="540"/>
                          <w:divBdr>
                            <w:top w:val="none" w:sz="0" w:space="0" w:color="auto"/>
                            <w:left w:val="none" w:sz="0" w:space="0" w:color="auto"/>
                            <w:bottom w:val="none" w:sz="0" w:space="0" w:color="auto"/>
                            <w:right w:val="none" w:sz="0" w:space="0" w:color="auto"/>
                          </w:divBdr>
                        </w:div>
                        <w:div w:id="1661690411">
                          <w:blockQuote w:val="1"/>
                          <w:marLeft w:val="0"/>
                          <w:marRight w:val="0"/>
                          <w:marTop w:val="540"/>
                          <w:marBottom w:val="540"/>
                          <w:divBdr>
                            <w:top w:val="none" w:sz="0" w:space="0" w:color="auto"/>
                            <w:left w:val="none" w:sz="0" w:space="0" w:color="auto"/>
                            <w:bottom w:val="none" w:sz="0" w:space="0" w:color="auto"/>
                            <w:right w:val="none" w:sz="0" w:space="0" w:color="auto"/>
                          </w:divBdr>
                        </w:div>
                        <w:div w:id="729230248">
                          <w:blockQuote w:val="1"/>
                          <w:marLeft w:val="0"/>
                          <w:marRight w:val="0"/>
                          <w:marTop w:val="540"/>
                          <w:marBottom w:val="540"/>
                          <w:divBdr>
                            <w:top w:val="none" w:sz="0" w:space="0" w:color="auto"/>
                            <w:left w:val="none" w:sz="0" w:space="0" w:color="auto"/>
                            <w:bottom w:val="none" w:sz="0" w:space="0" w:color="auto"/>
                            <w:right w:val="none" w:sz="0" w:space="0" w:color="auto"/>
                          </w:divBdr>
                        </w:div>
                        <w:div w:id="1674650238">
                          <w:blockQuote w:val="1"/>
                          <w:marLeft w:val="0"/>
                          <w:marRight w:val="0"/>
                          <w:marTop w:val="540"/>
                          <w:marBottom w:val="540"/>
                          <w:divBdr>
                            <w:top w:val="none" w:sz="0" w:space="0" w:color="auto"/>
                            <w:left w:val="none" w:sz="0" w:space="0" w:color="auto"/>
                            <w:bottom w:val="none" w:sz="0" w:space="0" w:color="auto"/>
                            <w:right w:val="none" w:sz="0" w:space="0" w:color="auto"/>
                          </w:divBdr>
                        </w:div>
                        <w:div w:id="1364791166">
                          <w:blockQuote w:val="1"/>
                          <w:marLeft w:val="0"/>
                          <w:marRight w:val="0"/>
                          <w:marTop w:val="540"/>
                          <w:marBottom w:val="540"/>
                          <w:divBdr>
                            <w:top w:val="none" w:sz="0" w:space="0" w:color="auto"/>
                            <w:left w:val="none" w:sz="0" w:space="0" w:color="auto"/>
                            <w:bottom w:val="none" w:sz="0" w:space="0" w:color="auto"/>
                            <w:right w:val="none" w:sz="0" w:space="0" w:color="auto"/>
                          </w:divBdr>
                        </w:div>
                        <w:div w:id="1312248322">
                          <w:blockQuote w:val="1"/>
                          <w:marLeft w:val="0"/>
                          <w:marRight w:val="0"/>
                          <w:marTop w:val="540"/>
                          <w:marBottom w:val="540"/>
                          <w:divBdr>
                            <w:top w:val="none" w:sz="0" w:space="0" w:color="auto"/>
                            <w:left w:val="none" w:sz="0" w:space="0" w:color="auto"/>
                            <w:bottom w:val="none" w:sz="0" w:space="0" w:color="auto"/>
                            <w:right w:val="none" w:sz="0" w:space="0" w:color="auto"/>
                          </w:divBdr>
                        </w:div>
                        <w:div w:id="917440737">
                          <w:blockQuote w:val="1"/>
                          <w:marLeft w:val="0"/>
                          <w:marRight w:val="0"/>
                          <w:marTop w:val="540"/>
                          <w:marBottom w:val="540"/>
                          <w:divBdr>
                            <w:top w:val="none" w:sz="0" w:space="0" w:color="auto"/>
                            <w:left w:val="none" w:sz="0" w:space="0" w:color="auto"/>
                            <w:bottom w:val="none" w:sz="0" w:space="0" w:color="auto"/>
                            <w:right w:val="none" w:sz="0" w:space="0" w:color="auto"/>
                          </w:divBdr>
                        </w:div>
                        <w:div w:id="430663547">
                          <w:blockQuote w:val="1"/>
                          <w:marLeft w:val="0"/>
                          <w:marRight w:val="0"/>
                          <w:marTop w:val="540"/>
                          <w:marBottom w:val="540"/>
                          <w:divBdr>
                            <w:top w:val="none" w:sz="0" w:space="0" w:color="auto"/>
                            <w:left w:val="none" w:sz="0" w:space="0" w:color="auto"/>
                            <w:bottom w:val="none" w:sz="0" w:space="0" w:color="auto"/>
                            <w:right w:val="none" w:sz="0" w:space="0" w:color="auto"/>
                          </w:divBdr>
                        </w:div>
                        <w:div w:id="70659205">
                          <w:blockQuote w:val="1"/>
                          <w:marLeft w:val="0"/>
                          <w:marRight w:val="0"/>
                          <w:marTop w:val="540"/>
                          <w:marBottom w:val="540"/>
                          <w:divBdr>
                            <w:top w:val="none" w:sz="0" w:space="0" w:color="auto"/>
                            <w:left w:val="none" w:sz="0" w:space="0" w:color="auto"/>
                            <w:bottom w:val="none" w:sz="0" w:space="0" w:color="auto"/>
                            <w:right w:val="none" w:sz="0" w:space="0" w:color="auto"/>
                          </w:divBdr>
                        </w:div>
                        <w:div w:id="2128812497">
                          <w:blockQuote w:val="1"/>
                          <w:marLeft w:val="0"/>
                          <w:marRight w:val="0"/>
                          <w:marTop w:val="540"/>
                          <w:marBottom w:val="540"/>
                          <w:divBdr>
                            <w:top w:val="none" w:sz="0" w:space="0" w:color="auto"/>
                            <w:left w:val="none" w:sz="0" w:space="0" w:color="auto"/>
                            <w:bottom w:val="none" w:sz="0" w:space="0" w:color="auto"/>
                            <w:right w:val="none" w:sz="0" w:space="0" w:color="auto"/>
                          </w:divBdr>
                        </w:div>
                        <w:div w:id="1737240314">
                          <w:blockQuote w:val="1"/>
                          <w:marLeft w:val="0"/>
                          <w:marRight w:val="0"/>
                          <w:marTop w:val="540"/>
                          <w:marBottom w:val="540"/>
                          <w:divBdr>
                            <w:top w:val="none" w:sz="0" w:space="0" w:color="auto"/>
                            <w:left w:val="none" w:sz="0" w:space="0" w:color="auto"/>
                            <w:bottom w:val="none" w:sz="0" w:space="0" w:color="auto"/>
                            <w:right w:val="none" w:sz="0" w:space="0" w:color="auto"/>
                          </w:divBdr>
                        </w:div>
                        <w:div w:id="1125079412">
                          <w:blockQuote w:val="1"/>
                          <w:marLeft w:val="0"/>
                          <w:marRight w:val="0"/>
                          <w:marTop w:val="540"/>
                          <w:marBottom w:val="540"/>
                          <w:divBdr>
                            <w:top w:val="none" w:sz="0" w:space="0" w:color="auto"/>
                            <w:left w:val="none" w:sz="0" w:space="0" w:color="auto"/>
                            <w:bottom w:val="none" w:sz="0" w:space="0" w:color="auto"/>
                            <w:right w:val="none" w:sz="0" w:space="0" w:color="auto"/>
                          </w:divBdr>
                        </w:div>
                        <w:div w:id="1534345122">
                          <w:blockQuote w:val="1"/>
                          <w:marLeft w:val="0"/>
                          <w:marRight w:val="0"/>
                          <w:marTop w:val="540"/>
                          <w:marBottom w:val="540"/>
                          <w:divBdr>
                            <w:top w:val="none" w:sz="0" w:space="0" w:color="auto"/>
                            <w:left w:val="none" w:sz="0" w:space="0" w:color="auto"/>
                            <w:bottom w:val="none" w:sz="0" w:space="0" w:color="auto"/>
                            <w:right w:val="none" w:sz="0" w:space="0" w:color="auto"/>
                          </w:divBdr>
                        </w:div>
                        <w:div w:id="971637161">
                          <w:blockQuote w:val="1"/>
                          <w:marLeft w:val="0"/>
                          <w:marRight w:val="0"/>
                          <w:marTop w:val="540"/>
                          <w:marBottom w:val="540"/>
                          <w:divBdr>
                            <w:top w:val="none" w:sz="0" w:space="0" w:color="auto"/>
                            <w:left w:val="none" w:sz="0" w:space="0" w:color="auto"/>
                            <w:bottom w:val="none" w:sz="0" w:space="0" w:color="auto"/>
                            <w:right w:val="none" w:sz="0" w:space="0" w:color="auto"/>
                          </w:divBdr>
                        </w:div>
                        <w:div w:id="1182665128">
                          <w:blockQuote w:val="1"/>
                          <w:marLeft w:val="0"/>
                          <w:marRight w:val="0"/>
                          <w:marTop w:val="540"/>
                          <w:marBottom w:val="540"/>
                          <w:divBdr>
                            <w:top w:val="none" w:sz="0" w:space="0" w:color="auto"/>
                            <w:left w:val="none" w:sz="0" w:space="0" w:color="auto"/>
                            <w:bottom w:val="none" w:sz="0" w:space="0" w:color="auto"/>
                            <w:right w:val="none" w:sz="0" w:space="0" w:color="auto"/>
                          </w:divBdr>
                        </w:div>
                        <w:div w:id="243800476">
                          <w:blockQuote w:val="1"/>
                          <w:marLeft w:val="0"/>
                          <w:marRight w:val="0"/>
                          <w:marTop w:val="540"/>
                          <w:marBottom w:val="540"/>
                          <w:divBdr>
                            <w:top w:val="none" w:sz="0" w:space="0" w:color="auto"/>
                            <w:left w:val="none" w:sz="0" w:space="0" w:color="auto"/>
                            <w:bottom w:val="none" w:sz="0" w:space="0" w:color="auto"/>
                            <w:right w:val="none" w:sz="0" w:space="0" w:color="auto"/>
                          </w:divBdr>
                        </w:div>
                        <w:div w:id="165903465">
                          <w:blockQuote w:val="1"/>
                          <w:marLeft w:val="0"/>
                          <w:marRight w:val="0"/>
                          <w:marTop w:val="540"/>
                          <w:marBottom w:val="540"/>
                          <w:divBdr>
                            <w:top w:val="none" w:sz="0" w:space="0" w:color="auto"/>
                            <w:left w:val="none" w:sz="0" w:space="0" w:color="auto"/>
                            <w:bottom w:val="none" w:sz="0" w:space="0" w:color="auto"/>
                            <w:right w:val="none" w:sz="0" w:space="0" w:color="auto"/>
                          </w:divBdr>
                        </w:div>
                        <w:div w:id="2085446567">
                          <w:blockQuote w:val="1"/>
                          <w:marLeft w:val="0"/>
                          <w:marRight w:val="0"/>
                          <w:marTop w:val="540"/>
                          <w:marBottom w:val="540"/>
                          <w:divBdr>
                            <w:top w:val="none" w:sz="0" w:space="0" w:color="auto"/>
                            <w:left w:val="none" w:sz="0" w:space="0" w:color="auto"/>
                            <w:bottom w:val="none" w:sz="0" w:space="0" w:color="auto"/>
                            <w:right w:val="none" w:sz="0" w:space="0" w:color="auto"/>
                          </w:divBdr>
                        </w:div>
                        <w:div w:id="889657132">
                          <w:blockQuote w:val="1"/>
                          <w:marLeft w:val="0"/>
                          <w:marRight w:val="0"/>
                          <w:marTop w:val="540"/>
                          <w:marBottom w:val="540"/>
                          <w:divBdr>
                            <w:top w:val="none" w:sz="0" w:space="0" w:color="auto"/>
                            <w:left w:val="none" w:sz="0" w:space="0" w:color="auto"/>
                            <w:bottom w:val="none" w:sz="0" w:space="0" w:color="auto"/>
                            <w:right w:val="none" w:sz="0" w:space="0" w:color="auto"/>
                          </w:divBdr>
                        </w:div>
                        <w:div w:id="1886872916">
                          <w:blockQuote w:val="1"/>
                          <w:marLeft w:val="0"/>
                          <w:marRight w:val="0"/>
                          <w:marTop w:val="540"/>
                          <w:marBottom w:val="540"/>
                          <w:divBdr>
                            <w:top w:val="none" w:sz="0" w:space="0" w:color="auto"/>
                            <w:left w:val="none" w:sz="0" w:space="0" w:color="auto"/>
                            <w:bottom w:val="none" w:sz="0" w:space="0" w:color="auto"/>
                            <w:right w:val="none" w:sz="0" w:space="0" w:color="auto"/>
                          </w:divBdr>
                        </w:div>
                        <w:div w:id="1679963740">
                          <w:blockQuote w:val="1"/>
                          <w:marLeft w:val="0"/>
                          <w:marRight w:val="0"/>
                          <w:marTop w:val="540"/>
                          <w:marBottom w:val="540"/>
                          <w:divBdr>
                            <w:top w:val="none" w:sz="0" w:space="0" w:color="auto"/>
                            <w:left w:val="none" w:sz="0" w:space="0" w:color="auto"/>
                            <w:bottom w:val="none" w:sz="0" w:space="0" w:color="auto"/>
                            <w:right w:val="none" w:sz="0" w:space="0" w:color="auto"/>
                          </w:divBdr>
                        </w:div>
                        <w:div w:id="2109158432">
                          <w:blockQuote w:val="1"/>
                          <w:marLeft w:val="0"/>
                          <w:marRight w:val="0"/>
                          <w:marTop w:val="540"/>
                          <w:marBottom w:val="540"/>
                          <w:divBdr>
                            <w:top w:val="none" w:sz="0" w:space="0" w:color="auto"/>
                            <w:left w:val="none" w:sz="0" w:space="0" w:color="auto"/>
                            <w:bottom w:val="none" w:sz="0" w:space="0" w:color="auto"/>
                            <w:right w:val="none" w:sz="0" w:space="0" w:color="auto"/>
                          </w:divBdr>
                        </w:div>
                        <w:div w:id="1306928953">
                          <w:blockQuote w:val="1"/>
                          <w:marLeft w:val="0"/>
                          <w:marRight w:val="0"/>
                          <w:marTop w:val="540"/>
                          <w:marBottom w:val="540"/>
                          <w:divBdr>
                            <w:top w:val="none" w:sz="0" w:space="0" w:color="auto"/>
                            <w:left w:val="none" w:sz="0" w:space="0" w:color="auto"/>
                            <w:bottom w:val="none" w:sz="0" w:space="0" w:color="auto"/>
                            <w:right w:val="none" w:sz="0" w:space="0" w:color="auto"/>
                          </w:divBdr>
                        </w:div>
                        <w:div w:id="984286360">
                          <w:blockQuote w:val="1"/>
                          <w:marLeft w:val="0"/>
                          <w:marRight w:val="0"/>
                          <w:marTop w:val="540"/>
                          <w:marBottom w:val="540"/>
                          <w:divBdr>
                            <w:top w:val="none" w:sz="0" w:space="0" w:color="auto"/>
                            <w:left w:val="none" w:sz="0" w:space="0" w:color="auto"/>
                            <w:bottom w:val="none" w:sz="0" w:space="0" w:color="auto"/>
                            <w:right w:val="none" w:sz="0" w:space="0" w:color="auto"/>
                          </w:divBdr>
                        </w:div>
                        <w:div w:id="1043822568">
                          <w:blockQuote w:val="1"/>
                          <w:marLeft w:val="0"/>
                          <w:marRight w:val="0"/>
                          <w:marTop w:val="540"/>
                          <w:marBottom w:val="540"/>
                          <w:divBdr>
                            <w:top w:val="none" w:sz="0" w:space="0" w:color="auto"/>
                            <w:left w:val="none" w:sz="0" w:space="0" w:color="auto"/>
                            <w:bottom w:val="none" w:sz="0" w:space="0" w:color="auto"/>
                            <w:right w:val="none" w:sz="0" w:space="0" w:color="auto"/>
                          </w:divBdr>
                        </w:div>
                        <w:div w:id="874804467">
                          <w:blockQuote w:val="1"/>
                          <w:marLeft w:val="0"/>
                          <w:marRight w:val="0"/>
                          <w:marTop w:val="540"/>
                          <w:marBottom w:val="540"/>
                          <w:divBdr>
                            <w:top w:val="none" w:sz="0" w:space="0" w:color="auto"/>
                            <w:left w:val="none" w:sz="0" w:space="0" w:color="auto"/>
                            <w:bottom w:val="none" w:sz="0" w:space="0" w:color="auto"/>
                            <w:right w:val="none" w:sz="0" w:space="0" w:color="auto"/>
                          </w:divBdr>
                        </w:div>
                        <w:div w:id="986327481">
                          <w:blockQuote w:val="1"/>
                          <w:marLeft w:val="0"/>
                          <w:marRight w:val="0"/>
                          <w:marTop w:val="540"/>
                          <w:marBottom w:val="540"/>
                          <w:divBdr>
                            <w:top w:val="none" w:sz="0" w:space="0" w:color="auto"/>
                            <w:left w:val="none" w:sz="0" w:space="0" w:color="auto"/>
                            <w:bottom w:val="none" w:sz="0" w:space="0" w:color="auto"/>
                            <w:right w:val="none" w:sz="0" w:space="0" w:color="auto"/>
                          </w:divBdr>
                        </w:div>
                        <w:div w:id="1154489196">
                          <w:blockQuote w:val="1"/>
                          <w:marLeft w:val="0"/>
                          <w:marRight w:val="0"/>
                          <w:marTop w:val="540"/>
                          <w:marBottom w:val="540"/>
                          <w:divBdr>
                            <w:top w:val="none" w:sz="0" w:space="0" w:color="auto"/>
                            <w:left w:val="none" w:sz="0" w:space="0" w:color="auto"/>
                            <w:bottom w:val="none" w:sz="0" w:space="0" w:color="auto"/>
                            <w:right w:val="none" w:sz="0" w:space="0" w:color="auto"/>
                          </w:divBdr>
                        </w:div>
                        <w:div w:id="274677683">
                          <w:blockQuote w:val="1"/>
                          <w:marLeft w:val="0"/>
                          <w:marRight w:val="0"/>
                          <w:marTop w:val="540"/>
                          <w:marBottom w:val="540"/>
                          <w:divBdr>
                            <w:top w:val="none" w:sz="0" w:space="0" w:color="auto"/>
                            <w:left w:val="none" w:sz="0" w:space="0" w:color="auto"/>
                            <w:bottom w:val="none" w:sz="0" w:space="0" w:color="auto"/>
                            <w:right w:val="none" w:sz="0" w:space="0" w:color="auto"/>
                          </w:divBdr>
                        </w:div>
                        <w:div w:id="1439526173">
                          <w:blockQuote w:val="1"/>
                          <w:marLeft w:val="0"/>
                          <w:marRight w:val="0"/>
                          <w:marTop w:val="540"/>
                          <w:marBottom w:val="540"/>
                          <w:divBdr>
                            <w:top w:val="none" w:sz="0" w:space="0" w:color="auto"/>
                            <w:left w:val="none" w:sz="0" w:space="0" w:color="auto"/>
                            <w:bottom w:val="none" w:sz="0" w:space="0" w:color="auto"/>
                            <w:right w:val="none" w:sz="0" w:space="0" w:color="auto"/>
                          </w:divBdr>
                        </w:div>
                        <w:div w:id="187648222">
                          <w:blockQuote w:val="1"/>
                          <w:marLeft w:val="0"/>
                          <w:marRight w:val="0"/>
                          <w:marTop w:val="540"/>
                          <w:marBottom w:val="540"/>
                          <w:divBdr>
                            <w:top w:val="none" w:sz="0" w:space="0" w:color="auto"/>
                            <w:left w:val="none" w:sz="0" w:space="0" w:color="auto"/>
                            <w:bottom w:val="none" w:sz="0" w:space="0" w:color="auto"/>
                            <w:right w:val="none" w:sz="0" w:space="0" w:color="auto"/>
                          </w:divBdr>
                        </w:div>
                        <w:div w:id="136992593">
                          <w:blockQuote w:val="1"/>
                          <w:marLeft w:val="0"/>
                          <w:marRight w:val="0"/>
                          <w:marTop w:val="540"/>
                          <w:marBottom w:val="540"/>
                          <w:divBdr>
                            <w:top w:val="none" w:sz="0" w:space="0" w:color="auto"/>
                            <w:left w:val="none" w:sz="0" w:space="0" w:color="auto"/>
                            <w:bottom w:val="none" w:sz="0" w:space="0" w:color="auto"/>
                            <w:right w:val="none" w:sz="0" w:space="0" w:color="auto"/>
                          </w:divBdr>
                        </w:div>
                        <w:div w:id="1461992112">
                          <w:blockQuote w:val="1"/>
                          <w:marLeft w:val="0"/>
                          <w:marRight w:val="0"/>
                          <w:marTop w:val="540"/>
                          <w:marBottom w:val="540"/>
                          <w:divBdr>
                            <w:top w:val="none" w:sz="0" w:space="0" w:color="auto"/>
                            <w:left w:val="none" w:sz="0" w:space="0" w:color="auto"/>
                            <w:bottom w:val="none" w:sz="0" w:space="0" w:color="auto"/>
                            <w:right w:val="none" w:sz="0" w:space="0" w:color="auto"/>
                          </w:divBdr>
                        </w:div>
                        <w:div w:id="355085040">
                          <w:blockQuote w:val="1"/>
                          <w:marLeft w:val="0"/>
                          <w:marRight w:val="0"/>
                          <w:marTop w:val="540"/>
                          <w:marBottom w:val="540"/>
                          <w:divBdr>
                            <w:top w:val="none" w:sz="0" w:space="0" w:color="auto"/>
                            <w:left w:val="none" w:sz="0" w:space="0" w:color="auto"/>
                            <w:bottom w:val="none" w:sz="0" w:space="0" w:color="auto"/>
                            <w:right w:val="none" w:sz="0" w:space="0" w:color="auto"/>
                          </w:divBdr>
                        </w:div>
                        <w:div w:id="1494760502">
                          <w:blockQuote w:val="1"/>
                          <w:marLeft w:val="0"/>
                          <w:marRight w:val="0"/>
                          <w:marTop w:val="540"/>
                          <w:marBottom w:val="540"/>
                          <w:divBdr>
                            <w:top w:val="none" w:sz="0" w:space="0" w:color="auto"/>
                            <w:left w:val="none" w:sz="0" w:space="0" w:color="auto"/>
                            <w:bottom w:val="none" w:sz="0" w:space="0" w:color="auto"/>
                            <w:right w:val="none" w:sz="0" w:space="0" w:color="auto"/>
                          </w:divBdr>
                        </w:div>
                        <w:div w:id="145754749">
                          <w:blockQuote w:val="1"/>
                          <w:marLeft w:val="0"/>
                          <w:marRight w:val="0"/>
                          <w:marTop w:val="540"/>
                          <w:marBottom w:val="540"/>
                          <w:divBdr>
                            <w:top w:val="none" w:sz="0" w:space="0" w:color="auto"/>
                            <w:left w:val="none" w:sz="0" w:space="0" w:color="auto"/>
                            <w:bottom w:val="none" w:sz="0" w:space="0" w:color="auto"/>
                            <w:right w:val="none" w:sz="0" w:space="0" w:color="auto"/>
                          </w:divBdr>
                        </w:div>
                        <w:div w:id="1881160706">
                          <w:blockQuote w:val="1"/>
                          <w:marLeft w:val="0"/>
                          <w:marRight w:val="0"/>
                          <w:marTop w:val="540"/>
                          <w:marBottom w:val="540"/>
                          <w:divBdr>
                            <w:top w:val="none" w:sz="0" w:space="0" w:color="auto"/>
                            <w:left w:val="none" w:sz="0" w:space="0" w:color="auto"/>
                            <w:bottom w:val="none" w:sz="0" w:space="0" w:color="auto"/>
                            <w:right w:val="none" w:sz="0" w:space="0" w:color="auto"/>
                          </w:divBdr>
                        </w:div>
                        <w:div w:id="921571076">
                          <w:blockQuote w:val="1"/>
                          <w:marLeft w:val="0"/>
                          <w:marRight w:val="0"/>
                          <w:marTop w:val="540"/>
                          <w:marBottom w:val="540"/>
                          <w:divBdr>
                            <w:top w:val="none" w:sz="0" w:space="0" w:color="auto"/>
                            <w:left w:val="none" w:sz="0" w:space="0" w:color="auto"/>
                            <w:bottom w:val="none" w:sz="0" w:space="0" w:color="auto"/>
                            <w:right w:val="none" w:sz="0" w:space="0" w:color="auto"/>
                          </w:divBdr>
                        </w:div>
                        <w:div w:id="197742369">
                          <w:blockQuote w:val="1"/>
                          <w:marLeft w:val="0"/>
                          <w:marRight w:val="0"/>
                          <w:marTop w:val="540"/>
                          <w:marBottom w:val="540"/>
                          <w:divBdr>
                            <w:top w:val="none" w:sz="0" w:space="0" w:color="auto"/>
                            <w:left w:val="none" w:sz="0" w:space="0" w:color="auto"/>
                            <w:bottom w:val="none" w:sz="0" w:space="0" w:color="auto"/>
                            <w:right w:val="none" w:sz="0" w:space="0" w:color="auto"/>
                          </w:divBdr>
                        </w:div>
                        <w:div w:id="1417509867">
                          <w:blockQuote w:val="1"/>
                          <w:marLeft w:val="0"/>
                          <w:marRight w:val="0"/>
                          <w:marTop w:val="540"/>
                          <w:marBottom w:val="540"/>
                          <w:divBdr>
                            <w:top w:val="none" w:sz="0" w:space="0" w:color="auto"/>
                            <w:left w:val="none" w:sz="0" w:space="0" w:color="auto"/>
                            <w:bottom w:val="none" w:sz="0" w:space="0" w:color="auto"/>
                            <w:right w:val="none" w:sz="0" w:space="0" w:color="auto"/>
                          </w:divBdr>
                        </w:div>
                        <w:div w:id="359890687">
                          <w:blockQuote w:val="1"/>
                          <w:marLeft w:val="0"/>
                          <w:marRight w:val="0"/>
                          <w:marTop w:val="540"/>
                          <w:marBottom w:val="540"/>
                          <w:divBdr>
                            <w:top w:val="none" w:sz="0" w:space="0" w:color="auto"/>
                            <w:left w:val="none" w:sz="0" w:space="0" w:color="auto"/>
                            <w:bottom w:val="none" w:sz="0" w:space="0" w:color="auto"/>
                            <w:right w:val="none" w:sz="0" w:space="0" w:color="auto"/>
                          </w:divBdr>
                        </w:div>
                        <w:div w:id="952519672">
                          <w:blockQuote w:val="1"/>
                          <w:marLeft w:val="0"/>
                          <w:marRight w:val="0"/>
                          <w:marTop w:val="540"/>
                          <w:marBottom w:val="540"/>
                          <w:divBdr>
                            <w:top w:val="none" w:sz="0" w:space="0" w:color="auto"/>
                            <w:left w:val="none" w:sz="0" w:space="0" w:color="auto"/>
                            <w:bottom w:val="none" w:sz="0" w:space="0" w:color="auto"/>
                            <w:right w:val="none" w:sz="0" w:space="0" w:color="auto"/>
                          </w:divBdr>
                        </w:div>
                        <w:div w:id="251938703">
                          <w:blockQuote w:val="1"/>
                          <w:marLeft w:val="0"/>
                          <w:marRight w:val="0"/>
                          <w:marTop w:val="540"/>
                          <w:marBottom w:val="540"/>
                          <w:divBdr>
                            <w:top w:val="none" w:sz="0" w:space="0" w:color="auto"/>
                            <w:left w:val="none" w:sz="0" w:space="0" w:color="auto"/>
                            <w:bottom w:val="none" w:sz="0" w:space="0" w:color="auto"/>
                            <w:right w:val="none" w:sz="0" w:space="0" w:color="auto"/>
                          </w:divBdr>
                        </w:div>
                        <w:div w:id="1634943846">
                          <w:blockQuote w:val="1"/>
                          <w:marLeft w:val="0"/>
                          <w:marRight w:val="0"/>
                          <w:marTop w:val="540"/>
                          <w:marBottom w:val="540"/>
                          <w:divBdr>
                            <w:top w:val="none" w:sz="0" w:space="0" w:color="auto"/>
                            <w:left w:val="none" w:sz="0" w:space="0" w:color="auto"/>
                            <w:bottom w:val="none" w:sz="0" w:space="0" w:color="auto"/>
                            <w:right w:val="none" w:sz="0" w:space="0" w:color="auto"/>
                          </w:divBdr>
                        </w:div>
                        <w:div w:id="1149715538">
                          <w:blockQuote w:val="1"/>
                          <w:marLeft w:val="0"/>
                          <w:marRight w:val="0"/>
                          <w:marTop w:val="540"/>
                          <w:marBottom w:val="540"/>
                          <w:divBdr>
                            <w:top w:val="none" w:sz="0" w:space="0" w:color="auto"/>
                            <w:left w:val="none" w:sz="0" w:space="0" w:color="auto"/>
                            <w:bottom w:val="none" w:sz="0" w:space="0" w:color="auto"/>
                            <w:right w:val="none" w:sz="0" w:space="0" w:color="auto"/>
                          </w:divBdr>
                        </w:div>
                        <w:div w:id="427972418">
                          <w:blockQuote w:val="1"/>
                          <w:marLeft w:val="0"/>
                          <w:marRight w:val="0"/>
                          <w:marTop w:val="540"/>
                          <w:marBottom w:val="540"/>
                          <w:divBdr>
                            <w:top w:val="none" w:sz="0" w:space="0" w:color="auto"/>
                            <w:left w:val="none" w:sz="0" w:space="0" w:color="auto"/>
                            <w:bottom w:val="none" w:sz="0" w:space="0" w:color="auto"/>
                            <w:right w:val="none" w:sz="0" w:space="0" w:color="auto"/>
                          </w:divBdr>
                        </w:div>
                        <w:div w:id="670838809">
                          <w:blockQuote w:val="1"/>
                          <w:marLeft w:val="0"/>
                          <w:marRight w:val="0"/>
                          <w:marTop w:val="540"/>
                          <w:marBottom w:val="540"/>
                          <w:divBdr>
                            <w:top w:val="none" w:sz="0" w:space="0" w:color="auto"/>
                            <w:left w:val="none" w:sz="0" w:space="0" w:color="auto"/>
                            <w:bottom w:val="none" w:sz="0" w:space="0" w:color="auto"/>
                            <w:right w:val="none" w:sz="0" w:space="0" w:color="auto"/>
                          </w:divBdr>
                        </w:div>
                        <w:div w:id="937713295">
                          <w:blockQuote w:val="1"/>
                          <w:marLeft w:val="0"/>
                          <w:marRight w:val="0"/>
                          <w:marTop w:val="540"/>
                          <w:marBottom w:val="540"/>
                          <w:divBdr>
                            <w:top w:val="none" w:sz="0" w:space="0" w:color="auto"/>
                            <w:left w:val="none" w:sz="0" w:space="0" w:color="auto"/>
                            <w:bottom w:val="none" w:sz="0" w:space="0" w:color="auto"/>
                            <w:right w:val="none" w:sz="0" w:space="0" w:color="auto"/>
                          </w:divBdr>
                        </w:div>
                        <w:div w:id="821119904">
                          <w:blockQuote w:val="1"/>
                          <w:marLeft w:val="0"/>
                          <w:marRight w:val="0"/>
                          <w:marTop w:val="540"/>
                          <w:marBottom w:val="540"/>
                          <w:divBdr>
                            <w:top w:val="none" w:sz="0" w:space="0" w:color="auto"/>
                            <w:left w:val="none" w:sz="0" w:space="0" w:color="auto"/>
                            <w:bottom w:val="none" w:sz="0" w:space="0" w:color="auto"/>
                            <w:right w:val="none" w:sz="0" w:space="0" w:color="auto"/>
                          </w:divBdr>
                        </w:div>
                        <w:div w:id="1632589064">
                          <w:blockQuote w:val="1"/>
                          <w:marLeft w:val="0"/>
                          <w:marRight w:val="0"/>
                          <w:marTop w:val="540"/>
                          <w:marBottom w:val="540"/>
                          <w:divBdr>
                            <w:top w:val="none" w:sz="0" w:space="0" w:color="auto"/>
                            <w:left w:val="none" w:sz="0" w:space="0" w:color="auto"/>
                            <w:bottom w:val="none" w:sz="0" w:space="0" w:color="auto"/>
                            <w:right w:val="none" w:sz="0" w:space="0" w:color="auto"/>
                          </w:divBdr>
                        </w:div>
                        <w:div w:id="768043346">
                          <w:blockQuote w:val="1"/>
                          <w:marLeft w:val="0"/>
                          <w:marRight w:val="0"/>
                          <w:marTop w:val="540"/>
                          <w:marBottom w:val="540"/>
                          <w:divBdr>
                            <w:top w:val="none" w:sz="0" w:space="0" w:color="auto"/>
                            <w:left w:val="none" w:sz="0" w:space="0" w:color="auto"/>
                            <w:bottom w:val="none" w:sz="0" w:space="0" w:color="auto"/>
                            <w:right w:val="none" w:sz="0" w:space="0" w:color="auto"/>
                          </w:divBdr>
                        </w:div>
                        <w:div w:id="110251635">
                          <w:blockQuote w:val="1"/>
                          <w:marLeft w:val="0"/>
                          <w:marRight w:val="0"/>
                          <w:marTop w:val="540"/>
                          <w:marBottom w:val="540"/>
                          <w:divBdr>
                            <w:top w:val="none" w:sz="0" w:space="0" w:color="auto"/>
                            <w:left w:val="none" w:sz="0" w:space="0" w:color="auto"/>
                            <w:bottom w:val="none" w:sz="0" w:space="0" w:color="auto"/>
                            <w:right w:val="none" w:sz="0" w:space="0" w:color="auto"/>
                          </w:divBdr>
                        </w:div>
                        <w:div w:id="758597223">
                          <w:blockQuote w:val="1"/>
                          <w:marLeft w:val="0"/>
                          <w:marRight w:val="0"/>
                          <w:marTop w:val="540"/>
                          <w:marBottom w:val="540"/>
                          <w:divBdr>
                            <w:top w:val="none" w:sz="0" w:space="0" w:color="auto"/>
                            <w:left w:val="none" w:sz="0" w:space="0" w:color="auto"/>
                            <w:bottom w:val="none" w:sz="0" w:space="0" w:color="auto"/>
                            <w:right w:val="none" w:sz="0" w:space="0" w:color="auto"/>
                          </w:divBdr>
                        </w:div>
                        <w:div w:id="1987473490">
                          <w:blockQuote w:val="1"/>
                          <w:marLeft w:val="0"/>
                          <w:marRight w:val="0"/>
                          <w:marTop w:val="540"/>
                          <w:marBottom w:val="540"/>
                          <w:divBdr>
                            <w:top w:val="none" w:sz="0" w:space="0" w:color="auto"/>
                            <w:left w:val="none" w:sz="0" w:space="0" w:color="auto"/>
                            <w:bottom w:val="none" w:sz="0" w:space="0" w:color="auto"/>
                            <w:right w:val="none" w:sz="0" w:space="0" w:color="auto"/>
                          </w:divBdr>
                        </w:div>
                        <w:div w:id="601914101">
                          <w:blockQuote w:val="1"/>
                          <w:marLeft w:val="0"/>
                          <w:marRight w:val="0"/>
                          <w:marTop w:val="540"/>
                          <w:marBottom w:val="540"/>
                          <w:divBdr>
                            <w:top w:val="none" w:sz="0" w:space="0" w:color="auto"/>
                            <w:left w:val="none" w:sz="0" w:space="0" w:color="auto"/>
                            <w:bottom w:val="none" w:sz="0" w:space="0" w:color="auto"/>
                            <w:right w:val="none" w:sz="0" w:space="0" w:color="auto"/>
                          </w:divBdr>
                        </w:div>
                        <w:div w:id="1054352981">
                          <w:blockQuote w:val="1"/>
                          <w:marLeft w:val="0"/>
                          <w:marRight w:val="0"/>
                          <w:marTop w:val="540"/>
                          <w:marBottom w:val="540"/>
                          <w:divBdr>
                            <w:top w:val="none" w:sz="0" w:space="0" w:color="auto"/>
                            <w:left w:val="none" w:sz="0" w:space="0" w:color="auto"/>
                            <w:bottom w:val="none" w:sz="0" w:space="0" w:color="auto"/>
                            <w:right w:val="none" w:sz="0" w:space="0" w:color="auto"/>
                          </w:divBdr>
                        </w:div>
                        <w:div w:id="389496571">
                          <w:blockQuote w:val="1"/>
                          <w:marLeft w:val="0"/>
                          <w:marRight w:val="0"/>
                          <w:marTop w:val="540"/>
                          <w:marBottom w:val="540"/>
                          <w:divBdr>
                            <w:top w:val="none" w:sz="0" w:space="0" w:color="auto"/>
                            <w:left w:val="none" w:sz="0" w:space="0" w:color="auto"/>
                            <w:bottom w:val="none" w:sz="0" w:space="0" w:color="auto"/>
                            <w:right w:val="none" w:sz="0" w:space="0" w:color="auto"/>
                          </w:divBdr>
                        </w:div>
                        <w:div w:id="1088886480">
                          <w:blockQuote w:val="1"/>
                          <w:marLeft w:val="0"/>
                          <w:marRight w:val="0"/>
                          <w:marTop w:val="540"/>
                          <w:marBottom w:val="540"/>
                          <w:divBdr>
                            <w:top w:val="none" w:sz="0" w:space="0" w:color="auto"/>
                            <w:left w:val="none" w:sz="0" w:space="0" w:color="auto"/>
                            <w:bottom w:val="none" w:sz="0" w:space="0" w:color="auto"/>
                            <w:right w:val="none" w:sz="0" w:space="0" w:color="auto"/>
                          </w:divBdr>
                        </w:div>
                      </w:divsChild>
                    </w:div>
                  </w:divsChild>
                </w:div>
              </w:divsChild>
            </w:div>
          </w:divsChild>
        </w:div>
        <w:div w:id="695615642">
          <w:marLeft w:val="0"/>
          <w:marRight w:val="0"/>
          <w:marTop w:val="240"/>
          <w:marBottom w:val="720"/>
          <w:divBdr>
            <w:top w:val="none" w:sz="0" w:space="0" w:color="auto"/>
            <w:left w:val="none" w:sz="0" w:space="0" w:color="auto"/>
            <w:bottom w:val="none" w:sz="0" w:space="0" w:color="auto"/>
            <w:right w:val="none" w:sz="0" w:space="0" w:color="auto"/>
          </w:divBdr>
          <w:divsChild>
            <w:div w:id="1388645057">
              <w:marLeft w:val="0"/>
              <w:marRight w:val="0"/>
              <w:marTop w:val="0"/>
              <w:marBottom w:val="0"/>
              <w:divBdr>
                <w:top w:val="none" w:sz="0" w:space="0" w:color="auto"/>
                <w:left w:val="none" w:sz="0" w:space="0" w:color="auto"/>
                <w:bottom w:val="none" w:sz="0" w:space="0" w:color="auto"/>
                <w:right w:val="none" w:sz="0" w:space="0" w:color="auto"/>
              </w:divBdr>
              <w:divsChild>
                <w:div w:id="2026511998">
                  <w:marLeft w:val="0"/>
                  <w:marRight w:val="0"/>
                  <w:marTop w:val="0"/>
                  <w:marBottom w:val="0"/>
                  <w:divBdr>
                    <w:top w:val="none" w:sz="0" w:space="0" w:color="auto"/>
                    <w:left w:val="none" w:sz="0" w:space="0" w:color="auto"/>
                    <w:bottom w:val="none" w:sz="0" w:space="0" w:color="auto"/>
                    <w:right w:val="none" w:sz="0" w:space="0" w:color="auto"/>
                  </w:divBdr>
                  <w:divsChild>
                    <w:div w:id="980117007">
                      <w:marLeft w:val="0"/>
                      <w:marRight w:val="0"/>
                      <w:marTop w:val="0"/>
                      <w:marBottom w:val="0"/>
                      <w:divBdr>
                        <w:top w:val="none" w:sz="0" w:space="0" w:color="auto"/>
                        <w:left w:val="none" w:sz="0" w:space="0" w:color="auto"/>
                        <w:bottom w:val="none" w:sz="0" w:space="0" w:color="auto"/>
                        <w:right w:val="none" w:sz="0" w:space="0" w:color="auto"/>
                      </w:divBdr>
                      <w:divsChild>
                        <w:div w:id="2119327485">
                          <w:marLeft w:val="0"/>
                          <w:marRight w:val="0"/>
                          <w:marTop w:val="0"/>
                          <w:marBottom w:val="0"/>
                          <w:divBdr>
                            <w:top w:val="none" w:sz="0" w:space="0" w:color="auto"/>
                            <w:left w:val="none" w:sz="0" w:space="0" w:color="auto"/>
                            <w:bottom w:val="none" w:sz="0" w:space="0" w:color="auto"/>
                            <w:right w:val="none" w:sz="0" w:space="0" w:color="auto"/>
                          </w:divBdr>
                        </w:div>
                      </w:divsChild>
                    </w:div>
                    <w:div w:id="570624124">
                      <w:marLeft w:val="0"/>
                      <w:marRight w:val="0"/>
                      <w:marTop w:val="0"/>
                      <w:marBottom w:val="0"/>
                      <w:divBdr>
                        <w:top w:val="none" w:sz="0" w:space="0" w:color="auto"/>
                        <w:left w:val="none" w:sz="0" w:space="0" w:color="auto"/>
                        <w:bottom w:val="none" w:sz="0" w:space="0" w:color="auto"/>
                        <w:right w:val="none" w:sz="0" w:space="0" w:color="auto"/>
                      </w:divBdr>
                      <w:divsChild>
                        <w:div w:id="906185490">
                          <w:marLeft w:val="0"/>
                          <w:marRight w:val="0"/>
                          <w:marTop w:val="0"/>
                          <w:marBottom w:val="0"/>
                          <w:divBdr>
                            <w:top w:val="none" w:sz="0" w:space="0" w:color="auto"/>
                            <w:left w:val="none" w:sz="0" w:space="0" w:color="auto"/>
                            <w:bottom w:val="none" w:sz="0" w:space="0" w:color="auto"/>
                            <w:right w:val="none" w:sz="0" w:space="0" w:color="auto"/>
                          </w:divBdr>
                        </w:div>
                      </w:divsChild>
                    </w:div>
                    <w:div w:id="2036150225">
                      <w:marLeft w:val="0"/>
                      <w:marRight w:val="0"/>
                      <w:marTop w:val="0"/>
                      <w:marBottom w:val="0"/>
                      <w:divBdr>
                        <w:top w:val="none" w:sz="0" w:space="0" w:color="auto"/>
                        <w:left w:val="none" w:sz="0" w:space="0" w:color="auto"/>
                        <w:bottom w:val="none" w:sz="0" w:space="0" w:color="auto"/>
                        <w:right w:val="none" w:sz="0" w:space="0" w:color="auto"/>
                      </w:divBdr>
                      <w:divsChild>
                        <w:div w:id="1485465891">
                          <w:marLeft w:val="0"/>
                          <w:marRight w:val="0"/>
                          <w:marTop w:val="0"/>
                          <w:marBottom w:val="0"/>
                          <w:divBdr>
                            <w:top w:val="none" w:sz="0" w:space="0" w:color="auto"/>
                            <w:left w:val="none" w:sz="0" w:space="0" w:color="auto"/>
                            <w:bottom w:val="none" w:sz="0" w:space="0" w:color="auto"/>
                            <w:right w:val="none" w:sz="0" w:space="0" w:color="auto"/>
                          </w:divBdr>
                        </w:div>
                      </w:divsChild>
                    </w:div>
                    <w:div w:id="1421372012">
                      <w:marLeft w:val="0"/>
                      <w:marRight w:val="0"/>
                      <w:marTop w:val="0"/>
                      <w:marBottom w:val="0"/>
                      <w:divBdr>
                        <w:top w:val="none" w:sz="0" w:space="0" w:color="auto"/>
                        <w:left w:val="none" w:sz="0" w:space="0" w:color="auto"/>
                        <w:bottom w:val="none" w:sz="0" w:space="0" w:color="auto"/>
                        <w:right w:val="none" w:sz="0" w:space="0" w:color="auto"/>
                      </w:divBdr>
                      <w:divsChild>
                        <w:div w:id="1381785729">
                          <w:marLeft w:val="0"/>
                          <w:marRight w:val="0"/>
                          <w:marTop w:val="0"/>
                          <w:marBottom w:val="0"/>
                          <w:divBdr>
                            <w:top w:val="none" w:sz="0" w:space="0" w:color="auto"/>
                            <w:left w:val="none" w:sz="0" w:space="0" w:color="auto"/>
                            <w:bottom w:val="none" w:sz="0" w:space="0" w:color="auto"/>
                            <w:right w:val="none" w:sz="0" w:space="0" w:color="auto"/>
                          </w:divBdr>
                        </w:div>
                      </w:divsChild>
                    </w:div>
                    <w:div w:id="374426172">
                      <w:marLeft w:val="0"/>
                      <w:marRight w:val="0"/>
                      <w:marTop w:val="0"/>
                      <w:marBottom w:val="0"/>
                      <w:divBdr>
                        <w:top w:val="none" w:sz="0" w:space="0" w:color="auto"/>
                        <w:left w:val="none" w:sz="0" w:space="0" w:color="auto"/>
                        <w:bottom w:val="none" w:sz="0" w:space="0" w:color="auto"/>
                        <w:right w:val="none" w:sz="0" w:space="0" w:color="auto"/>
                      </w:divBdr>
                      <w:divsChild>
                        <w:div w:id="1006900680">
                          <w:marLeft w:val="0"/>
                          <w:marRight w:val="0"/>
                          <w:marTop w:val="0"/>
                          <w:marBottom w:val="0"/>
                          <w:divBdr>
                            <w:top w:val="none" w:sz="0" w:space="0" w:color="auto"/>
                            <w:left w:val="none" w:sz="0" w:space="0" w:color="auto"/>
                            <w:bottom w:val="none" w:sz="0" w:space="0" w:color="auto"/>
                            <w:right w:val="none" w:sz="0" w:space="0" w:color="auto"/>
                          </w:divBdr>
                        </w:div>
                      </w:divsChild>
                    </w:div>
                    <w:div w:id="709299833">
                      <w:marLeft w:val="0"/>
                      <w:marRight w:val="0"/>
                      <w:marTop w:val="0"/>
                      <w:marBottom w:val="0"/>
                      <w:divBdr>
                        <w:top w:val="none" w:sz="0" w:space="0" w:color="auto"/>
                        <w:left w:val="none" w:sz="0" w:space="0" w:color="auto"/>
                        <w:bottom w:val="none" w:sz="0" w:space="0" w:color="auto"/>
                        <w:right w:val="none" w:sz="0" w:space="0" w:color="auto"/>
                      </w:divBdr>
                      <w:divsChild>
                        <w:div w:id="1339770012">
                          <w:marLeft w:val="0"/>
                          <w:marRight w:val="0"/>
                          <w:marTop w:val="0"/>
                          <w:marBottom w:val="0"/>
                          <w:divBdr>
                            <w:top w:val="none" w:sz="0" w:space="0" w:color="auto"/>
                            <w:left w:val="none" w:sz="0" w:space="0" w:color="auto"/>
                            <w:bottom w:val="none" w:sz="0" w:space="0" w:color="auto"/>
                            <w:right w:val="none" w:sz="0" w:space="0" w:color="auto"/>
                          </w:divBdr>
                        </w:div>
                      </w:divsChild>
                    </w:div>
                    <w:div w:id="780493701">
                      <w:marLeft w:val="0"/>
                      <w:marRight w:val="0"/>
                      <w:marTop w:val="0"/>
                      <w:marBottom w:val="0"/>
                      <w:divBdr>
                        <w:top w:val="none" w:sz="0" w:space="0" w:color="auto"/>
                        <w:left w:val="none" w:sz="0" w:space="0" w:color="auto"/>
                        <w:bottom w:val="none" w:sz="0" w:space="0" w:color="auto"/>
                        <w:right w:val="none" w:sz="0" w:space="0" w:color="auto"/>
                      </w:divBdr>
                      <w:divsChild>
                        <w:div w:id="9063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6018">
          <w:marLeft w:val="0"/>
          <w:marRight w:val="0"/>
          <w:marTop w:val="240"/>
          <w:marBottom w:val="240"/>
          <w:divBdr>
            <w:top w:val="none" w:sz="0" w:space="0" w:color="auto"/>
            <w:left w:val="none" w:sz="0" w:space="0" w:color="auto"/>
            <w:bottom w:val="none" w:sz="0" w:space="0" w:color="auto"/>
            <w:right w:val="none" w:sz="0" w:space="0" w:color="auto"/>
          </w:divBdr>
          <w:divsChild>
            <w:div w:id="2036496266">
              <w:marLeft w:val="0"/>
              <w:marRight w:val="0"/>
              <w:marTop w:val="0"/>
              <w:marBottom w:val="240"/>
              <w:divBdr>
                <w:top w:val="none" w:sz="0" w:space="0" w:color="auto"/>
                <w:left w:val="none" w:sz="0" w:space="0" w:color="auto"/>
                <w:bottom w:val="none" w:sz="0" w:space="0" w:color="auto"/>
                <w:right w:val="none" w:sz="0" w:space="0" w:color="auto"/>
              </w:divBdr>
              <w:divsChild>
                <w:div w:id="897713930">
                  <w:marLeft w:val="0"/>
                  <w:marRight w:val="0"/>
                  <w:marTop w:val="0"/>
                  <w:marBottom w:val="0"/>
                  <w:divBdr>
                    <w:top w:val="none" w:sz="0" w:space="0" w:color="auto"/>
                    <w:left w:val="none" w:sz="0" w:space="0" w:color="auto"/>
                    <w:bottom w:val="none" w:sz="0" w:space="0" w:color="auto"/>
                    <w:right w:val="none" w:sz="0" w:space="0" w:color="auto"/>
                  </w:divBdr>
                  <w:divsChild>
                    <w:div w:id="1877891296">
                      <w:marLeft w:val="0"/>
                      <w:marRight w:val="0"/>
                      <w:marTop w:val="0"/>
                      <w:marBottom w:val="0"/>
                      <w:divBdr>
                        <w:top w:val="none" w:sz="0" w:space="0" w:color="auto"/>
                        <w:left w:val="none" w:sz="0" w:space="0" w:color="auto"/>
                        <w:bottom w:val="none" w:sz="0" w:space="0" w:color="auto"/>
                        <w:right w:val="none" w:sz="0" w:space="0" w:color="auto"/>
                      </w:divBdr>
                      <w:divsChild>
                        <w:div w:id="21141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2553">
                  <w:marLeft w:val="0"/>
                  <w:marRight w:val="0"/>
                  <w:marTop w:val="120"/>
                  <w:marBottom w:val="0"/>
                  <w:divBdr>
                    <w:top w:val="none" w:sz="0" w:space="0" w:color="auto"/>
                    <w:left w:val="none" w:sz="0" w:space="0" w:color="auto"/>
                    <w:bottom w:val="none" w:sz="0" w:space="0" w:color="auto"/>
                    <w:right w:val="none" w:sz="0" w:space="0" w:color="auto"/>
                  </w:divBdr>
                  <w:divsChild>
                    <w:div w:id="419301834">
                      <w:marLeft w:val="0"/>
                      <w:marRight w:val="0"/>
                      <w:marTop w:val="0"/>
                      <w:marBottom w:val="0"/>
                      <w:divBdr>
                        <w:top w:val="none" w:sz="0" w:space="0" w:color="auto"/>
                        <w:left w:val="none" w:sz="0" w:space="0" w:color="auto"/>
                        <w:bottom w:val="none" w:sz="0" w:space="0" w:color="auto"/>
                        <w:right w:val="none" w:sz="0" w:space="0" w:color="auto"/>
                      </w:divBdr>
                      <w:divsChild>
                        <w:div w:id="409816747">
                          <w:marLeft w:val="0"/>
                          <w:marRight w:val="120"/>
                          <w:marTop w:val="0"/>
                          <w:marBottom w:val="0"/>
                          <w:divBdr>
                            <w:top w:val="none" w:sz="0" w:space="0" w:color="auto"/>
                            <w:left w:val="none" w:sz="0" w:space="0" w:color="auto"/>
                            <w:bottom w:val="none" w:sz="0" w:space="0" w:color="auto"/>
                            <w:right w:val="none" w:sz="0" w:space="0" w:color="auto"/>
                          </w:divBdr>
                          <w:divsChild>
                            <w:div w:id="2059236374">
                              <w:marLeft w:val="0"/>
                              <w:marRight w:val="0"/>
                              <w:marTop w:val="0"/>
                              <w:marBottom w:val="0"/>
                              <w:divBdr>
                                <w:top w:val="none" w:sz="0" w:space="0" w:color="auto"/>
                                <w:left w:val="none" w:sz="0" w:space="0" w:color="auto"/>
                                <w:bottom w:val="none" w:sz="0" w:space="0" w:color="auto"/>
                                <w:right w:val="none" w:sz="0" w:space="0" w:color="auto"/>
                              </w:divBdr>
                              <w:divsChild>
                                <w:div w:id="1993874764">
                                  <w:marLeft w:val="0"/>
                                  <w:marRight w:val="0"/>
                                  <w:marTop w:val="0"/>
                                  <w:marBottom w:val="0"/>
                                  <w:divBdr>
                                    <w:top w:val="none" w:sz="0" w:space="0" w:color="auto"/>
                                    <w:left w:val="none" w:sz="0" w:space="0" w:color="auto"/>
                                    <w:bottom w:val="none" w:sz="0" w:space="0" w:color="auto"/>
                                    <w:right w:val="none" w:sz="0" w:space="0" w:color="auto"/>
                                  </w:divBdr>
                                  <w:divsChild>
                                    <w:div w:id="1087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9357">
                  <w:marLeft w:val="0"/>
                  <w:marRight w:val="0"/>
                  <w:marTop w:val="120"/>
                  <w:marBottom w:val="0"/>
                  <w:divBdr>
                    <w:top w:val="none" w:sz="0" w:space="0" w:color="auto"/>
                    <w:left w:val="none" w:sz="0" w:space="0" w:color="auto"/>
                    <w:bottom w:val="none" w:sz="0" w:space="0" w:color="auto"/>
                    <w:right w:val="none" w:sz="0" w:space="0" w:color="auto"/>
                  </w:divBdr>
                  <w:divsChild>
                    <w:div w:id="1731033364">
                      <w:marLeft w:val="0"/>
                      <w:marRight w:val="0"/>
                      <w:marTop w:val="0"/>
                      <w:marBottom w:val="0"/>
                      <w:divBdr>
                        <w:top w:val="none" w:sz="0" w:space="0" w:color="auto"/>
                        <w:left w:val="none" w:sz="0" w:space="0" w:color="auto"/>
                        <w:bottom w:val="none" w:sz="0" w:space="0" w:color="auto"/>
                        <w:right w:val="none" w:sz="0" w:space="0" w:color="auto"/>
                      </w:divBdr>
                    </w:div>
                  </w:divsChild>
                </w:div>
                <w:div w:id="5353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46">
          <w:marLeft w:val="0"/>
          <w:marRight w:val="0"/>
          <w:marTop w:val="240"/>
          <w:marBottom w:val="480"/>
          <w:divBdr>
            <w:top w:val="none" w:sz="0" w:space="0" w:color="auto"/>
            <w:left w:val="none" w:sz="0" w:space="0" w:color="auto"/>
            <w:bottom w:val="none" w:sz="0" w:space="0" w:color="auto"/>
            <w:right w:val="none" w:sz="0" w:space="0" w:color="auto"/>
          </w:divBdr>
          <w:divsChild>
            <w:div w:id="1097822655">
              <w:marLeft w:val="0"/>
              <w:marRight w:val="0"/>
              <w:marTop w:val="0"/>
              <w:marBottom w:val="0"/>
              <w:divBdr>
                <w:top w:val="none" w:sz="0" w:space="0" w:color="auto"/>
                <w:left w:val="none" w:sz="0" w:space="0" w:color="auto"/>
                <w:bottom w:val="none" w:sz="0" w:space="0" w:color="auto"/>
                <w:right w:val="none" w:sz="0" w:space="0" w:color="auto"/>
              </w:divBdr>
              <w:divsChild>
                <w:div w:id="502866398">
                  <w:marLeft w:val="0"/>
                  <w:marRight w:val="0"/>
                  <w:marTop w:val="0"/>
                  <w:marBottom w:val="240"/>
                  <w:divBdr>
                    <w:top w:val="none" w:sz="0" w:space="0" w:color="auto"/>
                    <w:left w:val="none" w:sz="0" w:space="0" w:color="auto"/>
                    <w:bottom w:val="none" w:sz="0" w:space="0" w:color="auto"/>
                    <w:right w:val="none" w:sz="0" w:space="0" w:color="auto"/>
                  </w:divBdr>
                </w:div>
                <w:div w:id="1025525079">
                  <w:marLeft w:val="0"/>
                  <w:marRight w:val="0"/>
                  <w:marTop w:val="0"/>
                  <w:marBottom w:val="0"/>
                  <w:divBdr>
                    <w:top w:val="none" w:sz="0" w:space="0" w:color="auto"/>
                    <w:left w:val="none" w:sz="0" w:space="0" w:color="auto"/>
                    <w:bottom w:val="none" w:sz="0" w:space="0" w:color="auto"/>
                    <w:right w:val="none" w:sz="0" w:space="0" w:color="auto"/>
                  </w:divBdr>
                  <w:divsChild>
                    <w:div w:id="82995269">
                      <w:marLeft w:val="0"/>
                      <w:marRight w:val="0"/>
                      <w:marTop w:val="0"/>
                      <w:marBottom w:val="0"/>
                      <w:divBdr>
                        <w:top w:val="none" w:sz="0" w:space="0" w:color="auto"/>
                        <w:left w:val="none" w:sz="0" w:space="0" w:color="auto"/>
                        <w:bottom w:val="none" w:sz="0" w:space="0" w:color="auto"/>
                        <w:right w:val="none" w:sz="0" w:space="0" w:color="auto"/>
                      </w:divBdr>
                      <w:divsChild>
                        <w:div w:id="14658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21601">
          <w:marLeft w:val="0"/>
          <w:marRight w:val="0"/>
          <w:marTop w:val="480"/>
          <w:marBottom w:val="480"/>
          <w:divBdr>
            <w:top w:val="none" w:sz="0" w:space="0" w:color="auto"/>
            <w:left w:val="none" w:sz="0" w:space="0" w:color="auto"/>
            <w:bottom w:val="none" w:sz="0" w:space="0" w:color="auto"/>
            <w:right w:val="none" w:sz="0" w:space="0" w:color="auto"/>
          </w:divBdr>
          <w:divsChild>
            <w:div w:id="719480504">
              <w:marLeft w:val="0"/>
              <w:marRight w:val="0"/>
              <w:marTop w:val="0"/>
              <w:marBottom w:val="0"/>
              <w:divBdr>
                <w:top w:val="none" w:sz="0" w:space="0" w:color="auto"/>
                <w:left w:val="none" w:sz="0" w:space="0" w:color="auto"/>
                <w:bottom w:val="none" w:sz="0" w:space="0" w:color="auto"/>
                <w:right w:val="none" w:sz="0" w:space="0" w:color="auto"/>
              </w:divBdr>
              <w:divsChild>
                <w:div w:id="1726023074">
                  <w:marLeft w:val="0"/>
                  <w:marRight w:val="480"/>
                  <w:marTop w:val="0"/>
                  <w:marBottom w:val="0"/>
                  <w:divBdr>
                    <w:top w:val="none" w:sz="0" w:space="0" w:color="auto"/>
                    <w:left w:val="none" w:sz="0" w:space="0" w:color="auto"/>
                    <w:bottom w:val="none" w:sz="0" w:space="0" w:color="auto"/>
                    <w:right w:val="none" w:sz="0" w:space="0" w:color="auto"/>
                  </w:divBdr>
                  <w:divsChild>
                    <w:div w:id="1127622751">
                      <w:marLeft w:val="0"/>
                      <w:marRight w:val="0"/>
                      <w:marTop w:val="0"/>
                      <w:marBottom w:val="0"/>
                      <w:divBdr>
                        <w:top w:val="none" w:sz="0" w:space="0" w:color="auto"/>
                        <w:left w:val="none" w:sz="0" w:space="0" w:color="auto"/>
                        <w:bottom w:val="none" w:sz="0" w:space="0" w:color="auto"/>
                        <w:right w:val="none" w:sz="0" w:space="0" w:color="auto"/>
                      </w:divBdr>
                      <w:divsChild>
                        <w:div w:id="2140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757">
          <w:marLeft w:val="0"/>
          <w:marRight w:val="0"/>
          <w:marTop w:val="480"/>
          <w:marBottom w:val="480"/>
          <w:divBdr>
            <w:top w:val="none" w:sz="0" w:space="0" w:color="auto"/>
            <w:left w:val="none" w:sz="0" w:space="0" w:color="auto"/>
            <w:bottom w:val="none" w:sz="0" w:space="0" w:color="auto"/>
            <w:right w:val="none" w:sz="0" w:space="0" w:color="auto"/>
          </w:divBdr>
          <w:divsChild>
            <w:div w:id="645167049">
              <w:marLeft w:val="0"/>
              <w:marRight w:val="0"/>
              <w:marTop w:val="0"/>
              <w:marBottom w:val="0"/>
              <w:divBdr>
                <w:top w:val="none" w:sz="0" w:space="0" w:color="auto"/>
                <w:left w:val="none" w:sz="0" w:space="0" w:color="auto"/>
                <w:bottom w:val="none" w:sz="0" w:space="0" w:color="auto"/>
                <w:right w:val="none" w:sz="0" w:space="0" w:color="auto"/>
              </w:divBdr>
              <w:divsChild>
                <w:div w:id="470052229">
                  <w:marLeft w:val="0"/>
                  <w:marRight w:val="0"/>
                  <w:marTop w:val="0"/>
                  <w:marBottom w:val="0"/>
                  <w:divBdr>
                    <w:top w:val="none" w:sz="0" w:space="0" w:color="auto"/>
                    <w:left w:val="none" w:sz="0" w:space="0" w:color="auto"/>
                    <w:bottom w:val="none" w:sz="0" w:space="0" w:color="auto"/>
                    <w:right w:val="none" w:sz="0" w:space="0" w:color="auto"/>
                  </w:divBdr>
                </w:div>
              </w:divsChild>
            </w:div>
            <w:div w:id="1734813070">
              <w:marLeft w:val="240"/>
              <w:marRight w:val="0"/>
              <w:marTop w:val="0"/>
              <w:marBottom w:val="0"/>
              <w:divBdr>
                <w:top w:val="none" w:sz="0" w:space="0" w:color="auto"/>
                <w:left w:val="none" w:sz="0" w:space="0" w:color="auto"/>
                <w:bottom w:val="none" w:sz="0" w:space="0" w:color="auto"/>
                <w:right w:val="none" w:sz="0" w:space="0" w:color="auto"/>
              </w:divBdr>
              <w:divsChild>
                <w:div w:id="924344834">
                  <w:marLeft w:val="0"/>
                  <w:marRight w:val="0"/>
                  <w:marTop w:val="0"/>
                  <w:marBottom w:val="120"/>
                  <w:divBdr>
                    <w:top w:val="none" w:sz="0" w:space="0" w:color="auto"/>
                    <w:left w:val="none" w:sz="0" w:space="0" w:color="auto"/>
                    <w:bottom w:val="none" w:sz="0" w:space="0" w:color="auto"/>
                    <w:right w:val="none" w:sz="0" w:space="0" w:color="auto"/>
                  </w:divBdr>
                  <w:divsChild>
                    <w:div w:id="196620783">
                      <w:marLeft w:val="0"/>
                      <w:marRight w:val="0"/>
                      <w:marTop w:val="0"/>
                      <w:marBottom w:val="0"/>
                      <w:divBdr>
                        <w:top w:val="none" w:sz="0" w:space="0" w:color="auto"/>
                        <w:left w:val="none" w:sz="0" w:space="0" w:color="auto"/>
                        <w:bottom w:val="none" w:sz="0" w:space="0" w:color="auto"/>
                        <w:right w:val="none" w:sz="0" w:space="0" w:color="auto"/>
                      </w:divBdr>
                    </w:div>
                    <w:div w:id="809328885">
                      <w:marLeft w:val="240"/>
                      <w:marRight w:val="0"/>
                      <w:marTop w:val="0"/>
                      <w:marBottom w:val="0"/>
                      <w:divBdr>
                        <w:top w:val="none" w:sz="0" w:space="0" w:color="auto"/>
                        <w:left w:val="none" w:sz="0" w:space="0" w:color="auto"/>
                        <w:bottom w:val="none" w:sz="0" w:space="0" w:color="auto"/>
                        <w:right w:val="none" w:sz="0" w:space="0" w:color="auto"/>
                      </w:divBdr>
                      <w:divsChild>
                        <w:div w:id="1077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407">
                  <w:marLeft w:val="0"/>
                  <w:marRight w:val="0"/>
                  <w:marTop w:val="0"/>
                  <w:marBottom w:val="0"/>
                  <w:divBdr>
                    <w:top w:val="none" w:sz="0" w:space="0" w:color="auto"/>
                    <w:left w:val="none" w:sz="0" w:space="0" w:color="auto"/>
                    <w:bottom w:val="none" w:sz="0" w:space="0" w:color="auto"/>
                    <w:right w:val="none" w:sz="0" w:space="0" w:color="auto"/>
                  </w:divBdr>
                  <w:divsChild>
                    <w:div w:id="1900747566">
                      <w:marLeft w:val="0"/>
                      <w:marRight w:val="0"/>
                      <w:marTop w:val="0"/>
                      <w:marBottom w:val="0"/>
                      <w:divBdr>
                        <w:top w:val="none" w:sz="0" w:space="0" w:color="auto"/>
                        <w:left w:val="none" w:sz="0" w:space="0" w:color="auto"/>
                        <w:bottom w:val="none" w:sz="0" w:space="0" w:color="auto"/>
                        <w:right w:val="none" w:sz="0" w:space="0" w:color="auto"/>
                      </w:divBdr>
                      <w:divsChild>
                        <w:div w:id="2112042217">
                          <w:marLeft w:val="0"/>
                          <w:marRight w:val="0"/>
                          <w:marTop w:val="0"/>
                          <w:marBottom w:val="120"/>
                          <w:divBdr>
                            <w:top w:val="none" w:sz="0" w:space="0" w:color="auto"/>
                            <w:left w:val="none" w:sz="0" w:space="0" w:color="auto"/>
                            <w:bottom w:val="none" w:sz="0" w:space="0" w:color="auto"/>
                            <w:right w:val="none" w:sz="0" w:space="0" w:color="auto"/>
                          </w:divBdr>
                        </w:div>
                        <w:div w:id="296767226">
                          <w:marLeft w:val="0"/>
                          <w:marRight w:val="0"/>
                          <w:marTop w:val="0"/>
                          <w:marBottom w:val="0"/>
                          <w:divBdr>
                            <w:top w:val="none" w:sz="0" w:space="0" w:color="auto"/>
                            <w:left w:val="none" w:sz="0" w:space="0" w:color="auto"/>
                            <w:bottom w:val="none" w:sz="0" w:space="0" w:color="auto"/>
                            <w:right w:val="none" w:sz="0" w:space="0" w:color="auto"/>
                          </w:divBdr>
                          <w:divsChild>
                            <w:div w:id="116682394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906206">
          <w:marLeft w:val="0"/>
          <w:marRight w:val="0"/>
          <w:marTop w:val="480"/>
          <w:marBottom w:val="480"/>
          <w:divBdr>
            <w:top w:val="none" w:sz="0" w:space="0" w:color="auto"/>
            <w:left w:val="none" w:sz="0" w:space="0" w:color="auto"/>
            <w:bottom w:val="none" w:sz="0" w:space="0" w:color="auto"/>
            <w:right w:val="none" w:sz="0" w:space="0" w:color="auto"/>
          </w:divBdr>
          <w:divsChild>
            <w:div w:id="1972133776">
              <w:marLeft w:val="0"/>
              <w:marRight w:val="0"/>
              <w:marTop w:val="0"/>
              <w:marBottom w:val="0"/>
              <w:divBdr>
                <w:top w:val="none" w:sz="0" w:space="0" w:color="auto"/>
                <w:left w:val="none" w:sz="0" w:space="0" w:color="auto"/>
                <w:bottom w:val="none" w:sz="0" w:space="0" w:color="auto"/>
                <w:right w:val="none" w:sz="0" w:space="0" w:color="auto"/>
              </w:divBdr>
              <w:divsChild>
                <w:div w:id="1098403950">
                  <w:marLeft w:val="0"/>
                  <w:marRight w:val="0"/>
                  <w:marTop w:val="0"/>
                  <w:marBottom w:val="0"/>
                  <w:divBdr>
                    <w:top w:val="none" w:sz="0" w:space="0" w:color="auto"/>
                    <w:left w:val="none" w:sz="0" w:space="0" w:color="auto"/>
                    <w:bottom w:val="none" w:sz="0" w:space="0" w:color="auto"/>
                    <w:right w:val="none" w:sz="0" w:space="0" w:color="auto"/>
                  </w:divBdr>
                  <w:divsChild>
                    <w:div w:id="1273394786">
                      <w:marLeft w:val="0"/>
                      <w:marRight w:val="0"/>
                      <w:marTop w:val="0"/>
                      <w:marBottom w:val="0"/>
                      <w:divBdr>
                        <w:top w:val="none" w:sz="0" w:space="0" w:color="auto"/>
                        <w:left w:val="none" w:sz="0" w:space="0" w:color="auto"/>
                        <w:bottom w:val="none" w:sz="0" w:space="0" w:color="auto"/>
                        <w:right w:val="none" w:sz="0" w:space="0" w:color="auto"/>
                      </w:divBdr>
                      <w:divsChild>
                        <w:div w:id="905334851">
                          <w:marLeft w:val="0"/>
                          <w:marRight w:val="0"/>
                          <w:marTop w:val="0"/>
                          <w:marBottom w:val="0"/>
                          <w:divBdr>
                            <w:top w:val="none" w:sz="0" w:space="0" w:color="auto"/>
                            <w:left w:val="none" w:sz="0" w:space="0" w:color="auto"/>
                            <w:bottom w:val="none" w:sz="0" w:space="0" w:color="auto"/>
                            <w:right w:val="none" w:sz="0" w:space="0" w:color="auto"/>
                          </w:divBdr>
                          <w:divsChild>
                            <w:div w:id="1321033619">
                              <w:marLeft w:val="0"/>
                              <w:marRight w:val="0"/>
                              <w:marTop w:val="60"/>
                              <w:marBottom w:val="0"/>
                              <w:divBdr>
                                <w:top w:val="none" w:sz="0" w:space="0" w:color="auto"/>
                                <w:left w:val="none" w:sz="0" w:space="0" w:color="auto"/>
                                <w:bottom w:val="none" w:sz="0" w:space="0" w:color="auto"/>
                                <w:right w:val="none" w:sz="0" w:space="0" w:color="auto"/>
                              </w:divBdr>
                              <w:divsChild>
                                <w:div w:id="1508861997">
                                  <w:marLeft w:val="0"/>
                                  <w:marRight w:val="120"/>
                                  <w:marTop w:val="0"/>
                                  <w:marBottom w:val="0"/>
                                  <w:divBdr>
                                    <w:top w:val="none" w:sz="0" w:space="0" w:color="auto"/>
                                    <w:left w:val="none" w:sz="0" w:space="0" w:color="auto"/>
                                    <w:bottom w:val="none" w:sz="0" w:space="0" w:color="auto"/>
                                    <w:right w:val="none" w:sz="0" w:space="0" w:color="auto"/>
                                  </w:divBdr>
                                </w:div>
                                <w:div w:id="936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07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77110479">
                  <w:marLeft w:val="0"/>
                  <w:marRight w:val="0"/>
                  <w:marTop w:val="0"/>
                  <w:marBottom w:val="0"/>
                  <w:divBdr>
                    <w:top w:val="none" w:sz="0" w:space="0" w:color="auto"/>
                    <w:left w:val="none" w:sz="0" w:space="0" w:color="auto"/>
                    <w:bottom w:val="none" w:sz="0" w:space="0" w:color="auto"/>
                    <w:right w:val="none" w:sz="0" w:space="0" w:color="auto"/>
                  </w:divBdr>
                  <w:divsChild>
                    <w:div w:id="1005284901">
                      <w:marLeft w:val="0"/>
                      <w:marRight w:val="0"/>
                      <w:marTop w:val="0"/>
                      <w:marBottom w:val="0"/>
                      <w:divBdr>
                        <w:top w:val="none" w:sz="0" w:space="0" w:color="auto"/>
                        <w:left w:val="none" w:sz="0" w:space="0" w:color="auto"/>
                        <w:bottom w:val="none" w:sz="0" w:space="0" w:color="auto"/>
                        <w:right w:val="none" w:sz="0" w:space="0" w:color="auto"/>
                      </w:divBdr>
                      <w:divsChild>
                        <w:div w:id="1251769437">
                          <w:marLeft w:val="0"/>
                          <w:marRight w:val="0"/>
                          <w:marTop w:val="0"/>
                          <w:marBottom w:val="0"/>
                          <w:divBdr>
                            <w:top w:val="none" w:sz="0" w:space="0" w:color="auto"/>
                            <w:left w:val="none" w:sz="0" w:space="0" w:color="auto"/>
                            <w:bottom w:val="none" w:sz="0" w:space="0" w:color="auto"/>
                            <w:right w:val="none" w:sz="0" w:space="0" w:color="auto"/>
                          </w:divBdr>
                          <w:divsChild>
                            <w:div w:id="696348495">
                              <w:marLeft w:val="0"/>
                              <w:marRight w:val="0"/>
                              <w:marTop w:val="60"/>
                              <w:marBottom w:val="0"/>
                              <w:divBdr>
                                <w:top w:val="none" w:sz="0" w:space="0" w:color="auto"/>
                                <w:left w:val="none" w:sz="0" w:space="0" w:color="auto"/>
                                <w:bottom w:val="none" w:sz="0" w:space="0" w:color="auto"/>
                                <w:right w:val="none" w:sz="0" w:space="0" w:color="auto"/>
                              </w:divBdr>
                              <w:divsChild>
                                <w:div w:id="780101931">
                                  <w:marLeft w:val="0"/>
                                  <w:marRight w:val="120"/>
                                  <w:marTop w:val="0"/>
                                  <w:marBottom w:val="0"/>
                                  <w:divBdr>
                                    <w:top w:val="none" w:sz="0" w:space="0" w:color="auto"/>
                                    <w:left w:val="none" w:sz="0" w:space="0" w:color="auto"/>
                                    <w:bottom w:val="none" w:sz="0" w:space="0" w:color="auto"/>
                                    <w:right w:val="none" w:sz="0" w:space="0" w:color="auto"/>
                                  </w:divBdr>
                                </w:div>
                                <w:div w:id="11627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09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1686014">
                  <w:marLeft w:val="0"/>
                  <w:marRight w:val="0"/>
                  <w:marTop w:val="0"/>
                  <w:marBottom w:val="0"/>
                  <w:divBdr>
                    <w:top w:val="none" w:sz="0" w:space="0" w:color="auto"/>
                    <w:left w:val="none" w:sz="0" w:space="0" w:color="auto"/>
                    <w:bottom w:val="none" w:sz="0" w:space="0" w:color="auto"/>
                    <w:right w:val="none" w:sz="0" w:space="0" w:color="auto"/>
                  </w:divBdr>
                  <w:divsChild>
                    <w:div w:id="1705249921">
                      <w:marLeft w:val="0"/>
                      <w:marRight w:val="0"/>
                      <w:marTop w:val="0"/>
                      <w:marBottom w:val="0"/>
                      <w:divBdr>
                        <w:top w:val="none" w:sz="0" w:space="0" w:color="auto"/>
                        <w:left w:val="none" w:sz="0" w:space="0" w:color="auto"/>
                        <w:bottom w:val="none" w:sz="0" w:space="0" w:color="auto"/>
                        <w:right w:val="none" w:sz="0" w:space="0" w:color="auto"/>
                      </w:divBdr>
                      <w:divsChild>
                        <w:div w:id="1487744629">
                          <w:marLeft w:val="0"/>
                          <w:marRight w:val="0"/>
                          <w:marTop w:val="0"/>
                          <w:marBottom w:val="0"/>
                          <w:divBdr>
                            <w:top w:val="none" w:sz="0" w:space="0" w:color="auto"/>
                            <w:left w:val="none" w:sz="0" w:space="0" w:color="auto"/>
                            <w:bottom w:val="none" w:sz="0" w:space="0" w:color="auto"/>
                            <w:right w:val="none" w:sz="0" w:space="0" w:color="auto"/>
                          </w:divBdr>
                          <w:divsChild>
                            <w:div w:id="1277563741">
                              <w:marLeft w:val="0"/>
                              <w:marRight w:val="0"/>
                              <w:marTop w:val="60"/>
                              <w:marBottom w:val="0"/>
                              <w:divBdr>
                                <w:top w:val="none" w:sz="0" w:space="0" w:color="auto"/>
                                <w:left w:val="none" w:sz="0" w:space="0" w:color="auto"/>
                                <w:bottom w:val="none" w:sz="0" w:space="0" w:color="auto"/>
                                <w:right w:val="none" w:sz="0" w:space="0" w:color="auto"/>
                              </w:divBdr>
                              <w:divsChild>
                                <w:div w:id="681394230">
                                  <w:marLeft w:val="0"/>
                                  <w:marRight w:val="120"/>
                                  <w:marTop w:val="0"/>
                                  <w:marBottom w:val="0"/>
                                  <w:divBdr>
                                    <w:top w:val="none" w:sz="0" w:space="0" w:color="auto"/>
                                    <w:left w:val="none" w:sz="0" w:space="0" w:color="auto"/>
                                    <w:bottom w:val="none" w:sz="0" w:space="0" w:color="auto"/>
                                    <w:right w:val="none" w:sz="0" w:space="0" w:color="auto"/>
                                  </w:divBdr>
                                </w:div>
                                <w:div w:id="1756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7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5761">
          <w:marLeft w:val="0"/>
          <w:marRight w:val="0"/>
          <w:marTop w:val="480"/>
          <w:marBottom w:val="480"/>
          <w:divBdr>
            <w:top w:val="none" w:sz="0" w:space="0" w:color="auto"/>
            <w:left w:val="none" w:sz="0" w:space="0" w:color="auto"/>
            <w:bottom w:val="none" w:sz="0" w:space="0" w:color="auto"/>
            <w:right w:val="none" w:sz="0" w:space="0" w:color="auto"/>
          </w:divBdr>
          <w:divsChild>
            <w:div w:id="147404653">
              <w:marLeft w:val="0"/>
              <w:marRight w:val="0"/>
              <w:marTop w:val="0"/>
              <w:marBottom w:val="0"/>
              <w:divBdr>
                <w:top w:val="none" w:sz="0" w:space="0" w:color="auto"/>
                <w:left w:val="none" w:sz="0" w:space="0" w:color="auto"/>
                <w:bottom w:val="none" w:sz="0" w:space="0" w:color="auto"/>
                <w:right w:val="none" w:sz="0" w:space="0" w:color="auto"/>
              </w:divBdr>
              <w:divsChild>
                <w:div w:id="14834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16</Pages>
  <Words>2780</Words>
  <Characters>15848</Characters>
  <Application>Microsoft Office Word</Application>
  <DocSecurity>0</DocSecurity>
  <Lines>132</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178</cp:revision>
  <dcterms:created xsi:type="dcterms:W3CDTF">2023-02-06T12:57:00Z</dcterms:created>
  <dcterms:modified xsi:type="dcterms:W3CDTF">2023-02-06T14:56:00Z</dcterms:modified>
</cp:coreProperties>
</file>