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F222" w14:textId="2CDA7865" w:rsidR="00EC43A5" w:rsidRDefault="00AA764E" w:rsidP="00AA764E">
      <w:pPr>
        <w:jc w:val="right"/>
      </w:pPr>
      <w:r>
        <w:t>2022年5月7日</w:t>
      </w:r>
    </w:p>
    <w:p w14:paraId="21AC66EE" w14:textId="10853762" w:rsidR="00AA764E" w:rsidRDefault="00586276" w:rsidP="00AA764E">
      <w:pPr>
        <w:pStyle w:val="4"/>
      </w:pPr>
      <w:r>
        <w:rPr>
          <w:rFonts w:hint="eastAsia"/>
        </w:rPr>
        <w:t>信用リスクに関する事項まとめ</w:t>
      </w:r>
    </w:p>
    <w:p w14:paraId="1133042C" w14:textId="612B1496" w:rsidR="007A5286" w:rsidRDefault="00594561" w:rsidP="007A5286">
      <w:pPr>
        <w:pStyle w:val="1"/>
      </w:pPr>
      <w:r>
        <w:rPr>
          <w:rFonts w:hint="eastAsia"/>
        </w:rPr>
        <w:t>ファクター・コピュラモデル</w:t>
      </w:r>
    </w:p>
    <w:p w14:paraId="4CD68CDE" w14:textId="2EE1053C" w:rsidR="00594561" w:rsidRDefault="00586276" w:rsidP="00594561">
      <w:pPr>
        <w:pStyle w:val="a2"/>
      </w:pPr>
      <w:r>
        <w:rPr>
          <w:rFonts w:hint="eastAsia"/>
        </w:rPr>
        <w:t>ここでは，債券担保証券（CDO）</w:t>
      </w:r>
      <w:r w:rsidR="003E58FC">
        <w:rPr>
          <w:rFonts w:hint="eastAsia"/>
        </w:rPr>
        <w:t>の価格評価やリスク計測に</w:t>
      </w:r>
      <w:r w:rsidR="00985BAD">
        <w:rPr>
          <w:rFonts w:hint="eastAsia"/>
        </w:rPr>
        <w:t>おいてよく用いられる「ファクター・コピュラモデル」について整理する．</w:t>
      </w:r>
    </w:p>
    <w:tbl>
      <w:tblPr>
        <w:tblStyle w:val="ac"/>
        <w:tblW w:w="0" w:type="auto"/>
        <w:tblCellSpacing w:w="20" w:type="dxa"/>
        <w:tblBorders>
          <w:top w:val="dotDotDash" w:sz="8" w:space="0" w:color="auto"/>
          <w:left w:val="dotDotDash" w:sz="8" w:space="0" w:color="auto"/>
          <w:bottom w:val="dotDotDash" w:sz="8" w:space="0" w:color="auto"/>
          <w:right w:val="dotDotDash" w:sz="8" w:space="0" w:color="auto"/>
          <w:insideH w:val="single" w:sz="6" w:space="0" w:color="auto"/>
          <w:insideV w:val="single" w:sz="6" w:space="0" w:color="auto"/>
        </w:tblBorders>
        <w:tblLook w:val="04A0" w:firstRow="1" w:lastRow="0" w:firstColumn="1" w:lastColumn="0" w:noHBand="0" w:noVBand="1"/>
      </w:tblPr>
      <w:tblGrid>
        <w:gridCol w:w="10446"/>
      </w:tblGrid>
      <w:tr w:rsidR="00985BAD" w14:paraId="275D26B4" w14:textId="77777777" w:rsidTr="00985BAD">
        <w:trPr>
          <w:tblCellSpacing w:w="20" w:type="dxa"/>
        </w:trPr>
        <w:tc>
          <w:tcPr>
            <w:tcW w:w="10456" w:type="dxa"/>
          </w:tcPr>
          <w:p w14:paraId="23B30F42" w14:textId="7EA70C70" w:rsidR="00985BAD" w:rsidRDefault="00985BAD" w:rsidP="00985BAD">
            <w:pPr>
              <w:pStyle w:val="a2"/>
              <w:ind w:firstLineChars="0" w:firstLine="0"/>
            </w:pPr>
            <w:r>
              <w:rPr>
                <w:rFonts w:hint="eastAsia"/>
              </w:rPr>
              <w:t>ファクター・コピュラモデル</w:t>
            </w:r>
            <w:r w:rsidR="00C952F9">
              <w:rPr>
                <w:rFonts w:hint="eastAsia"/>
              </w:rPr>
              <w:t>は，</w:t>
            </w:r>
            <m:oMath>
              <m:r>
                <w:rPr>
                  <w:rFonts w:ascii="Cambria Math" w:hAnsi="Cambria Math"/>
                </w:rPr>
                <m:t>CreditMetri</m:t>
              </m:r>
              <m:sSup>
                <m:sSupPr>
                  <m:ctrlPr>
                    <w:rPr>
                      <w:rFonts w:ascii="Cambria Math" w:hAnsi="Cambria Math"/>
                      <w:i/>
                    </w:rPr>
                  </m:ctrlPr>
                </m:sSupPr>
                <m:e>
                  <m:r>
                    <w:rPr>
                      <w:rFonts w:ascii="Cambria Math" w:hAnsi="Cambria Math"/>
                    </w:rPr>
                    <m:t>x</m:t>
                  </m:r>
                </m:e>
                <m:sup>
                  <m:r>
                    <m:rPr>
                      <m:sty m:val="p"/>
                    </m:rPr>
                    <w:rPr>
                      <w:rFonts w:ascii="Cambria Math" w:hAnsi="Cambria Math"/>
                    </w:rPr>
                    <m:t>TM</m:t>
                  </m:r>
                </m:sup>
              </m:sSup>
            </m:oMath>
            <w:r w:rsidR="00C952F9">
              <w:rPr>
                <w:rFonts w:hint="eastAsia"/>
              </w:rPr>
              <w:t xml:space="preserve"> における</w:t>
            </w:r>
            <w:r w:rsidR="002D39D7">
              <w:rPr>
                <w:rFonts w:hint="eastAsia"/>
              </w:rPr>
              <w:t>デフォルト依存性の考え方から派生した</w:t>
            </w:r>
            <w:r w:rsidR="00F230D7">
              <w:rPr>
                <w:rFonts w:hint="eastAsia"/>
              </w:rPr>
              <w:t>考えであり，コピュラを</w:t>
            </w:r>
            <w:r w:rsidR="00803B51">
              <w:rPr>
                <w:rFonts w:hint="eastAsia"/>
              </w:rPr>
              <w:t>使って</w:t>
            </w:r>
            <w:r w:rsidR="00F230D7">
              <w:rPr>
                <w:rFonts w:hint="eastAsia"/>
              </w:rPr>
              <w:t>デフォルト時刻の</w:t>
            </w:r>
            <w:r w:rsidR="00803B51">
              <w:rPr>
                <w:rFonts w:hint="eastAsia"/>
              </w:rPr>
              <w:t>「</w:t>
            </w:r>
            <w:r w:rsidR="00F230D7">
              <w:rPr>
                <w:rFonts w:hint="eastAsia"/>
              </w:rPr>
              <w:t>同時分布</w:t>
            </w:r>
            <w:r w:rsidR="00803B51">
              <w:rPr>
                <w:rFonts w:hint="eastAsia"/>
              </w:rPr>
              <w:t>」を記述するが，</w:t>
            </w:r>
            <w:r w:rsidR="00A934F3">
              <w:rPr>
                <w:rFonts w:hint="eastAsia"/>
              </w:rPr>
              <w:t>その本質はデフォルト時刻の条件付独立性にある．</w:t>
            </w:r>
          </w:p>
        </w:tc>
      </w:tr>
    </w:tbl>
    <w:p w14:paraId="5ABB229E" w14:textId="77777777" w:rsidR="00985BAD" w:rsidRDefault="00985BAD" w:rsidP="00985BAD">
      <w:pPr>
        <w:pStyle w:val="a2"/>
        <w:ind w:firstLineChars="0" w:firstLine="0"/>
      </w:pPr>
    </w:p>
    <w:p w14:paraId="28F9357A" w14:textId="5714A97C" w:rsidR="00985BAD" w:rsidRDefault="00521B22" w:rsidP="00C9436F">
      <w:pPr>
        <w:pStyle w:val="20"/>
      </w:pPr>
      <w:r>
        <w:rPr>
          <w:rFonts w:hint="eastAsia"/>
        </w:rPr>
        <w:t>債務担保証券（</w:t>
      </w:r>
      <w:r>
        <w:rPr>
          <w:rFonts w:hint="eastAsia"/>
        </w:rPr>
        <w:t>CDO</w:t>
      </w:r>
      <w:r>
        <w:rPr>
          <w:rFonts w:hint="eastAsia"/>
        </w:rPr>
        <w:t>）</w:t>
      </w:r>
    </w:p>
    <w:p w14:paraId="695F8A78" w14:textId="7395937D" w:rsidR="00521B22" w:rsidRDefault="00521B22" w:rsidP="00521B22">
      <w:pPr>
        <w:pStyle w:val="a2"/>
      </w:pPr>
      <w:r>
        <w:rPr>
          <w:rFonts w:hint="eastAsia"/>
        </w:rPr>
        <w:t>債務担保証券（c</w:t>
      </w:r>
      <w:r>
        <w:t>ollateralized debt obligations</w:t>
      </w:r>
      <w:r>
        <w:rPr>
          <w:rFonts w:hint="eastAsia"/>
        </w:rPr>
        <w:t>：</w:t>
      </w:r>
      <w:r>
        <w:t>CDO</w:t>
      </w:r>
      <w:r>
        <w:rPr>
          <w:rFonts w:hint="eastAsia"/>
        </w:rPr>
        <w:t>）とは，複数の債権の集合体（アセットプール，またはプール）を裏付けとして新たに組成される証券化商品．</w:t>
      </w:r>
    </w:p>
    <w:p w14:paraId="6F031144" w14:textId="5456052A" w:rsidR="00D9747E" w:rsidRDefault="00D9747E" w:rsidP="00521B22">
      <w:pPr>
        <w:pStyle w:val="a2"/>
      </w:pPr>
      <w:r>
        <w:rPr>
          <w:rFonts w:hint="eastAsia"/>
        </w:rPr>
        <w:t>【商品の種類】</w:t>
      </w:r>
    </w:p>
    <w:p w14:paraId="070E4B3B" w14:textId="3C22CBE7" w:rsidR="00521B22" w:rsidRDefault="0050723F" w:rsidP="00521B22">
      <w:pPr>
        <w:pStyle w:val="a2"/>
        <w:numPr>
          <w:ilvl w:val="0"/>
          <w:numId w:val="41"/>
        </w:numPr>
        <w:ind w:firstLineChars="0"/>
      </w:pPr>
      <w:r>
        <w:rPr>
          <w:rFonts w:hint="eastAsia"/>
        </w:rPr>
        <w:t>CBO（c</w:t>
      </w:r>
      <w:r>
        <w:t>ollateralized bond obligations</w:t>
      </w:r>
      <w:r>
        <w:rPr>
          <w:rFonts w:hint="eastAsia"/>
        </w:rPr>
        <w:t>）</w:t>
      </w:r>
    </w:p>
    <w:p w14:paraId="7D5CC20E" w14:textId="530872AF" w:rsidR="00EE52D8" w:rsidRDefault="00EE52D8" w:rsidP="00EE52D8">
      <w:pPr>
        <w:pStyle w:val="a2"/>
        <w:ind w:left="630" w:firstLineChars="0" w:firstLine="0"/>
      </w:pPr>
      <w:r>
        <w:rPr>
          <w:rFonts w:hint="eastAsia"/>
        </w:rPr>
        <w:t>アセットプール</w:t>
      </w:r>
      <w:r w:rsidR="00D9747E">
        <w:rPr>
          <w:rFonts w:hint="eastAsia"/>
        </w:rPr>
        <w:t>が「社債」</w:t>
      </w:r>
    </w:p>
    <w:p w14:paraId="608241D5" w14:textId="5074E70E" w:rsidR="0050723F" w:rsidRDefault="00EE52D8" w:rsidP="00521B22">
      <w:pPr>
        <w:pStyle w:val="a2"/>
        <w:numPr>
          <w:ilvl w:val="0"/>
          <w:numId w:val="41"/>
        </w:numPr>
        <w:ind w:firstLineChars="0"/>
      </w:pPr>
      <w:r>
        <w:t>CLO</w:t>
      </w:r>
      <w:r>
        <w:rPr>
          <w:rFonts w:hint="eastAsia"/>
        </w:rPr>
        <w:t>（c</w:t>
      </w:r>
      <w:r>
        <w:t>ollateralized loan obligations</w:t>
      </w:r>
      <w:r>
        <w:rPr>
          <w:rFonts w:hint="eastAsia"/>
        </w:rPr>
        <w:t>）</w:t>
      </w:r>
    </w:p>
    <w:p w14:paraId="3F4B4FEF" w14:textId="32E20A8B" w:rsidR="00D9747E" w:rsidRPr="00521B22" w:rsidRDefault="00C345A3" w:rsidP="00D9747E">
      <w:pPr>
        <w:pStyle w:val="a2"/>
        <w:ind w:left="630" w:firstLineChars="0" w:firstLine="0"/>
      </w:pPr>
      <w:r>
        <w:rPr>
          <w:rFonts w:hint="eastAsia"/>
        </w:rPr>
        <w:t>アセットプールが「貸出債権」</w:t>
      </w:r>
    </w:p>
    <w:p w14:paraId="1975D36C" w14:textId="77777777" w:rsidR="00A934F3" w:rsidRDefault="00A934F3" w:rsidP="00594561">
      <w:pPr>
        <w:pStyle w:val="a2"/>
      </w:pPr>
    </w:p>
    <w:p w14:paraId="4FB0435E" w14:textId="40F2C11B" w:rsidR="007219A8" w:rsidRDefault="00F82824" w:rsidP="00C345A3">
      <w:pPr>
        <w:pStyle w:val="a2"/>
        <w:ind w:firstLineChars="0" w:firstLine="0"/>
      </w:pPr>
      <w:r>
        <w:rPr>
          <w:rFonts w:hint="eastAsia"/>
        </w:rPr>
        <w:t>加えて，社債などの現物資産を</w:t>
      </w:r>
      <w:r w:rsidR="00546688">
        <w:rPr>
          <w:rFonts w:hint="eastAsia"/>
        </w:rPr>
        <w:t>アセットプールとするCDOを「キャッシュ型CDO」といい，クレジット・デフォルトスワップ（CDS）</w:t>
      </w:r>
      <w:r w:rsidR="00533B82">
        <w:rPr>
          <w:rFonts w:hint="eastAsia"/>
        </w:rPr>
        <w:t>などのクレジットデリバティブを用いてアセットプールを人工的に組成</w:t>
      </w:r>
      <w:r w:rsidR="00C24FCC">
        <w:rPr>
          <w:rFonts w:hint="eastAsia"/>
        </w:rPr>
        <w:t>したCDOを「シンセティックCDO」という．</w:t>
      </w:r>
    </w:p>
    <w:p w14:paraId="70F33F88" w14:textId="5E47782F" w:rsidR="007219A8" w:rsidRDefault="007219A8" w:rsidP="007219A8">
      <w:pPr>
        <w:pStyle w:val="a2"/>
      </w:pPr>
      <w:r>
        <w:rPr>
          <w:rFonts w:hint="eastAsia"/>
        </w:rPr>
        <w:t>CDOの発行体は，</w:t>
      </w:r>
      <w:r w:rsidR="002028D6">
        <w:rPr>
          <w:rFonts w:hint="eastAsia"/>
        </w:rPr>
        <w:t>アセットプールから生じるCFをもとに様々なリスクリターン特性を持つ</w:t>
      </w:r>
      <w:r w:rsidR="00BB1A53">
        <w:rPr>
          <w:rFonts w:hint="eastAsia"/>
        </w:rPr>
        <w:t>新たな資産（証券化商品）を発行するが，それらの資産をアセットプール</w:t>
      </w:r>
      <w:r w:rsidR="0013361C">
        <w:rPr>
          <w:rFonts w:hint="eastAsia"/>
        </w:rPr>
        <w:t>から</w:t>
      </w:r>
      <w:r w:rsidR="0003670A">
        <w:rPr>
          <w:rFonts w:hint="eastAsia"/>
        </w:rPr>
        <w:t>切り分けたという意味で「トランシェ（またはトランチ）」という．</w:t>
      </w:r>
    </w:p>
    <w:p w14:paraId="41F0A589" w14:textId="78E3B3FE" w:rsidR="0003670A" w:rsidRDefault="0094325D" w:rsidP="007219A8">
      <w:pPr>
        <w:pStyle w:val="a2"/>
      </w:pPr>
      <w:r>
        <w:rPr>
          <w:rFonts w:hint="eastAsia"/>
        </w:rPr>
        <w:t>【トランシェ】</w:t>
      </w:r>
    </w:p>
    <w:p w14:paraId="244251C3" w14:textId="17710098" w:rsidR="0094325D" w:rsidRDefault="005733DC" w:rsidP="0094325D">
      <w:pPr>
        <w:pStyle w:val="a2"/>
        <w:numPr>
          <w:ilvl w:val="0"/>
          <w:numId w:val="42"/>
        </w:numPr>
        <w:ind w:firstLineChars="0"/>
      </w:pPr>
      <w:r>
        <w:rPr>
          <w:rFonts w:hint="eastAsia"/>
        </w:rPr>
        <w:t>支払優先順位が設定されている（つまり，低リスクなものから高リスクなものまで様々な商品がある）</w:t>
      </w:r>
    </w:p>
    <w:p w14:paraId="35504917" w14:textId="60503C88" w:rsidR="005733DC" w:rsidRDefault="0013361C" w:rsidP="0094325D">
      <w:pPr>
        <w:pStyle w:val="a2"/>
        <w:numPr>
          <w:ilvl w:val="0"/>
          <w:numId w:val="42"/>
        </w:numPr>
        <w:ind w:firstLineChars="0"/>
      </w:pPr>
      <w:r>
        <w:rPr>
          <w:rFonts w:hint="eastAsia"/>
        </w:rPr>
        <w:t>キャッシュ型CDO</w:t>
      </w:r>
      <w:r w:rsidR="00B07A95">
        <w:rPr>
          <w:rFonts w:hint="eastAsia"/>
        </w:rPr>
        <w:t>のトランシェは優先順位が高いものから</w:t>
      </w:r>
      <w:r w:rsidR="00E53665">
        <w:rPr>
          <w:rFonts w:hint="eastAsia"/>
        </w:rPr>
        <w:t>以下の順番で名付けられる</w:t>
      </w:r>
    </w:p>
    <w:p w14:paraId="4A122C74" w14:textId="3A3303B4" w:rsidR="00B07A95" w:rsidRDefault="00B07A95" w:rsidP="00B07A95">
      <w:pPr>
        <w:pStyle w:val="a2"/>
        <w:numPr>
          <w:ilvl w:val="1"/>
          <w:numId w:val="42"/>
        </w:numPr>
        <w:ind w:firstLineChars="0"/>
      </w:pPr>
      <w:r>
        <w:rPr>
          <w:rFonts w:hint="eastAsia"/>
        </w:rPr>
        <w:t>シニア</w:t>
      </w:r>
    </w:p>
    <w:p w14:paraId="7A71479C" w14:textId="45F66089" w:rsidR="00B07A95" w:rsidRDefault="00B07A95" w:rsidP="00B07A95">
      <w:pPr>
        <w:pStyle w:val="a2"/>
        <w:numPr>
          <w:ilvl w:val="1"/>
          <w:numId w:val="42"/>
        </w:numPr>
        <w:ind w:firstLineChars="0"/>
      </w:pPr>
      <w:r>
        <w:rPr>
          <w:rFonts w:hint="eastAsia"/>
        </w:rPr>
        <w:t>メザニン</w:t>
      </w:r>
    </w:p>
    <w:p w14:paraId="171E5190" w14:textId="136D4831" w:rsidR="00B91A73" w:rsidRDefault="00B91A73" w:rsidP="00B91A73">
      <w:pPr>
        <w:pStyle w:val="a2"/>
        <w:ind w:left="1050" w:firstLineChars="0" w:firstLine="0"/>
      </w:pPr>
      <w:r>
        <w:rPr>
          <w:rFonts w:hint="eastAsia"/>
        </w:rPr>
        <w:t>更に</w:t>
      </w:r>
      <w:r w:rsidR="006E6863">
        <w:rPr>
          <w:rFonts w:hint="eastAsia"/>
        </w:rPr>
        <w:t>中位のメザニン</w:t>
      </w:r>
      <w:r w:rsidR="00A748A4">
        <w:rPr>
          <w:rFonts w:hint="eastAsia"/>
        </w:rPr>
        <w:t>トランシェが切り分けられた場合</w:t>
      </w:r>
      <w:r w:rsidR="00676B3E">
        <w:rPr>
          <w:rFonts w:hint="eastAsia"/>
        </w:rPr>
        <w:t>，以下の通りに呼ぶ．</w:t>
      </w:r>
    </w:p>
    <w:p w14:paraId="128C75BE" w14:textId="3F945FA0" w:rsidR="00676B3E" w:rsidRDefault="00F96D76" w:rsidP="00676B3E">
      <w:pPr>
        <w:pStyle w:val="a2"/>
        <w:numPr>
          <w:ilvl w:val="0"/>
          <w:numId w:val="43"/>
        </w:numPr>
        <w:ind w:firstLineChars="0"/>
      </w:pPr>
      <w:r>
        <w:rPr>
          <w:rFonts w:hint="eastAsia"/>
        </w:rPr>
        <w:t>シニアメザニン（または，上位メザニン）</w:t>
      </w:r>
    </w:p>
    <w:p w14:paraId="47C4F989" w14:textId="76AAB9B4" w:rsidR="00F96D76" w:rsidRDefault="00F96D76" w:rsidP="00676B3E">
      <w:pPr>
        <w:pStyle w:val="a2"/>
        <w:numPr>
          <w:ilvl w:val="0"/>
          <w:numId w:val="43"/>
        </w:numPr>
        <w:ind w:firstLineChars="0"/>
      </w:pPr>
      <w:r>
        <w:rPr>
          <w:rFonts w:hint="eastAsia"/>
        </w:rPr>
        <w:t>ジュニアメザニン（または，下位メザニン）</w:t>
      </w:r>
    </w:p>
    <w:p w14:paraId="600417EF" w14:textId="55AC4830" w:rsidR="00B07A95" w:rsidRDefault="00B07A95" w:rsidP="00B07A95">
      <w:pPr>
        <w:pStyle w:val="a2"/>
        <w:numPr>
          <w:ilvl w:val="1"/>
          <w:numId w:val="42"/>
        </w:numPr>
        <w:ind w:firstLineChars="0"/>
      </w:pPr>
      <w:r>
        <w:rPr>
          <w:rFonts w:hint="eastAsia"/>
        </w:rPr>
        <w:t>エクイティ</w:t>
      </w:r>
    </w:p>
    <w:p w14:paraId="28940985" w14:textId="77777777" w:rsidR="007219A8" w:rsidRDefault="007219A8" w:rsidP="00594561">
      <w:pPr>
        <w:pStyle w:val="a2"/>
      </w:pPr>
    </w:p>
    <w:p w14:paraId="313DECB2" w14:textId="7216EEE2" w:rsidR="007219A8" w:rsidRDefault="00383596" w:rsidP="00FC35B4">
      <w:pPr>
        <w:pStyle w:val="3"/>
      </w:pPr>
      <w:r>
        <w:rPr>
          <w:rFonts w:hint="eastAsia"/>
        </w:rPr>
        <w:t>キャッシュ型</w:t>
      </w:r>
      <w:r>
        <w:rPr>
          <w:rFonts w:hint="eastAsia"/>
        </w:rPr>
        <w:t>CDO</w:t>
      </w:r>
    </w:p>
    <w:p w14:paraId="7F0F42EB" w14:textId="1056F69E" w:rsidR="00D2715A" w:rsidRPr="00D2715A" w:rsidRDefault="00505191" w:rsidP="00D2715A">
      <w:pPr>
        <w:pStyle w:val="a2"/>
      </w:pPr>
      <w:r>
        <w:fldChar w:fldCharType="begin"/>
      </w:r>
      <w:r>
        <w:instrText xml:space="preserve"> </w:instrText>
      </w:r>
      <w:r>
        <w:rPr>
          <w:rFonts w:hint="eastAsia"/>
        </w:rPr>
        <w:instrText>REF _Ref102831228 \h</w:instrText>
      </w:r>
      <w:r>
        <w:instrText xml:space="preserve"> </w:instrText>
      </w:r>
      <w:r>
        <w:fldChar w:fldCharType="separate"/>
      </w:r>
      <w:r w:rsidR="0065506D">
        <w:t xml:space="preserve">図 </w:t>
      </w:r>
      <w:r w:rsidR="0065506D">
        <w:rPr>
          <w:noProof/>
        </w:rPr>
        <w:t>1</w:t>
      </w:r>
      <w:r w:rsidR="0065506D">
        <w:noBreakHyphen/>
      </w:r>
      <w:r w:rsidR="0065506D">
        <w:rPr>
          <w:noProof/>
        </w:rPr>
        <w:t>1</w:t>
      </w:r>
      <w:r>
        <w:fldChar w:fldCharType="end"/>
      </w:r>
      <w:r>
        <w:rPr>
          <w:rFonts w:hint="eastAsia"/>
        </w:rPr>
        <w:t>に特別目的事業体（S</w:t>
      </w:r>
      <w:r>
        <w:t xml:space="preserve">pecial Purpose </w:t>
      </w:r>
      <w:r w:rsidR="00B71209">
        <w:t>Vehicle</w:t>
      </w:r>
      <w:r w:rsidR="00B71209">
        <w:rPr>
          <w:rFonts w:hint="eastAsia"/>
        </w:rPr>
        <w:t>：S</w:t>
      </w:r>
      <w:r w:rsidR="00B71209">
        <w:t>PV</w:t>
      </w:r>
      <w:r>
        <w:rPr>
          <w:rFonts w:hint="eastAsia"/>
        </w:rPr>
        <w:t>）</w:t>
      </w:r>
      <w:r w:rsidR="00B71209">
        <w:rPr>
          <w:rFonts w:hint="eastAsia"/>
        </w:rPr>
        <w:t>を発行体とする</w:t>
      </w:r>
      <w:r w:rsidR="008C7E8C">
        <w:rPr>
          <w:rFonts w:hint="eastAsia"/>
        </w:rPr>
        <w:t>キャッシュ型CDOの仕組みの概略を示す．</w:t>
      </w:r>
      <w:r w:rsidR="00CC0C09">
        <w:rPr>
          <w:rFonts w:hint="eastAsia"/>
        </w:rPr>
        <w:t>アセットプール中</w:t>
      </w:r>
      <w:r w:rsidR="00340CD6">
        <w:rPr>
          <w:rFonts w:hint="eastAsia"/>
        </w:rPr>
        <w:t>の資産</w:t>
      </w:r>
      <w:r w:rsidR="00CC0C09">
        <w:rPr>
          <w:rFonts w:hint="eastAsia"/>
        </w:rPr>
        <w:t>にデフォルト</w:t>
      </w:r>
      <w:r w:rsidR="000379CC">
        <w:rPr>
          <w:rFonts w:hint="eastAsia"/>
        </w:rPr>
        <w:t>デフォルトが発生しなければ満期の当初の想定元本が全額償還</w:t>
      </w:r>
      <w:r w:rsidR="000379CC">
        <w:rPr>
          <w:rFonts w:hint="eastAsia"/>
        </w:rPr>
        <w:lastRenderedPageBreak/>
        <w:t>されるが，デフォルトが発生するたびに</w:t>
      </w:r>
      <w:r w:rsidR="00F530A7">
        <w:rPr>
          <w:rFonts w:hint="eastAsia"/>
        </w:rPr>
        <w:t>「</w:t>
      </w:r>
      <w:r w:rsidR="00F530A7" w:rsidRPr="008670C4">
        <w:rPr>
          <w:rFonts w:hint="eastAsia"/>
          <w:u w:val="single"/>
        </w:rPr>
        <w:t>優先順位が低いトランシェから</w:t>
      </w:r>
      <w:r w:rsidR="00F530A7">
        <w:rPr>
          <w:rFonts w:hint="eastAsia"/>
        </w:rPr>
        <w:t>順に損失額が想定元本</w:t>
      </w:r>
      <w:r w:rsidR="00507FD3">
        <w:rPr>
          <w:rFonts w:hint="eastAsia"/>
        </w:rPr>
        <w:t>から減額</w:t>
      </w:r>
      <w:r w:rsidR="00F530A7">
        <w:rPr>
          <w:rFonts w:hint="eastAsia"/>
        </w:rPr>
        <w:t>」</w:t>
      </w:r>
      <w:r w:rsidR="00507FD3">
        <w:rPr>
          <w:rFonts w:hint="eastAsia"/>
        </w:rPr>
        <w:t>されていくので，デフォルトが頻繁に発生するほど残存想定元本は</w:t>
      </w:r>
      <w:r w:rsidR="008670C4">
        <w:rPr>
          <w:rFonts w:hint="eastAsia"/>
        </w:rPr>
        <w:t>減少し，期中に受け取る利息も満期に受け取る償還額も低下する．</w:t>
      </w:r>
    </w:p>
    <w:p w14:paraId="556A797F" w14:textId="12D7A55B" w:rsidR="00E41763" w:rsidRDefault="00B47132" w:rsidP="00C8552E">
      <w:pPr>
        <w:pStyle w:val="a2"/>
        <w:keepNext/>
        <w:jc w:val="center"/>
      </w:pPr>
      <w:r>
        <w:rPr>
          <w:noProof/>
        </w:rPr>
        <w:drawing>
          <wp:inline distT="0" distB="0" distL="0" distR="0" wp14:anchorId="07831097" wp14:editId="75EF6042">
            <wp:extent cx="6435000" cy="3063240"/>
            <wp:effectExtent l="0" t="0" r="4445" b="381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00" cy="3063240"/>
                    </a:xfrm>
                    <a:prstGeom prst="rect">
                      <a:avLst/>
                    </a:prstGeom>
                    <a:noFill/>
                    <a:ln>
                      <a:noFill/>
                    </a:ln>
                  </pic:spPr>
                </pic:pic>
              </a:graphicData>
            </a:graphic>
          </wp:inline>
        </w:drawing>
      </w:r>
    </w:p>
    <w:p w14:paraId="6AC971EC" w14:textId="2016ED8A" w:rsidR="00C345A3" w:rsidRDefault="00E41763" w:rsidP="00E41763">
      <w:pPr>
        <w:pStyle w:val="ad"/>
        <w:jc w:val="center"/>
      </w:pPr>
      <w:bookmarkStart w:id="0" w:name="_Ref102831228"/>
      <w:r>
        <w:t xml:space="preserve">図 </w:t>
      </w:r>
      <w:fldSimple w:instr=" STYLEREF 1 \s ">
        <w:r w:rsidR="0065506D">
          <w:rPr>
            <w:noProof/>
          </w:rPr>
          <w:t>1</w:t>
        </w:r>
      </w:fldSimple>
      <w:r w:rsidR="002B7D90">
        <w:noBreakHyphen/>
      </w:r>
      <w:fldSimple w:instr=" SEQ 図 \* ARABIC \s 1 ">
        <w:r w:rsidR="0065506D">
          <w:rPr>
            <w:noProof/>
          </w:rPr>
          <w:t>1</w:t>
        </w:r>
      </w:fldSimple>
      <w:bookmarkEnd w:id="0"/>
      <w:r>
        <w:rPr>
          <w:rFonts w:hint="eastAsia"/>
        </w:rPr>
        <w:t xml:space="preserve">　キャッシュ型CDOの仕組み</w:t>
      </w:r>
    </w:p>
    <w:p w14:paraId="7E8A7A1B" w14:textId="327F5901" w:rsidR="00985BAD" w:rsidRDefault="00985BAD" w:rsidP="00594561">
      <w:pPr>
        <w:pStyle w:val="a2"/>
      </w:pPr>
    </w:p>
    <w:p w14:paraId="3A538B31" w14:textId="3B182138" w:rsidR="008670C4" w:rsidRDefault="00D30030" w:rsidP="00D30030">
      <w:pPr>
        <w:pStyle w:val="a2"/>
        <w:ind w:firstLineChars="0" w:firstLine="0"/>
      </w:pPr>
      <w:r>
        <w:rPr>
          <w:rFonts w:hint="eastAsia"/>
        </w:rPr>
        <w:t>デフォルト</w:t>
      </w:r>
      <w:r w:rsidR="0029734F">
        <w:rPr>
          <w:rFonts w:hint="eastAsia"/>
        </w:rPr>
        <w:t>による損失の発生に伴い，以下の順に</w:t>
      </w:r>
      <w:r w:rsidR="000666CF">
        <w:rPr>
          <w:rFonts w:hint="eastAsia"/>
        </w:rPr>
        <w:t>想定元本が減額される．</w:t>
      </w:r>
    </w:p>
    <w:p w14:paraId="5807EBC2" w14:textId="4DA13B51" w:rsidR="00626B26" w:rsidRDefault="00626B26" w:rsidP="00626B26">
      <w:pPr>
        <w:pStyle w:val="a2"/>
        <w:ind w:firstLineChars="0"/>
      </w:pPr>
      <w:r>
        <w:rPr>
          <w:rFonts w:hint="eastAsia"/>
        </w:rPr>
        <w:t>【想定元本の減額順位】</w:t>
      </w:r>
    </w:p>
    <w:p w14:paraId="6E654AB5" w14:textId="55C740A5" w:rsidR="000666CF" w:rsidRDefault="002F7362" w:rsidP="000666CF">
      <w:pPr>
        <w:pStyle w:val="a2"/>
        <w:numPr>
          <w:ilvl w:val="0"/>
          <w:numId w:val="41"/>
        </w:numPr>
        <w:ind w:firstLineChars="0"/>
      </w:pPr>
      <w:r>
        <w:rPr>
          <w:rFonts w:hint="eastAsia"/>
        </w:rPr>
        <w:t>エクイティ</w:t>
      </w:r>
    </w:p>
    <w:p w14:paraId="3234766F" w14:textId="534BA3BF" w:rsidR="002F7362" w:rsidRDefault="002F7362" w:rsidP="000666CF">
      <w:pPr>
        <w:pStyle w:val="a2"/>
        <w:numPr>
          <w:ilvl w:val="0"/>
          <w:numId w:val="41"/>
        </w:numPr>
        <w:ind w:firstLineChars="0"/>
      </w:pPr>
      <w:r>
        <w:rPr>
          <w:rFonts w:hint="eastAsia"/>
        </w:rPr>
        <w:t>ジュニアメザニン（エクイティの想定元本が0になった場合）</w:t>
      </w:r>
    </w:p>
    <w:p w14:paraId="7B74CE24" w14:textId="376E13F1" w:rsidR="002F7362" w:rsidRDefault="008E697C" w:rsidP="000666CF">
      <w:pPr>
        <w:pStyle w:val="a2"/>
        <w:numPr>
          <w:ilvl w:val="0"/>
          <w:numId w:val="41"/>
        </w:numPr>
        <w:ind w:firstLineChars="0"/>
      </w:pPr>
      <w:r>
        <w:rPr>
          <w:rFonts w:hint="eastAsia"/>
        </w:rPr>
        <w:t>シニアメザニン（ジュニアメザニンの想定元本が0になった場合）</w:t>
      </w:r>
    </w:p>
    <w:p w14:paraId="1BEA786E" w14:textId="77777777" w:rsidR="008670C4" w:rsidRPr="00C8552E" w:rsidRDefault="008670C4" w:rsidP="00594561">
      <w:pPr>
        <w:pStyle w:val="a2"/>
      </w:pPr>
    </w:p>
    <w:p w14:paraId="4FB27F7E" w14:textId="35049836" w:rsidR="00B3079B" w:rsidRDefault="00864103" w:rsidP="00F41C83">
      <w:pPr>
        <w:pStyle w:val="a2"/>
        <w:ind w:firstLineChars="0" w:firstLine="0"/>
      </w:pPr>
      <w:r>
        <w:fldChar w:fldCharType="begin"/>
      </w:r>
      <w:r>
        <w:instrText xml:space="preserve"> REF _Ref102833163 \h </w:instrText>
      </w:r>
      <w:r>
        <w:fldChar w:fldCharType="separate"/>
      </w:r>
      <w:r w:rsidR="0065506D">
        <w:t xml:space="preserve">図 </w:t>
      </w:r>
      <w:r w:rsidR="0065506D">
        <w:rPr>
          <w:noProof/>
        </w:rPr>
        <w:t>1</w:t>
      </w:r>
      <w:r w:rsidR="0065506D">
        <w:noBreakHyphen/>
      </w:r>
      <w:r w:rsidR="0065506D">
        <w:rPr>
          <w:noProof/>
        </w:rPr>
        <w:t>2</w:t>
      </w:r>
      <w:r>
        <w:fldChar w:fldCharType="end"/>
      </w:r>
      <w:r w:rsidR="000D7602">
        <w:rPr>
          <w:rFonts w:hint="eastAsia"/>
        </w:rPr>
        <w:t>のように，それぞれのトランシェは，それに劣後（優先順位が下位</w:t>
      </w:r>
      <w:r w:rsidR="00857710">
        <w:rPr>
          <w:rFonts w:hint="eastAsia"/>
        </w:rPr>
        <w:t>の</w:t>
      </w:r>
      <w:r w:rsidR="000D7602">
        <w:rPr>
          <w:rFonts w:hint="eastAsia"/>
        </w:rPr>
        <w:t>）</w:t>
      </w:r>
      <w:r w:rsidR="00857710">
        <w:rPr>
          <w:rFonts w:hint="eastAsia"/>
        </w:rPr>
        <w:t>トランシェが厚いほど元利払いに確実性が増す．CDOでは</w:t>
      </w:r>
      <w:r w:rsidR="00E367A4">
        <w:rPr>
          <w:rFonts w:hint="eastAsia"/>
        </w:rPr>
        <w:t>このような劣後構造により，上位トランシェの信用リスクを減らしている（</w:t>
      </w:r>
      <w:r w:rsidR="00E367A4" w:rsidRPr="00E367A4">
        <w:rPr>
          <w:rFonts w:hint="eastAsia"/>
          <w:b/>
          <w:bCs/>
        </w:rPr>
        <w:t>信用補完</w:t>
      </w:r>
      <w:r w:rsidR="002A110D" w:rsidRPr="002A110D">
        <w:rPr>
          <w:rFonts w:hint="eastAsia"/>
        </w:rPr>
        <w:t>しているという</w:t>
      </w:r>
      <w:r w:rsidR="00E367A4">
        <w:rPr>
          <w:rFonts w:hint="eastAsia"/>
        </w:rPr>
        <w:t>）</w:t>
      </w:r>
      <w:r w:rsidR="002A110D">
        <w:rPr>
          <w:rFonts w:hint="eastAsia"/>
        </w:rPr>
        <w:t>．</w:t>
      </w:r>
    </w:p>
    <w:p w14:paraId="4AA038D0" w14:textId="77777777" w:rsidR="00B3079B" w:rsidRDefault="00B3079B" w:rsidP="00594561">
      <w:pPr>
        <w:pStyle w:val="a2"/>
      </w:pPr>
    </w:p>
    <w:p w14:paraId="7CDF9209" w14:textId="45F1FBF4" w:rsidR="000A506B" w:rsidRDefault="009F77AF" w:rsidP="009F77AF">
      <w:pPr>
        <w:pStyle w:val="a2"/>
        <w:keepNext/>
        <w:ind w:firstLineChars="0" w:firstLine="0"/>
        <w:jc w:val="center"/>
      </w:pPr>
      <w:r>
        <w:rPr>
          <w:noProof/>
        </w:rPr>
        <w:drawing>
          <wp:inline distT="0" distB="0" distL="0" distR="0" wp14:anchorId="3C2D6E5F" wp14:editId="48F7E624">
            <wp:extent cx="6191280" cy="2678760"/>
            <wp:effectExtent l="0" t="0" r="0" b="762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80" cy="2678760"/>
                    </a:xfrm>
                    <a:prstGeom prst="rect">
                      <a:avLst/>
                    </a:prstGeom>
                    <a:noFill/>
                    <a:ln>
                      <a:noFill/>
                    </a:ln>
                  </pic:spPr>
                </pic:pic>
              </a:graphicData>
            </a:graphic>
          </wp:inline>
        </w:drawing>
      </w:r>
    </w:p>
    <w:p w14:paraId="32E1A398" w14:textId="30619057" w:rsidR="008E697C" w:rsidRDefault="000A506B" w:rsidP="000A506B">
      <w:pPr>
        <w:pStyle w:val="ad"/>
        <w:jc w:val="center"/>
      </w:pPr>
      <w:bookmarkStart w:id="1" w:name="_Ref102833163"/>
      <w:r>
        <w:t xml:space="preserve">図 </w:t>
      </w:r>
      <w:fldSimple w:instr=" STYLEREF 1 \s ">
        <w:r w:rsidR="0065506D">
          <w:rPr>
            <w:noProof/>
          </w:rPr>
          <w:t>1</w:t>
        </w:r>
      </w:fldSimple>
      <w:r w:rsidR="002B7D90">
        <w:noBreakHyphen/>
      </w:r>
      <w:fldSimple w:instr=" SEQ 図 \* ARABIC \s 1 ">
        <w:r w:rsidR="0065506D">
          <w:rPr>
            <w:noProof/>
          </w:rPr>
          <w:t>2</w:t>
        </w:r>
      </w:fldSimple>
      <w:bookmarkEnd w:id="1"/>
      <w:r>
        <w:rPr>
          <w:rFonts w:hint="eastAsia"/>
        </w:rPr>
        <w:t xml:space="preserve">　</w:t>
      </w:r>
      <w:r w:rsidR="00864103">
        <w:rPr>
          <w:rFonts w:hint="eastAsia"/>
        </w:rPr>
        <w:t>CDOの基本構造</w:t>
      </w:r>
    </w:p>
    <w:p w14:paraId="63A368EF" w14:textId="11D0FC3F" w:rsidR="008E697C" w:rsidRDefault="004C52C3" w:rsidP="00594561">
      <w:pPr>
        <w:pStyle w:val="a2"/>
      </w:pPr>
      <w:r>
        <w:rPr>
          <w:rFonts w:hint="eastAsia"/>
        </w:rPr>
        <w:lastRenderedPageBreak/>
        <w:t>当該トランシェの元本償還に損失が発生し始めるときのアセットプール全体の</w:t>
      </w:r>
      <w:r w:rsidR="007E4633">
        <w:rPr>
          <w:rFonts w:hint="eastAsia"/>
        </w:rPr>
        <w:t>損失率を「アタッチメントポイント（a</w:t>
      </w:r>
      <w:r w:rsidR="007E4633">
        <w:t>ttachment point</w:t>
      </w:r>
      <w:r w:rsidR="007E4633">
        <w:rPr>
          <w:rFonts w:hint="eastAsia"/>
        </w:rPr>
        <w:t>）」といい，</w:t>
      </w:r>
      <w:r w:rsidR="009E72D1">
        <w:rPr>
          <w:rFonts w:hint="eastAsia"/>
        </w:rPr>
        <w:t>当該トランシェの元本がちょうど全額毀損するときのアセット</w:t>
      </w:r>
      <w:r w:rsidR="006E4DBF">
        <w:rPr>
          <w:rFonts w:hint="eastAsia"/>
        </w:rPr>
        <w:t>プール全体の損失率を「デタッチメントポイント（d</w:t>
      </w:r>
      <w:r w:rsidR="006E4DBF">
        <w:t>etachment point</w:t>
      </w:r>
      <w:r w:rsidR="006E4DBF">
        <w:rPr>
          <w:rFonts w:hint="eastAsia"/>
        </w:rPr>
        <w:t>）」</w:t>
      </w:r>
      <w:r w:rsidR="006D091A">
        <w:rPr>
          <w:rFonts w:hint="eastAsia"/>
        </w:rPr>
        <w:t>という．</w:t>
      </w:r>
    </w:p>
    <w:p w14:paraId="4782C180" w14:textId="5FBBB5A0" w:rsidR="00B156C3" w:rsidRPr="006E4DBF" w:rsidRDefault="00000A38" w:rsidP="00594561">
      <w:pPr>
        <w:pStyle w:val="a2"/>
      </w:pPr>
      <w:r>
        <w:rPr>
          <w:rFonts w:hint="eastAsia"/>
        </w:rPr>
        <w:t>期中のCDO元利金払いは，アセットプール</w:t>
      </w:r>
      <w:r w:rsidR="00F92B3A">
        <w:rPr>
          <w:rFonts w:hint="eastAsia"/>
        </w:rPr>
        <w:t>から発生する元利金をもとに優先順位の高い方から順に行われるが</w:t>
      </w:r>
      <w:r w:rsidR="00F00FBC">
        <w:rPr>
          <w:rFonts w:hint="eastAsia"/>
        </w:rPr>
        <w:t>，この仕組みを「ウォーターフォール（w</w:t>
      </w:r>
      <w:r w:rsidR="00F00FBC">
        <w:t>aterfall</w:t>
      </w:r>
      <w:r w:rsidR="00F00FBC">
        <w:rPr>
          <w:rFonts w:hint="eastAsia"/>
        </w:rPr>
        <w:t>）」という．</w:t>
      </w:r>
    </w:p>
    <w:p w14:paraId="6F7765AB" w14:textId="77777777" w:rsidR="00B156C3" w:rsidRPr="00F00FBC" w:rsidRDefault="00B156C3" w:rsidP="00594561">
      <w:pPr>
        <w:pStyle w:val="a2"/>
      </w:pPr>
    </w:p>
    <w:p w14:paraId="39EE665D" w14:textId="382C034C" w:rsidR="00B156C3" w:rsidRDefault="00317EFB" w:rsidP="00317EFB">
      <w:pPr>
        <w:pStyle w:val="3"/>
      </w:pPr>
      <w:r>
        <w:rPr>
          <w:rFonts w:hint="eastAsia"/>
        </w:rPr>
        <w:t>シンセティック</w:t>
      </w:r>
      <w:r>
        <w:rPr>
          <w:rFonts w:hint="eastAsia"/>
        </w:rPr>
        <w:t>CDO</w:t>
      </w:r>
    </w:p>
    <w:p w14:paraId="335920D3" w14:textId="72BBC698" w:rsidR="00911A62" w:rsidRDefault="001D0542" w:rsidP="00911A62">
      <w:pPr>
        <w:pStyle w:val="a2"/>
      </w:pPr>
      <w:r>
        <w:fldChar w:fldCharType="begin"/>
      </w:r>
      <w:r>
        <w:instrText xml:space="preserve"> REF _Ref102836139 \h </w:instrText>
      </w:r>
      <w:r>
        <w:fldChar w:fldCharType="separate"/>
      </w:r>
      <w:r w:rsidR="0065506D">
        <w:t xml:space="preserve">図 </w:t>
      </w:r>
      <w:r w:rsidR="0065506D">
        <w:rPr>
          <w:noProof/>
        </w:rPr>
        <w:t>1</w:t>
      </w:r>
      <w:r w:rsidR="0065506D">
        <w:noBreakHyphen/>
      </w:r>
      <w:r w:rsidR="0065506D">
        <w:rPr>
          <w:noProof/>
        </w:rPr>
        <w:t>3</w:t>
      </w:r>
      <w:r>
        <w:fldChar w:fldCharType="end"/>
      </w:r>
      <w:r w:rsidR="00911A62">
        <w:rPr>
          <w:rFonts w:hint="eastAsia"/>
        </w:rPr>
        <w:t>に，SPV発行体とするシンセティックCDSの仕組みの概略を示す．</w:t>
      </w:r>
      <w:r w:rsidR="00535FFE">
        <w:rPr>
          <w:rFonts w:hint="eastAsia"/>
        </w:rPr>
        <w:t>参照債券にデフォルトが発生した場合，キャッシュ型CDOと同様</w:t>
      </w:r>
      <w:r w:rsidR="00120A60">
        <w:rPr>
          <w:rFonts w:hint="eastAsia"/>
        </w:rPr>
        <w:t>，CDOの想定元本の減額は「優先順位の低いトランシェ」から順に行われる．</w:t>
      </w:r>
      <w:r w:rsidR="00DA45FC">
        <w:rPr>
          <w:rFonts w:hint="eastAsia"/>
        </w:rPr>
        <w:t>そして満期時点ではSPVは残りの担保債を売却し，残存想定元本を投資家に償還する．</w:t>
      </w:r>
    </w:p>
    <w:p w14:paraId="17D9F23C" w14:textId="77777777" w:rsidR="006D6E9F" w:rsidRPr="00120A60" w:rsidRDefault="006D6E9F" w:rsidP="00317EFB">
      <w:pPr>
        <w:pStyle w:val="a2"/>
      </w:pPr>
    </w:p>
    <w:p w14:paraId="1FD52E5E" w14:textId="77777777" w:rsidR="006D6E9F" w:rsidRDefault="006D6E9F" w:rsidP="006D6E9F">
      <w:pPr>
        <w:pStyle w:val="a2"/>
        <w:keepNext/>
        <w:jc w:val="center"/>
      </w:pPr>
      <w:r>
        <w:rPr>
          <w:noProof/>
        </w:rPr>
        <w:drawing>
          <wp:inline distT="0" distB="0" distL="0" distR="0" wp14:anchorId="5BFA12A3" wp14:editId="44015062">
            <wp:extent cx="6417000" cy="3611160"/>
            <wp:effectExtent l="0" t="0" r="3175" b="889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7000" cy="3611160"/>
                    </a:xfrm>
                    <a:prstGeom prst="rect">
                      <a:avLst/>
                    </a:prstGeom>
                    <a:noFill/>
                    <a:ln>
                      <a:noFill/>
                    </a:ln>
                  </pic:spPr>
                </pic:pic>
              </a:graphicData>
            </a:graphic>
          </wp:inline>
        </w:drawing>
      </w:r>
    </w:p>
    <w:p w14:paraId="2E861A04" w14:textId="1750FAE0" w:rsidR="008E697C" w:rsidRDefault="006D6E9F" w:rsidP="006D6E9F">
      <w:pPr>
        <w:pStyle w:val="ad"/>
        <w:jc w:val="center"/>
      </w:pPr>
      <w:bookmarkStart w:id="2" w:name="_Ref102836139"/>
      <w:r>
        <w:t xml:space="preserve">図 </w:t>
      </w:r>
      <w:fldSimple w:instr=" STYLEREF 1 \s ">
        <w:r w:rsidR="0065506D">
          <w:rPr>
            <w:noProof/>
          </w:rPr>
          <w:t>1</w:t>
        </w:r>
      </w:fldSimple>
      <w:r w:rsidR="002B7D90">
        <w:noBreakHyphen/>
      </w:r>
      <w:fldSimple w:instr=" SEQ 図 \* ARABIC \s 1 ">
        <w:r w:rsidR="0065506D">
          <w:rPr>
            <w:noProof/>
          </w:rPr>
          <w:t>3</w:t>
        </w:r>
      </w:fldSimple>
      <w:bookmarkEnd w:id="2"/>
      <w:r>
        <w:rPr>
          <w:rFonts w:hint="eastAsia"/>
        </w:rPr>
        <w:t xml:space="preserve">　</w:t>
      </w:r>
      <w:r w:rsidR="00D00FD9">
        <w:rPr>
          <w:rFonts w:hint="eastAsia"/>
        </w:rPr>
        <w:t>シンセティックCDSの仕組み</w:t>
      </w:r>
    </w:p>
    <w:p w14:paraId="1527E8CB" w14:textId="77777777" w:rsidR="00DA45FC" w:rsidRDefault="00DA45FC" w:rsidP="00DA45FC">
      <w:pPr>
        <w:pStyle w:val="a2"/>
        <w:ind w:firstLineChars="0" w:firstLine="0"/>
      </w:pPr>
    </w:p>
    <w:tbl>
      <w:tblPr>
        <w:tblStyle w:val="ac"/>
        <w:tblW w:w="0" w:type="auto"/>
        <w:tblCellSpacing w:w="20" w:type="dxa"/>
        <w:tblBorders>
          <w:top w:val="dotDotDash" w:sz="8" w:space="0" w:color="auto"/>
          <w:left w:val="dotDotDash" w:sz="8" w:space="0" w:color="auto"/>
          <w:bottom w:val="dotDotDash" w:sz="8" w:space="0" w:color="auto"/>
          <w:right w:val="dotDotDash" w:sz="8" w:space="0" w:color="auto"/>
          <w:insideH w:val="single" w:sz="6" w:space="0" w:color="auto"/>
          <w:insideV w:val="single" w:sz="6" w:space="0" w:color="auto"/>
        </w:tblBorders>
        <w:tblLook w:val="04A0" w:firstRow="1" w:lastRow="0" w:firstColumn="1" w:lastColumn="0" w:noHBand="0" w:noVBand="1"/>
      </w:tblPr>
      <w:tblGrid>
        <w:gridCol w:w="10446"/>
      </w:tblGrid>
      <w:tr w:rsidR="00CF0458" w14:paraId="55E7AF25" w14:textId="77777777" w:rsidTr="00B942FD">
        <w:trPr>
          <w:tblCellSpacing w:w="20" w:type="dxa"/>
        </w:trPr>
        <w:tc>
          <w:tcPr>
            <w:tcW w:w="10456" w:type="dxa"/>
          </w:tcPr>
          <w:p w14:paraId="662FE16B" w14:textId="25CB0263" w:rsidR="00CF0458" w:rsidRDefault="00CF0458" w:rsidP="00B942FD">
            <w:pPr>
              <w:pStyle w:val="a2"/>
              <w:ind w:firstLineChars="0" w:firstLine="0"/>
            </w:pPr>
            <w:r>
              <w:rPr>
                <w:rFonts w:hint="eastAsia"/>
              </w:rPr>
              <w:t>CDSの発行額はCDSの想定元本総額と一致する必要はなく，通常は</w:t>
            </w:r>
            <w:r w:rsidR="002C5B8F">
              <w:rPr>
                <w:rFonts w:hint="eastAsia"/>
              </w:rPr>
              <w:t>C</w:t>
            </w:r>
            <w:r w:rsidR="002C5B8F">
              <w:t>DS</w:t>
            </w:r>
            <w:r w:rsidR="002C5B8F">
              <w:rPr>
                <w:rFonts w:hint="eastAsia"/>
              </w:rPr>
              <w:t>の想定元本を大きく上回</w:t>
            </w:r>
            <w:r w:rsidR="00CC448E">
              <w:rPr>
                <w:rFonts w:hint="eastAsia"/>
              </w:rPr>
              <w:t>る</w:t>
            </w:r>
            <w:r w:rsidR="002C5B8F">
              <w:rPr>
                <w:rFonts w:hint="eastAsia"/>
              </w:rPr>
              <w:t>ことが多い</w:t>
            </w:r>
            <w:r w:rsidR="00CC448E">
              <w:rPr>
                <w:rStyle w:val="af6"/>
              </w:rPr>
              <w:footnoteReference w:id="2"/>
            </w:r>
            <w:r w:rsidR="002C5B8F">
              <w:rPr>
                <w:rFonts w:hint="eastAsia"/>
              </w:rPr>
              <w:t>．</w:t>
            </w:r>
            <w:r w:rsidR="00FF15D8">
              <w:rPr>
                <w:rFonts w:hint="eastAsia"/>
              </w:rPr>
              <w:t>その場合，差額部分はC</w:t>
            </w:r>
            <w:r w:rsidR="00FF15D8">
              <w:t>DO</w:t>
            </w:r>
            <w:r w:rsidR="00FF15D8">
              <w:rPr>
                <w:rFonts w:hint="eastAsia"/>
              </w:rPr>
              <w:t>よりも優先順位が高いことになり，</w:t>
            </w:r>
            <w:r w:rsidR="00CC448E">
              <w:rPr>
                <w:rFonts w:hint="eastAsia"/>
              </w:rPr>
              <w:t>これを「スーパーシニア</w:t>
            </w:r>
            <w:r w:rsidR="00DD23C5">
              <w:rPr>
                <w:rStyle w:val="af6"/>
              </w:rPr>
              <w:footnoteReference w:id="3"/>
            </w:r>
            <w:r w:rsidR="00CC448E">
              <w:rPr>
                <w:rFonts w:hint="eastAsia"/>
              </w:rPr>
              <w:t>」という．</w:t>
            </w:r>
          </w:p>
        </w:tc>
      </w:tr>
    </w:tbl>
    <w:p w14:paraId="6C9689C3" w14:textId="77777777" w:rsidR="00CF0458" w:rsidRPr="00CF0458" w:rsidRDefault="00CF0458" w:rsidP="00DA45FC">
      <w:pPr>
        <w:pStyle w:val="a2"/>
        <w:ind w:firstLineChars="0" w:firstLine="0"/>
      </w:pPr>
    </w:p>
    <w:p w14:paraId="7992685D" w14:textId="1EC46CA1" w:rsidR="00000878" w:rsidRDefault="001F249F" w:rsidP="00A51DA4">
      <w:pPr>
        <w:pStyle w:val="a2"/>
      </w:pPr>
      <w:r>
        <w:rPr>
          <w:rFonts w:hint="eastAsia"/>
        </w:rPr>
        <w:t>デフォルト発生により，</w:t>
      </w:r>
      <w:r w:rsidR="00000878">
        <w:rPr>
          <w:rFonts w:hint="eastAsia"/>
        </w:rPr>
        <w:t>CDSポートフォリオの想定元本総額はデフォルト資産の想定元本（Aとする）だけ低下するが，CDO側では，その時点で優先順位の最も低いトランシェの想定元本がCDSの変動払分（Bとする）</w:t>
      </w:r>
      <w:r w:rsidR="00000878">
        <w:rPr>
          <w:rFonts w:hint="eastAsia"/>
        </w:rPr>
        <w:lastRenderedPageBreak/>
        <w:t>だけ減額されるととともに，（スーパーシニアを含めた）</w:t>
      </w:r>
      <w:r w:rsidR="00A51DA4">
        <w:rPr>
          <w:rFonts w:hint="eastAsia"/>
        </w:rPr>
        <w:t>最上位のトランシェの想定元本から</w:t>
      </w:r>
      <m:oMath>
        <m:r>
          <w:rPr>
            <w:rFonts w:ascii="Cambria Math" w:hAnsi="Cambria Math" w:hint="eastAsia"/>
          </w:rPr>
          <m:t>A</m:t>
        </m:r>
        <m:r>
          <w:rPr>
            <w:rFonts w:ascii="Cambria Math" w:hAnsi="Cambria Math" w:hint="eastAsia"/>
          </w:rPr>
          <m:t>-</m:t>
        </m:r>
        <m:r>
          <w:rPr>
            <w:rFonts w:ascii="Cambria Math" w:hAnsi="Cambria Math" w:hint="eastAsia"/>
          </w:rPr>
          <m:t>B</m:t>
        </m:r>
      </m:oMath>
      <w:r w:rsidR="00A51DA4">
        <w:rPr>
          <w:rFonts w:hint="eastAsia"/>
        </w:rPr>
        <w:t>が償還されることになる．この結果，残存想定元本の総額は</w:t>
      </w:r>
      <w:r w:rsidR="005A0FDB">
        <w:rPr>
          <w:rFonts w:hint="eastAsia"/>
        </w:rPr>
        <w:t>，CDSポートフォリオとCDO側（</w:t>
      </w:r>
      <w:r w:rsidR="005A0FDB">
        <w:t>funded CDO</w:t>
      </w:r>
      <w:r w:rsidR="005A0FDB">
        <w:rPr>
          <w:rFonts w:hint="eastAsia"/>
        </w:rPr>
        <w:t>＋スーパーシニア）で常に一致する．</w:t>
      </w:r>
    </w:p>
    <w:p w14:paraId="7D485549" w14:textId="77777777" w:rsidR="002F493E" w:rsidRDefault="002F493E" w:rsidP="00594561">
      <w:pPr>
        <w:pStyle w:val="a2"/>
      </w:pPr>
    </w:p>
    <w:p w14:paraId="304E54A6" w14:textId="76B46730" w:rsidR="002F493E" w:rsidRDefault="00082ED2" w:rsidP="00594561">
      <w:pPr>
        <w:pStyle w:val="a2"/>
      </w:pPr>
      <w:r>
        <w:rPr>
          <w:rFonts w:hint="eastAsia"/>
        </w:rPr>
        <w:t>【</w:t>
      </w:r>
      <w:r w:rsidR="002B7D90">
        <w:rPr>
          <w:rFonts w:hint="eastAsia"/>
        </w:rPr>
        <w:t>シンセティックCDOの売買</w:t>
      </w:r>
      <w:r>
        <w:rPr>
          <w:rFonts w:hint="eastAsia"/>
        </w:rPr>
        <w:t>】</w:t>
      </w:r>
    </w:p>
    <w:p w14:paraId="2CFE1680" w14:textId="318F6373" w:rsidR="002B7D90" w:rsidRDefault="002B7D90" w:rsidP="002B7D90">
      <w:pPr>
        <w:pStyle w:val="a2"/>
        <w:numPr>
          <w:ilvl w:val="0"/>
          <w:numId w:val="45"/>
        </w:numPr>
        <w:ind w:firstLineChars="0"/>
      </w:pPr>
      <w:r>
        <w:rPr>
          <w:rFonts w:hint="eastAsia"/>
        </w:rPr>
        <w:t>シンセティックCDOは，キャッシュ型</w:t>
      </w:r>
      <w:r>
        <w:t>CDO</w:t>
      </w:r>
      <w:r>
        <w:rPr>
          <w:rFonts w:hint="eastAsia"/>
        </w:rPr>
        <w:t>と同様に複数のトランシェに分割</w:t>
      </w:r>
    </w:p>
    <w:p w14:paraId="0BC83E82" w14:textId="171344CF" w:rsidR="002B7D90" w:rsidRDefault="002B7D90" w:rsidP="002B7D90">
      <w:pPr>
        <w:pStyle w:val="a2"/>
        <w:numPr>
          <w:ilvl w:val="0"/>
          <w:numId w:val="45"/>
        </w:numPr>
        <w:ind w:firstLineChars="0"/>
      </w:pPr>
      <w:r>
        <w:rPr>
          <w:rFonts w:hint="eastAsia"/>
        </w:rPr>
        <w:t>各トランシェは一般に多数の投資家により購入される</w:t>
      </w:r>
    </w:p>
    <w:p w14:paraId="0B1475DE" w14:textId="1FBC89A4" w:rsidR="002B7D90" w:rsidRDefault="002B7D90" w:rsidP="002B7D90">
      <w:pPr>
        <w:pStyle w:val="a2"/>
        <w:numPr>
          <w:ilvl w:val="0"/>
          <w:numId w:val="45"/>
        </w:numPr>
        <w:ind w:firstLineChars="0"/>
      </w:pPr>
      <w:r>
        <w:rPr>
          <w:rFonts w:hint="eastAsia"/>
        </w:rPr>
        <w:t>一方，同様に構成されたシンセティックCDOの</w:t>
      </w:r>
      <w:r w:rsidRPr="002B7D90">
        <w:rPr>
          <w:rFonts w:hint="eastAsia"/>
        </w:rPr>
        <w:t>ある特定のトランシェだけを特定の投資家が購入</w:t>
      </w:r>
      <w:r>
        <w:rPr>
          <w:rFonts w:hint="eastAsia"/>
        </w:rPr>
        <w:t>することもある</w:t>
      </w:r>
    </w:p>
    <w:p w14:paraId="55F3C85D" w14:textId="2AB383E0" w:rsidR="002B7D90" w:rsidRDefault="002B7D90" w:rsidP="002B7D90">
      <w:pPr>
        <w:pStyle w:val="a2"/>
        <w:numPr>
          <w:ilvl w:val="0"/>
          <w:numId w:val="45"/>
        </w:numPr>
        <w:ind w:firstLineChars="0"/>
      </w:pPr>
      <w:r>
        <w:rPr>
          <w:rFonts w:hint="eastAsia"/>
        </w:rPr>
        <w:t>上記のことを「シングルトランシェ・シンセティックCDO」という</w:t>
      </w:r>
    </w:p>
    <w:p w14:paraId="7BF2CFEC" w14:textId="77777777" w:rsidR="00DA45FC" w:rsidRDefault="00DA45FC" w:rsidP="00594561">
      <w:pPr>
        <w:pStyle w:val="a2"/>
      </w:pPr>
    </w:p>
    <w:p w14:paraId="303BAB2C" w14:textId="77777777" w:rsidR="00DA45FC" w:rsidRDefault="00DA45FC" w:rsidP="00594561">
      <w:pPr>
        <w:pStyle w:val="a2"/>
      </w:pPr>
    </w:p>
    <w:p w14:paraId="0C443861" w14:textId="068E9402" w:rsidR="00DA45FC" w:rsidRDefault="002B7D90" w:rsidP="002B7D90">
      <w:pPr>
        <w:pStyle w:val="5"/>
      </w:pPr>
      <w:r>
        <w:rPr>
          <w:rFonts w:hint="eastAsia"/>
        </w:rPr>
        <w:t>クレジット・デフォルトスワップ（</w:t>
      </w:r>
      <w:r>
        <w:rPr>
          <w:rFonts w:hint="eastAsia"/>
        </w:rPr>
        <w:t>C</w:t>
      </w:r>
      <w:r>
        <w:t>redit Defa</w:t>
      </w:r>
      <w:r w:rsidR="00F35FC0">
        <w:rPr>
          <w:rFonts w:hint="eastAsia"/>
        </w:rPr>
        <w:t>u</w:t>
      </w:r>
      <w:r>
        <w:t>lt Sw</w:t>
      </w:r>
      <w:r>
        <w:rPr>
          <w:rFonts w:hint="eastAsia"/>
        </w:rPr>
        <w:t>a</w:t>
      </w:r>
      <w:r>
        <w:t>p</w:t>
      </w:r>
      <w:r>
        <w:rPr>
          <w:rFonts w:hint="eastAsia"/>
        </w:rPr>
        <w:t>：</w:t>
      </w:r>
      <w:r>
        <w:rPr>
          <w:rFonts w:hint="eastAsia"/>
        </w:rPr>
        <w:t>C</w:t>
      </w:r>
      <w:r>
        <w:t>DS</w:t>
      </w:r>
      <w:r>
        <w:rPr>
          <w:rFonts w:hint="eastAsia"/>
        </w:rPr>
        <w:t>）</w:t>
      </w:r>
    </w:p>
    <w:p w14:paraId="412E120B" w14:textId="69E7CC83" w:rsidR="002B7D90" w:rsidRDefault="002B7D90" w:rsidP="002B7D90">
      <w:pPr>
        <w:pStyle w:val="a2"/>
      </w:pPr>
      <w:r>
        <w:rPr>
          <w:rFonts w:hint="eastAsia"/>
        </w:rPr>
        <w:t>契約によって定められた参照資産が定められた信用事由（破産，債務不履行，リストラクチャリングなど）に陥った時に定められた支払いが発生する金融商品を指す．</w:t>
      </w:r>
    </w:p>
    <w:p w14:paraId="20C7E3BB" w14:textId="77777777" w:rsidR="002B7D90" w:rsidRDefault="002B7D90" w:rsidP="002B7D90">
      <w:pPr>
        <w:pStyle w:val="a2"/>
        <w:keepNext/>
        <w:jc w:val="center"/>
      </w:pPr>
      <w:r>
        <w:rPr>
          <w:noProof/>
        </w:rPr>
        <w:drawing>
          <wp:inline distT="0" distB="0" distL="0" distR="0" wp14:anchorId="3936FD8C" wp14:editId="2B0C70BA">
            <wp:extent cx="5669640" cy="2160360"/>
            <wp:effectExtent l="0" t="0" r="762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640" cy="2160360"/>
                    </a:xfrm>
                    <a:prstGeom prst="rect">
                      <a:avLst/>
                    </a:prstGeom>
                    <a:noFill/>
                    <a:ln>
                      <a:noFill/>
                    </a:ln>
                  </pic:spPr>
                </pic:pic>
              </a:graphicData>
            </a:graphic>
          </wp:inline>
        </w:drawing>
      </w:r>
    </w:p>
    <w:p w14:paraId="127909E4" w14:textId="1DDACE97" w:rsidR="002B7D90" w:rsidRDefault="002B7D90" w:rsidP="002B7D90">
      <w:pPr>
        <w:pStyle w:val="ad"/>
        <w:jc w:val="center"/>
      </w:pPr>
      <w:bookmarkStart w:id="3" w:name="_Ref102838860"/>
      <w:r>
        <w:t xml:space="preserve">図 </w:t>
      </w:r>
      <w:fldSimple w:instr=" STYLEREF 1 \s ">
        <w:r w:rsidR="0065506D">
          <w:rPr>
            <w:noProof/>
          </w:rPr>
          <w:t>1</w:t>
        </w:r>
      </w:fldSimple>
      <w:r>
        <w:noBreakHyphen/>
      </w:r>
      <w:fldSimple w:instr=" SEQ 図 \* ARABIC \s 1 ">
        <w:r w:rsidR="0065506D">
          <w:rPr>
            <w:noProof/>
          </w:rPr>
          <w:t>4</w:t>
        </w:r>
      </w:fldSimple>
      <w:bookmarkEnd w:id="3"/>
      <w:r>
        <w:rPr>
          <w:rFonts w:hint="eastAsia"/>
        </w:rPr>
        <w:t xml:space="preserve">　</w:t>
      </w:r>
      <w:r w:rsidR="00BC6683">
        <w:rPr>
          <w:rFonts w:hint="eastAsia"/>
        </w:rPr>
        <w:t>クレジット</w:t>
      </w:r>
      <w:r w:rsidR="00957299">
        <w:rPr>
          <w:rFonts w:hint="eastAsia"/>
        </w:rPr>
        <w:t>・</w:t>
      </w:r>
      <w:r w:rsidR="00BC6683">
        <w:rPr>
          <w:rFonts w:hint="eastAsia"/>
        </w:rPr>
        <w:t>デフォルトスワップ（CDS）</w:t>
      </w:r>
    </w:p>
    <w:p w14:paraId="7A3ED6EF" w14:textId="77777777" w:rsidR="002B7D90" w:rsidRDefault="002B7D90" w:rsidP="002B7D90">
      <w:pPr>
        <w:pStyle w:val="a2"/>
      </w:pPr>
    </w:p>
    <w:p w14:paraId="40D0F792" w14:textId="6EE0F9D1" w:rsidR="002B7D90" w:rsidRPr="008D475A" w:rsidRDefault="00144D22" w:rsidP="009E40D7">
      <w:pPr>
        <w:pStyle w:val="a2"/>
      </w:pPr>
      <w:r>
        <w:fldChar w:fldCharType="begin"/>
      </w:r>
      <w:r>
        <w:instrText xml:space="preserve"> REF _Ref102838860 \h </w:instrText>
      </w:r>
      <w:r>
        <w:fldChar w:fldCharType="separate"/>
      </w:r>
      <w:r>
        <w:t xml:space="preserve">図 </w:t>
      </w:r>
      <w:r>
        <w:rPr>
          <w:noProof/>
        </w:rPr>
        <w:t>1</w:t>
      </w:r>
      <w:r>
        <w:noBreakHyphen/>
      </w:r>
      <w:r>
        <w:rPr>
          <w:noProof/>
        </w:rPr>
        <w:t>4</w:t>
      </w:r>
      <w:r>
        <w:fldChar w:fldCharType="end"/>
      </w:r>
      <w:r w:rsidR="00B13112">
        <w:rPr>
          <w:rFonts w:hint="eastAsia"/>
        </w:rPr>
        <w:t>左図の定期的な</w:t>
      </w:r>
      <w:r w:rsidR="0008234F">
        <w:rPr>
          <w:rFonts w:hint="eastAsia"/>
        </w:rPr>
        <w:t>プレミアム支払いを</w:t>
      </w:r>
      <w:r w:rsidR="0008234F" w:rsidRPr="0008234F">
        <w:rPr>
          <w:rFonts w:hint="eastAsia"/>
          <w:b/>
          <w:bCs/>
        </w:rPr>
        <w:t>固定払</w:t>
      </w:r>
      <w:r w:rsidR="0008234F">
        <w:rPr>
          <w:rFonts w:hint="eastAsia"/>
        </w:rPr>
        <w:t>，</w:t>
      </w:r>
      <w:r w:rsidR="00F25C7F">
        <w:rPr>
          <w:rFonts w:hint="eastAsia"/>
        </w:rPr>
        <w:t>右側の信用事由</w:t>
      </w:r>
      <w:r w:rsidR="008D475A">
        <w:rPr>
          <w:rFonts w:hint="eastAsia"/>
        </w:rPr>
        <w:t>発生時の支払いを</w:t>
      </w:r>
      <w:r w:rsidR="008D475A" w:rsidRPr="008D475A">
        <w:rPr>
          <w:rFonts w:hint="eastAsia"/>
          <w:b/>
          <w:bCs/>
        </w:rPr>
        <w:t>変動払</w:t>
      </w:r>
      <w:r w:rsidR="008D475A">
        <w:rPr>
          <w:rFonts w:hint="eastAsia"/>
        </w:rPr>
        <w:t>という．参照資産が複数の</w:t>
      </w:r>
      <w:r w:rsidR="00CD2036">
        <w:rPr>
          <w:rFonts w:hint="eastAsia"/>
        </w:rPr>
        <w:t>CDSを「バケット型</w:t>
      </w:r>
      <w:r w:rsidR="009E40D7">
        <w:rPr>
          <w:rFonts w:hint="eastAsia"/>
        </w:rPr>
        <w:t>CDS</w:t>
      </w:r>
      <w:r w:rsidR="00CD2036">
        <w:rPr>
          <w:rFonts w:hint="eastAsia"/>
        </w:rPr>
        <w:t>」</w:t>
      </w:r>
      <w:r w:rsidR="009E40D7">
        <w:rPr>
          <w:rFonts w:hint="eastAsia"/>
        </w:rPr>
        <w:t>といい，特に，最初のデフォルトした参照した資産に応じて支払いが行われるものを「ファースト・トゥ・デフォルト型」という．</w:t>
      </w:r>
    </w:p>
    <w:p w14:paraId="11A42C9D" w14:textId="77777777" w:rsidR="002B7D90" w:rsidRDefault="002B7D90" w:rsidP="002B7D90">
      <w:pPr>
        <w:pStyle w:val="a2"/>
      </w:pPr>
    </w:p>
    <w:p w14:paraId="051C095D" w14:textId="50E8C5F9" w:rsidR="002B7D90" w:rsidRDefault="00E34E9E" w:rsidP="00863F97">
      <w:pPr>
        <w:pStyle w:val="5"/>
      </w:pPr>
      <w:r>
        <w:rPr>
          <w:rFonts w:hint="eastAsia"/>
        </w:rPr>
        <w:t>グラニュラリティ調整</w:t>
      </w:r>
    </w:p>
    <w:p w14:paraId="4D19BDBE" w14:textId="0DF0C510" w:rsidR="00E34E9E" w:rsidRPr="00E34E9E" w:rsidRDefault="00E34E9E" w:rsidP="00E34E9E">
      <w:pPr>
        <w:pStyle w:val="a2"/>
        <w:rPr>
          <w:rFonts w:hint="eastAsia"/>
        </w:rPr>
      </w:pPr>
      <w:r>
        <w:rPr>
          <w:rFonts w:hint="eastAsia"/>
        </w:rPr>
        <w:t>実際の貸付ポートフォリオでは，債務者がそれほど多いことないことや，</w:t>
      </w:r>
      <w:r w:rsidR="00746380">
        <w:rPr>
          <w:rFonts w:hint="eastAsia"/>
        </w:rPr>
        <w:t>少数の企業に与信額が集中していることがあり，そのような場合には実際の損失率分布と極限損失分布</w:t>
      </w:r>
      <w:r w:rsidR="00D879C3">
        <w:rPr>
          <w:rStyle w:val="af6"/>
        </w:rPr>
        <w:footnoteReference w:id="4"/>
      </w:r>
      <w:r w:rsidR="00A24F56">
        <w:rPr>
          <w:rFonts w:hint="eastAsia"/>
        </w:rPr>
        <w:t>の乖離が大きくなる．</w:t>
      </w:r>
      <w:r w:rsidR="002A1BC2">
        <w:rPr>
          <w:rFonts w:hint="eastAsia"/>
        </w:rPr>
        <w:t>こ</w:t>
      </w:r>
      <w:r w:rsidR="00A24F56">
        <w:rPr>
          <w:rFonts w:hint="eastAsia"/>
        </w:rPr>
        <w:t>の乖離</w:t>
      </w:r>
      <w:r w:rsidR="005557A5">
        <w:rPr>
          <w:rFonts w:hint="eastAsia"/>
        </w:rPr>
        <w:t>について</w:t>
      </w:r>
      <w:r w:rsidR="00C338F0">
        <w:rPr>
          <w:rFonts w:hint="eastAsia"/>
        </w:rPr>
        <w:t>テイラー展開を利用して埋めようとするのが，グラニュラリティ（</w:t>
      </w:r>
      <w:r w:rsidR="00F9196C">
        <w:rPr>
          <w:rFonts w:hint="eastAsia"/>
        </w:rPr>
        <w:t>粒度</w:t>
      </w:r>
      <w:r w:rsidR="00C338F0">
        <w:rPr>
          <w:rFonts w:hint="eastAsia"/>
        </w:rPr>
        <w:t>）</w:t>
      </w:r>
      <w:r w:rsidR="00F9196C">
        <w:rPr>
          <w:rFonts w:hint="eastAsia"/>
        </w:rPr>
        <w:t>調整</w:t>
      </w:r>
      <w:r w:rsidR="00F9196C">
        <w:rPr>
          <w:rFonts w:hint="eastAsia"/>
        </w:rPr>
        <w:t>である．</w:t>
      </w:r>
    </w:p>
    <w:p w14:paraId="1C15C05B" w14:textId="24020897" w:rsidR="00F9196C" w:rsidRDefault="005557A5" w:rsidP="00E93148">
      <w:pPr>
        <w:pStyle w:val="a2"/>
        <w:rPr>
          <w:rFonts w:hint="eastAsia"/>
        </w:rPr>
      </w:pPr>
      <w:r>
        <w:rPr>
          <w:rFonts w:hint="eastAsia"/>
        </w:rPr>
        <w:t>ポートフォリオの損失率を以下で表現する．</w:t>
      </w:r>
    </w:p>
    <w:tbl>
      <w:tblPr>
        <w:tblStyle w:val="ac"/>
        <w:tblW w:w="10485" w:type="dxa"/>
        <w:tblBorders>
          <w:top w:val="dotted" w:sz="4" w:space="0" w:color="auto"/>
          <w:left w:val="dotted" w:sz="4" w:space="0" w:color="auto"/>
          <w:bottom w:val="dotted" w:sz="4" w:space="0" w:color="auto"/>
          <w:right w:val="dotted" w:sz="4" w:space="0" w:color="auto"/>
          <w:insideH w:val="none" w:sz="0" w:space="0" w:color="auto"/>
          <w:insideV w:val="dotted" w:sz="4" w:space="0" w:color="auto"/>
        </w:tblBorders>
        <w:tblLook w:val="04A0" w:firstRow="1" w:lastRow="0" w:firstColumn="1" w:lastColumn="0" w:noHBand="0" w:noVBand="1"/>
      </w:tblPr>
      <w:tblGrid>
        <w:gridCol w:w="9067"/>
        <w:gridCol w:w="1418"/>
      </w:tblGrid>
      <w:tr w:rsidR="00E93148" w14:paraId="1F21D65E" w14:textId="6F949B2B" w:rsidTr="007D3162">
        <w:tc>
          <w:tcPr>
            <w:tcW w:w="9067" w:type="dxa"/>
          </w:tcPr>
          <w:p w14:paraId="73463648" w14:textId="77777777" w:rsidR="00E93148" w:rsidRPr="00D078A4" w:rsidRDefault="00E93148" w:rsidP="00E93148">
            <w:pPr>
              <w:pStyle w:val="a2"/>
              <w:ind w:firstLineChars="0" w:firstLine="0"/>
            </w:pPr>
            <m:oMathPara>
              <m:oMath>
                <m:r>
                  <w:rPr>
                    <w:rFonts w:ascii="Cambria Math" w:hAnsi="Cambria Math"/>
                  </w:rPr>
                  <w:lastRenderedPageBreak/>
                  <m:t>L=</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L|V</m:t>
                    </m:r>
                  </m:e>
                </m:d>
                <m:r>
                  <w:rPr>
                    <w:rFonts w:ascii="Cambria Math" w:hAnsi="Cambria Math"/>
                  </w:rPr>
                  <m:t>+U</m:t>
                </m:r>
              </m:oMath>
            </m:oMathPara>
          </w:p>
          <w:p w14:paraId="4FC058E0" w14:textId="77777777" w:rsidR="00D078A4" w:rsidRPr="00E93148" w:rsidRDefault="00D078A4" w:rsidP="00E93148">
            <w:pPr>
              <w:pStyle w:val="a2"/>
              <w:ind w:firstLineChars="0" w:firstLine="0"/>
              <w:rPr>
                <w:rFonts w:hint="eastAsia"/>
              </w:rPr>
            </w:pPr>
          </w:p>
          <w:p w14:paraId="6CF9A554" w14:textId="59C97C09" w:rsidR="007D3162" w:rsidRPr="00E93148" w:rsidRDefault="00E93148" w:rsidP="00E93148">
            <w:pPr>
              <w:pStyle w:val="a2"/>
              <w:ind w:firstLineChars="0" w:firstLine="0"/>
              <w:rPr>
                <w:rFonts w:hint="eastAsia"/>
              </w:rPr>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L|V</m:t>
                  </m:r>
                </m:e>
              </m:d>
            </m:oMath>
            <w:r>
              <w:tab/>
            </w:r>
            <w:r w:rsidR="007D3162">
              <w:rPr>
                <w:rFonts w:hint="eastAsia"/>
              </w:rPr>
              <w:t>：</w:t>
            </w:r>
            <w:r w:rsidR="00D078A4">
              <w:rPr>
                <w:rFonts w:hint="eastAsia"/>
              </w:rPr>
              <w:t>システマティックリスク</w:t>
            </w:r>
          </w:p>
          <w:p w14:paraId="0017764B" w14:textId="072532A0" w:rsidR="007D3162" w:rsidRDefault="00E93148" w:rsidP="00E93148">
            <w:pPr>
              <w:pStyle w:val="a2"/>
              <w:ind w:firstLineChars="0" w:firstLine="0"/>
              <w:rPr>
                <w:rFonts w:hint="eastAsia"/>
              </w:rPr>
            </w:pPr>
            <m:oMath>
              <m:r>
                <w:rPr>
                  <w:rFonts w:ascii="Cambria Math" w:hAnsi="Cambria Math"/>
                </w:rPr>
                <m:t>U</m:t>
              </m:r>
            </m:oMath>
            <w:r w:rsidR="007D3162">
              <w:tab/>
            </w:r>
            <w:r w:rsidR="007D3162">
              <w:rPr>
                <w:rFonts w:hint="eastAsia"/>
              </w:rPr>
              <w:t>：</w:t>
            </w:r>
            <w:r w:rsidR="00D078A4">
              <w:rPr>
                <w:rFonts w:hint="eastAsia"/>
              </w:rPr>
              <w:t>非システマティックリスク</w:t>
            </w:r>
          </w:p>
        </w:tc>
        <w:tc>
          <w:tcPr>
            <w:tcW w:w="1418" w:type="dxa"/>
          </w:tcPr>
          <w:p w14:paraId="4B390F29" w14:textId="77777777" w:rsidR="00E93148" w:rsidRDefault="00E93148" w:rsidP="00E93148">
            <w:pPr>
              <w:pStyle w:val="a2"/>
              <w:ind w:firstLineChars="0" w:firstLine="0"/>
              <w:rPr>
                <w:rFonts w:hint="eastAsia"/>
              </w:rPr>
            </w:pPr>
          </w:p>
        </w:tc>
      </w:tr>
    </w:tbl>
    <w:p w14:paraId="3CEAA229" w14:textId="77777777" w:rsidR="00F9196C" w:rsidRDefault="00F9196C" w:rsidP="00E93148">
      <w:pPr>
        <w:pStyle w:val="a2"/>
        <w:ind w:firstLineChars="0" w:firstLine="0"/>
        <w:rPr>
          <w:rFonts w:hint="eastAsia"/>
        </w:rPr>
      </w:pPr>
    </w:p>
    <w:p w14:paraId="5AF9F624" w14:textId="44258716" w:rsidR="007B32D6" w:rsidRDefault="002E16EE" w:rsidP="007B32D6">
      <w:pPr>
        <w:pStyle w:val="a2"/>
        <w:ind w:firstLineChars="0" w:firstLine="0"/>
      </w:pPr>
      <w:r>
        <w:rPr>
          <w:rFonts w:hint="eastAsia"/>
        </w:rPr>
        <w:t>新たな確率変数</w:t>
      </w:r>
      <m:oMath>
        <m:sSub>
          <m:sSubPr>
            <m:ctrlPr>
              <w:rPr>
                <w:rFonts w:ascii="Cambria Math" w:hAnsi="Cambria Math"/>
                <w:i/>
              </w:rPr>
            </m:ctrlPr>
          </m:sSubPr>
          <m:e>
            <m:r>
              <w:rPr>
                <w:rFonts w:ascii="Cambria Math" w:hAnsi="Cambria Math"/>
              </w:rPr>
              <m:t>L</m:t>
            </m:r>
          </m:e>
          <m:sub>
            <m:r>
              <w:rPr>
                <w:rFonts w:ascii="Cambria Math" w:hAnsi="Cambria Math"/>
              </w:rPr>
              <m:t>ϵ</m:t>
            </m:r>
          </m:sub>
        </m:sSub>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L|V</m:t>
            </m:r>
          </m:e>
        </m:d>
        <m:r>
          <w:rPr>
            <w:rFonts w:ascii="Cambria Math" w:hAnsi="Cambria Math"/>
          </w:rPr>
          <m:t>+</m:t>
        </m:r>
        <m:r>
          <w:rPr>
            <w:rFonts w:ascii="Cambria Math" w:hAnsi="Cambria Math"/>
          </w:rPr>
          <m:t>ϵ</m:t>
        </m:r>
        <m:r>
          <w:rPr>
            <w:rFonts w:ascii="Cambria Math" w:hAnsi="Cambria Math"/>
          </w:rPr>
          <m:t>U</m:t>
        </m:r>
      </m:oMath>
      <w:r w:rsidR="00357EA3">
        <w:rPr>
          <w:rFonts w:hint="eastAsia"/>
        </w:rPr>
        <w:t>を導入し，</w:t>
      </w:r>
      <m:oMath>
        <m:sSub>
          <m:sSubPr>
            <m:ctrlPr>
              <w:rPr>
                <w:rFonts w:ascii="Cambria Math" w:hAnsi="Cambria Math"/>
                <w:i/>
              </w:rPr>
            </m:ctrlPr>
          </m:sSubPr>
          <m:e>
            <m:r>
              <w:rPr>
                <w:rFonts w:ascii="Cambria Math" w:hAnsi="Cambria Math"/>
              </w:rPr>
              <m:t>Q</m:t>
            </m:r>
          </m:e>
          <m:sub>
            <m:r>
              <w:rPr>
                <w:rFonts w:ascii="Cambria Math" w:hAnsi="Cambria Math"/>
              </w:rPr>
              <m:t>α</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ϵ</m:t>
                </m:r>
              </m:sub>
            </m:sSub>
          </m:e>
        </m:d>
      </m:oMath>
      <w:r w:rsidR="00150C0F">
        <w:rPr>
          <w:rFonts w:hint="eastAsia"/>
        </w:rPr>
        <w:t>が</w:t>
      </w:r>
      <m:oMath>
        <m:sSub>
          <m:sSubPr>
            <m:ctrlPr>
              <w:rPr>
                <w:rFonts w:ascii="Cambria Math" w:hAnsi="Cambria Math"/>
                <w:i/>
              </w:rPr>
            </m:ctrlPr>
          </m:sSubPr>
          <m:e>
            <m:r>
              <w:rPr>
                <w:rFonts w:ascii="Cambria Math" w:hAnsi="Cambria Math"/>
              </w:rPr>
              <m:t>L</m:t>
            </m:r>
          </m:e>
          <m:sub>
            <m:r>
              <w:rPr>
                <w:rFonts w:ascii="Cambria Math" w:hAnsi="Cambria Math"/>
              </w:rPr>
              <m:t>ϵ</m:t>
            </m:r>
          </m:sub>
        </m:sSub>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L|V</m:t>
            </m:r>
          </m:e>
        </m:d>
      </m:oMath>
      <w:r w:rsidR="007B32D6">
        <w:rPr>
          <w:rFonts w:hint="eastAsia"/>
        </w:rPr>
        <w:t>の近傍で</w:t>
      </w:r>
      <m:oMath>
        <m:r>
          <w:rPr>
            <w:rFonts w:ascii="Cambria Math" w:hAnsi="Cambria Math"/>
          </w:rPr>
          <m:t>ϵ</m:t>
        </m:r>
      </m:oMath>
      <w:r w:rsidR="007B32D6">
        <w:rPr>
          <w:rFonts w:hint="eastAsia"/>
        </w:rPr>
        <w:t>でテイラー展開</w:t>
      </w:r>
      <w:r w:rsidR="00257187">
        <w:rPr>
          <w:rFonts w:hint="eastAsia"/>
        </w:rPr>
        <w:t>できると仮定し，</w:t>
      </w:r>
      <m:oMath>
        <m:r>
          <w:rPr>
            <w:rFonts w:ascii="Cambria Math" w:hAnsi="Cambria Math"/>
          </w:rPr>
          <m:t>ϵ=1</m:t>
        </m:r>
      </m:oMath>
      <w:r w:rsidR="00257187">
        <w:rPr>
          <w:rFonts w:hint="eastAsia"/>
        </w:rPr>
        <w:t>と置いて2次項</w:t>
      </w:r>
      <w:r w:rsidR="004B51B2">
        <w:rPr>
          <w:rFonts w:hint="eastAsia"/>
        </w:rPr>
        <w:t>までで打ち切ると，</w:t>
      </w:r>
    </w:p>
    <w:tbl>
      <w:tblPr>
        <w:tblStyle w:val="ac"/>
        <w:tblW w:w="10485" w:type="dxa"/>
        <w:tblBorders>
          <w:top w:val="dotted" w:sz="4" w:space="0" w:color="auto"/>
          <w:left w:val="dotted" w:sz="4" w:space="0" w:color="auto"/>
          <w:bottom w:val="dotted" w:sz="4" w:space="0" w:color="auto"/>
          <w:right w:val="dotted" w:sz="4" w:space="0" w:color="auto"/>
          <w:insideH w:val="none" w:sz="0" w:space="0" w:color="auto"/>
          <w:insideV w:val="dotted" w:sz="4" w:space="0" w:color="auto"/>
        </w:tblBorders>
        <w:tblLook w:val="04A0" w:firstRow="1" w:lastRow="0" w:firstColumn="1" w:lastColumn="0" w:noHBand="0" w:noVBand="1"/>
      </w:tblPr>
      <w:tblGrid>
        <w:gridCol w:w="9067"/>
        <w:gridCol w:w="1418"/>
      </w:tblGrid>
      <w:tr w:rsidR="004B51B2" w14:paraId="4F3503F7" w14:textId="77777777" w:rsidTr="000E2E1D">
        <w:tc>
          <w:tcPr>
            <w:tcW w:w="9067" w:type="dxa"/>
          </w:tcPr>
          <w:p w14:paraId="286FEE9D" w14:textId="7A51298A" w:rsidR="004B51B2" w:rsidRDefault="004B51B2" w:rsidP="000E2E1D">
            <w:pPr>
              <w:pStyle w:val="a2"/>
              <w:ind w:firstLineChars="0" w:firstLine="0"/>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α</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ϵ</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α</m:t>
                    </m:r>
                  </m:sub>
                </m:sSub>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L|V</m:t>
                        </m:r>
                      </m:e>
                    </m:d>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α</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ϵ</m:t>
                                    </m:r>
                                  </m:sub>
                                </m:sSub>
                              </m:e>
                            </m:d>
                          </m:num>
                          <m:den>
                            <m:r>
                              <m:rPr>
                                <m:sty m:val="p"/>
                              </m:rPr>
                              <w:rPr>
                                <w:rFonts w:ascii="Cambria Math" w:hAnsi="Cambria Math"/>
                              </w:rPr>
                              <m:t>d</m:t>
                            </m:r>
                            <m:r>
                              <w:rPr>
                                <w:rFonts w:ascii="Cambria Math" w:hAnsi="Cambria Math"/>
                              </w:rPr>
                              <m:t>ϵ</m:t>
                            </m:r>
                          </m:den>
                        </m:f>
                      </m:e>
                    </m:d>
                  </m:e>
                  <m:sub>
                    <m:r>
                      <w:rPr>
                        <w:rFonts w:ascii="Cambria Math" w:hAnsi="Cambria Math"/>
                      </w:rPr>
                      <m:t>ϵ=0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Cs/>
                                  </w:rPr>
                                </m:ctrlPr>
                              </m:sSupPr>
                              <m:e>
                                <m:r>
                                  <m:rPr>
                                    <m:sty m:val="p"/>
                                  </m:rPr>
                                  <w:rPr>
                                    <w:rFonts w:ascii="Cambria Math" w:hAnsi="Cambria Math"/>
                                  </w:rPr>
                                  <m:t>d</m:t>
                                </m:r>
                              </m:e>
                              <m:sup>
                                <m:r>
                                  <m:rPr>
                                    <m:sty m:val="p"/>
                                  </m:rP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α</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ϵ</m:t>
                                    </m:r>
                                  </m:sub>
                                </m:sSub>
                              </m:e>
                            </m:d>
                          </m:num>
                          <m:den>
                            <m:r>
                              <m:rPr>
                                <m:sty m:val="p"/>
                              </m:rP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den>
                        </m:f>
                      </m:e>
                    </m:d>
                  </m:e>
                  <m:sub>
                    <m:r>
                      <w:rPr>
                        <w:rFonts w:ascii="Cambria Math" w:hAnsi="Cambria Math"/>
                      </w:rPr>
                      <m:t>ϵ=0</m:t>
                    </m:r>
                  </m:sub>
                </m:sSub>
              </m:oMath>
            </m:oMathPara>
          </w:p>
        </w:tc>
        <w:tc>
          <w:tcPr>
            <w:tcW w:w="1418" w:type="dxa"/>
          </w:tcPr>
          <w:p w14:paraId="6921C2A4" w14:textId="77777777" w:rsidR="004B51B2" w:rsidRDefault="004B51B2" w:rsidP="000E2E1D">
            <w:pPr>
              <w:pStyle w:val="a2"/>
              <w:ind w:firstLineChars="0" w:firstLine="0"/>
              <w:rPr>
                <w:rFonts w:hint="eastAsia"/>
              </w:rPr>
            </w:pPr>
          </w:p>
        </w:tc>
      </w:tr>
    </w:tbl>
    <w:p w14:paraId="07991AE3" w14:textId="77777777" w:rsidR="004B51B2" w:rsidRPr="004B51B2" w:rsidRDefault="004B51B2" w:rsidP="007B32D6">
      <w:pPr>
        <w:pStyle w:val="a2"/>
        <w:ind w:firstLineChars="0" w:firstLine="0"/>
        <w:rPr>
          <w:rFonts w:hint="eastAsia"/>
        </w:rPr>
      </w:pPr>
    </w:p>
    <w:p w14:paraId="6019C7CF" w14:textId="63C16BA1" w:rsidR="00E93148" w:rsidRDefault="0023399C" w:rsidP="0023399C">
      <w:pPr>
        <w:pStyle w:val="a2"/>
        <w:ind w:firstLineChars="0" w:firstLine="0"/>
      </w:pPr>
      <w:r>
        <w:rPr>
          <w:rFonts w:hint="eastAsia"/>
        </w:rPr>
        <w:t>となる．</w:t>
      </w:r>
      <w:r w:rsidR="00242F09">
        <w:rPr>
          <w:rFonts w:hint="eastAsia"/>
        </w:rPr>
        <w:t>ここで</w:t>
      </w:r>
      <m:oMath>
        <m:r>
          <w:rPr>
            <w:rFonts w:ascii="Cambria Math" w:hAnsi="Cambria Math" w:hint="eastAsia"/>
          </w:rPr>
          <m:t>V</m:t>
        </m:r>
      </m:oMath>
      <w:r w:rsidR="00242F09">
        <w:rPr>
          <w:rFonts w:hint="eastAsia"/>
        </w:rPr>
        <w:t>の密度関数を</w:t>
      </w:r>
      <m:oMath>
        <m:sSub>
          <m:sSubPr>
            <m:ctrlPr>
              <w:rPr>
                <w:rFonts w:ascii="Cambria Math" w:hAnsi="Cambria Math"/>
                <w:i/>
              </w:rPr>
            </m:ctrlPr>
          </m:sSubPr>
          <m:e>
            <m:r>
              <w:rPr>
                <w:rFonts w:ascii="Cambria Math" w:hAnsi="Cambria Math"/>
              </w:rPr>
              <m:t>f</m:t>
            </m:r>
          </m:e>
          <m:sub>
            <m:r>
              <w:rPr>
                <w:rFonts w:ascii="Cambria Math" w:hAnsi="Cambria Math"/>
              </w:rPr>
              <m:t>V</m:t>
            </m:r>
          </m:sub>
        </m:sSub>
      </m:oMath>
      <w:r w:rsidR="00242F09">
        <w:rPr>
          <w:rFonts w:hint="eastAsia"/>
        </w:rPr>
        <w:t>，</w:t>
      </w:r>
      <m:oMath>
        <m:r>
          <m:rPr>
            <m:scr m:val="script"/>
          </m:rPr>
          <w:rPr>
            <w:rFonts w:ascii="Cambria Math" w:hAnsi="Cambria Math"/>
          </w:rPr>
          <m:t>l</m:t>
        </m:r>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L|V=v</m:t>
            </m:r>
          </m:e>
        </m:d>
      </m:oMath>
      <w:r w:rsidR="008036F9">
        <w:rPr>
          <w:rFonts w:hint="eastAsia"/>
        </w:rPr>
        <w:t>とすると，</w:t>
      </w:r>
    </w:p>
    <w:tbl>
      <w:tblPr>
        <w:tblStyle w:val="ac"/>
        <w:tblW w:w="10485" w:type="dxa"/>
        <w:tblBorders>
          <w:top w:val="dotted" w:sz="4" w:space="0" w:color="auto"/>
          <w:left w:val="dotted" w:sz="4" w:space="0" w:color="auto"/>
          <w:bottom w:val="dotted" w:sz="4" w:space="0" w:color="auto"/>
          <w:right w:val="dotted" w:sz="4" w:space="0" w:color="auto"/>
          <w:insideH w:val="none" w:sz="0" w:space="0" w:color="auto"/>
          <w:insideV w:val="dotted" w:sz="4" w:space="0" w:color="auto"/>
        </w:tblBorders>
        <w:tblLook w:val="04A0" w:firstRow="1" w:lastRow="0" w:firstColumn="1" w:lastColumn="0" w:noHBand="0" w:noVBand="1"/>
      </w:tblPr>
      <w:tblGrid>
        <w:gridCol w:w="9067"/>
        <w:gridCol w:w="1418"/>
      </w:tblGrid>
      <w:tr w:rsidR="008036F9" w14:paraId="5DE38893" w14:textId="77777777" w:rsidTr="000E2E1D">
        <w:tc>
          <w:tcPr>
            <w:tcW w:w="9067" w:type="dxa"/>
          </w:tcPr>
          <w:p w14:paraId="76E8218C" w14:textId="18B800ED" w:rsidR="008036F9" w:rsidRDefault="008036F9" w:rsidP="000E2E1D">
            <w:pPr>
              <w:pStyle w:val="a2"/>
              <w:ind w:firstLineChars="0" w:firstLine="0"/>
              <w:rPr>
                <w:rFonts w:hint="eastAsia"/>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α</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ϵ</m:t>
                                    </m:r>
                                  </m:sub>
                                </m:sSub>
                              </m:e>
                            </m:d>
                          </m:num>
                          <m:den>
                            <m:r>
                              <m:rPr>
                                <m:sty m:val="p"/>
                              </m:rPr>
                              <w:rPr>
                                <w:rFonts w:ascii="Cambria Math" w:hAnsi="Cambria Math"/>
                              </w:rPr>
                              <m:t>d</m:t>
                            </m:r>
                            <m:r>
                              <w:rPr>
                                <w:rFonts w:ascii="Cambria Math" w:hAnsi="Cambria Math"/>
                              </w:rPr>
                              <m:t>ϵ</m:t>
                            </m:r>
                          </m:den>
                        </m:f>
                      </m:e>
                    </m:d>
                  </m:e>
                  <m:sub>
                    <m:r>
                      <w:rPr>
                        <w:rFonts w:ascii="Cambria Math" w:hAnsi="Cambria Math"/>
                      </w:rPr>
                      <m:t>ϵ=0</m:t>
                    </m:r>
                  </m:sub>
                </m:sSub>
                <m:r>
                  <w:rPr>
                    <w:rFonts w:ascii="Cambria Math" w:hAnsi="Cambria Math"/>
                  </w:rPr>
                  <m:t>=0</m:t>
                </m:r>
              </m:oMath>
            </m:oMathPara>
          </w:p>
        </w:tc>
        <w:tc>
          <w:tcPr>
            <w:tcW w:w="1418" w:type="dxa"/>
          </w:tcPr>
          <w:p w14:paraId="425BFC1C" w14:textId="77777777" w:rsidR="008036F9" w:rsidRDefault="008036F9" w:rsidP="000E2E1D">
            <w:pPr>
              <w:pStyle w:val="a2"/>
              <w:ind w:firstLineChars="0" w:firstLine="0"/>
              <w:rPr>
                <w:rFonts w:hint="eastAsia"/>
              </w:rPr>
            </w:pPr>
          </w:p>
        </w:tc>
      </w:tr>
    </w:tbl>
    <w:p w14:paraId="71A01E80" w14:textId="77777777" w:rsidR="008036F9" w:rsidRDefault="008036F9" w:rsidP="0023399C">
      <w:pPr>
        <w:pStyle w:val="a2"/>
        <w:ind w:firstLineChars="0" w:firstLine="0"/>
        <w:rPr>
          <w:rFonts w:hint="eastAsia"/>
        </w:rPr>
      </w:pPr>
    </w:p>
    <w:tbl>
      <w:tblPr>
        <w:tblStyle w:val="ac"/>
        <w:tblW w:w="10485" w:type="dxa"/>
        <w:tblBorders>
          <w:top w:val="dotted" w:sz="4" w:space="0" w:color="auto"/>
          <w:left w:val="dotted" w:sz="4" w:space="0" w:color="auto"/>
          <w:bottom w:val="dotted" w:sz="4" w:space="0" w:color="auto"/>
          <w:right w:val="dotted" w:sz="4" w:space="0" w:color="auto"/>
          <w:insideH w:val="none" w:sz="0" w:space="0" w:color="auto"/>
          <w:insideV w:val="dotted" w:sz="4" w:space="0" w:color="auto"/>
        </w:tblBorders>
        <w:tblLook w:val="04A0" w:firstRow="1" w:lastRow="0" w:firstColumn="1" w:lastColumn="0" w:noHBand="0" w:noVBand="1"/>
      </w:tblPr>
      <w:tblGrid>
        <w:gridCol w:w="9067"/>
        <w:gridCol w:w="1418"/>
      </w:tblGrid>
      <w:tr w:rsidR="00072400" w14:paraId="64CE0847" w14:textId="77777777" w:rsidTr="000E2E1D">
        <w:tc>
          <w:tcPr>
            <w:tcW w:w="9067" w:type="dxa"/>
          </w:tcPr>
          <w:p w14:paraId="036A4A09" w14:textId="3BAC8DE2" w:rsidR="00072400" w:rsidRDefault="00072400" w:rsidP="000E2E1D">
            <w:pPr>
              <w:pStyle w:val="a2"/>
              <w:ind w:firstLineChars="0" w:firstLine="0"/>
              <w:rPr>
                <w:rFonts w:hint="eastAsia"/>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Cs/>
                                  </w:rPr>
                                </m:ctrlPr>
                              </m:sSupPr>
                              <m:e>
                                <m:r>
                                  <m:rPr>
                                    <m:sty m:val="p"/>
                                  </m:rPr>
                                  <w:rPr>
                                    <w:rFonts w:ascii="Cambria Math" w:hAnsi="Cambria Math"/>
                                  </w:rPr>
                                  <m:t>d</m:t>
                                </m:r>
                              </m:e>
                              <m:sup>
                                <m:r>
                                  <m:rPr>
                                    <m:sty m:val="p"/>
                                  </m:rP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α</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ϵ</m:t>
                                    </m:r>
                                  </m:sub>
                                </m:sSub>
                              </m:e>
                            </m:d>
                          </m:num>
                          <m:den>
                            <m:r>
                              <m:rPr>
                                <m:sty m:val="p"/>
                              </m:rP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den>
                        </m:f>
                      </m:e>
                    </m:d>
                  </m:e>
                  <m:sub>
                    <m:r>
                      <w:rPr>
                        <w:rFonts w:ascii="Cambria Math" w:hAnsi="Cambria Math"/>
                      </w:rPr>
                      <m:t>ϵ=0</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V</m:t>
                        </m:r>
                      </m:sub>
                    </m:sSub>
                    <m:d>
                      <m:dPr>
                        <m:ctrlPr>
                          <w:rPr>
                            <w:rFonts w:ascii="Cambria Math" w:hAnsi="Cambria Math"/>
                            <w:i/>
                          </w:rPr>
                        </m:ctrlPr>
                      </m:dPr>
                      <m:e>
                        <m:r>
                          <w:rPr>
                            <w:rFonts w:ascii="Cambria Math" w:hAnsi="Cambria Math"/>
                          </w:rPr>
                          <m:t>v</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r>
                              <w:rPr>
                                <w:rFonts w:ascii="Cambria Math" w:hAnsi="Cambria Math"/>
                              </w:rPr>
                              <m:t>v</m:t>
                            </m:r>
                          </m:den>
                        </m:f>
                        <m:d>
                          <m:dPr>
                            <m:ctrlPr>
                              <w:rPr>
                                <w:rFonts w:ascii="Cambria Math" w:hAnsi="Cambria Math"/>
                                <w:i/>
                              </w:rPr>
                            </m:ctrlPr>
                          </m:dPr>
                          <m:e>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L|V=v</m:t>
                                    </m:r>
                                  </m:e>
                                </m:d>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(v)</m:t>
                                </m:r>
                              </m:num>
                              <m:den>
                                <m:r>
                                  <m:rPr>
                                    <m:sty m:val="p"/>
                                  </m:rPr>
                                  <w:rPr>
                                    <w:rFonts w:ascii="Cambria Math" w:hAnsi="Cambria Math"/>
                                  </w:rPr>
                                  <m:t>d</m:t>
                                </m:r>
                                <m:r>
                                  <m:rPr>
                                    <m:scr m:val="script"/>
                                    <m:sty m:val="p"/>
                                  </m:rPr>
                                  <w:rPr>
                                    <w:rFonts w:ascii="Cambria Math" w:hAnsi="Cambria Math"/>
                                  </w:rPr>
                                  <m:t>l(</m:t>
                                </m:r>
                                <m:r>
                                  <w:rPr>
                                    <w:rFonts w:ascii="Cambria Math" w:hAnsi="Cambria Math"/>
                                  </w:rPr>
                                  <m:t>v</m:t>
                                </m:r>
                                <m:r>
                                  <m:rPr>
                                    <m:sty m:val="p"/>
                                  </m:rPr>
                                  <w:rPr>
                                    <w:rFonts w:ascii="Cambria Math" w:hAnsi="Cambria Math"/>
                                  </w:rPr>
                                  <m:t>)/d</m:t>
                                </m:r>
                                <m:r>
                                  <w:rPr>
                                    <w:rFonts w:ascii="Cambria Math" w:hAnsi="Cambria Math"/>
                                  </w:rPr>
                                  <m:t>v</m:t>
                                </m:r>
                              </m:den>
                            </m:f>
                          </m:e>
                        </m:d>
                      </m:e>
                    </m:d>
                  </m:e>
                  <m:sub>
                    <m: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(V)</m:t>
                    </m:r>
                  </m:sub>
                </m:sSub>
              </m:oMath>
            </m:oMathPara>
          </w:p>
        </w:tc>
        <w:tc>
          <w:tcPr>
            <w:tcW w:w="1418" w:type="dxa"/>
          </w:tcPr>
          <w:p w14:paraId="1FA70095" w14:textId="77777777" w:rsidR="00072400" w:rsidRDefault="00072400" w:rsidP="000E2E1D">
            <w:pPr>
              <w:pStyle w:val="a2"/>
              <w:ind w:firstLineChars="0" w:firstLine="0"/>
              <w:rPr>
                <w:rFonts w:hint="eastAsia"/>
              </w:rPr>
            </w:pPr>
          </w:p>
        </w:tc>
      </w:tr>
    </w:tbl>
    <w:p w14:paraId="3E6E9308" w14:textId="77777777" w:rsidR="0023399C" w:rsidRDefault="0023399C" w:rsidP="00594561">
      <w:pPr>
        <w:pStyle w:val="a2"/>
      </w:pPr>
    </w:p>
    <w:p w14:paraId="5B1EEF9B" w14:textId="200C2EB2" w:rsidR="0023399C" w:rsidRDefault="00F74E09" w:rsidP="00F74E09">
      <w:pPr>
        <w:pStyle w:val="a2"/>
        <w:ind w:firstLineChars="0" w:firstLine="0"/>
      </w:pPr>
      <w:r>
        <w:rPr>
          <w:rFonts w:hint="eastAsia"/>
        </w:rPr>
        <w:t>となるので，以下の定理を得られる</w:t>
      </w:r>
      <w:r w:rsidR="00857465">
        <w:rPr>
          <w:rStyle w:val="af6"/>
        </w:rPr>
        <w:footnoteReference w:id="5"/>
      </w:r>
      <w:r>
        <w:rPr>
          <w:rFonts w:hint="eastAsia"/>
        </w:rPr>
        <w:t>．</w:t>
      </w:r>
    </w:p>
    <w:tbl>
      <w:tblPr>
        <w:tblStyle w:val="ac"/>
        <w:tblW w:w="10485" w:type="dxa"/>
        <w:tblBorders>
          <w:top w:val="dotted" w:sz="4" w:space="0" w:color="auto"/>
          <w:left w:val="dotted" w:sz="4" w:space="0" w:color="auto"/>
          <w:bottom w:val="dotted" w:sz="4" w:space="0" w:color="auto"/>
          <w:right w:val="dotted" w:sz="4" w:space="0" w:color="auto"/>
          <w:insideH w:val="none" w:sz="0" w:space="0" w:color="auto"/>
          <w:insideV w:val="dotted" w:sz="4" w:space="0" w:color="auto"/>
        </w:tblBorders>
        <w:tblLook w:val="04A0" w:firstRow="1" w:lastRow="0" w:firstColumn="1" w:lastColumn="0" w:noHBand="0" w:noVBand="1"/>
      </w:tblPr>
      <w:tblGrid>
        <w:gridCol w:w="9067"/>
        <w:gridCol w:w="1418"/>
      </w:tblGrid>
      <w:tr w:rsidR="00F74E09" w14:paraId="6EE2732B" w14:textId="77777777" w:rsidTr="000E2E1D">
        <w:tc>
          <w:tcPr>
            <w:tcW w:w="9067" w:type="dxa"/>
          </w:tcPr>
          <w:p w14:paraId="03D4A039" w14:textId="3D9C755C" w:rsidR="00F74E09" w:rsidRDefault="00F74E09" w:rsidP="000E2E1D">
            <w:pPr>
              <w:pStyle w:val="a2"/>
              <w:ind w:firstLineChars="0" w:firstLine="0"/>
            </w:pPr>
            <w:r>
              <w:rPr>
                <w:rFonts w:hint="eastAsia"/>
              </w:rPr>
              <w:t>≪定理≫</w:t>
            </w:r>
          </w:p>
          <w:p w14:paraId="2A678B04" w14:textId="2EFC584E" w:rsidR="00D614A4" w:rsidRDefault="00D614A4" w:rsidP="000E2E1D">
            <w:pPr>
              <w:pStyle w:val="a2"/>
              <w:ind w:firstLineChars="0" w:firstLine="0"/>
              <w:rPr>
                <w:rFonts w:hint="eastAsia"/>
              </w:rPr>
            </w:pPr>
            <w:r>
              <w:rPr>
                <w:rFonts w:hint="eastAsia"/>
              </w:rPr>
              <w:t>十分に分散されたポートフォリオでは，損失率</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Pr>
                <w:rFonts w:hint="eastAsia"/>
              </w:rPr>
              <w:t>の</w:t>
            </w:r>
            <m:oMath>
              <m:r>
                <w:rPr>
                  <w:rFonts w:ascii="Cambria Math" w:hAnsi="Cambria Math"/>
                </w:rPr>
                <m:t>100α</m:t>
              </m:r>
              <m:r>
                <w:rPr>
                  <w:rFonts w:ascii="Cambria Math" w:hAnsi="Cambria Math"/>
                </w:rPr>
                <m:t>-</m:t>
              </m:r>
            </m:oMath>
            <w:r w:rsidR="00446A48">
              <w:rPr>
                <w:rFonts w:hint="eastAsia"/>
              </w:rPr>
              <w:t>パーセンタイル</w:t>
            </w:r>
            <m:oMath>
              <m:sSub>
                <m:sSubPr>
                  <m:ctrlPr>
                    <w:rPr>
                      <w:rFonts w:ascii="Cambria Math" w:hAnsi="Cambria Math"/>
                      <w:i/>
                    </w:rPr>
                  </m:ctrlPr>
                </m:sSubPr>
                <m:e>
                  <m:r>
                    <w:rPr>
                      <w:rFonts w:ascii="Cambria Math" w:hAnsi="Cambria Math"/>
                    </w:rPr>
                    <m:t>Q</m:t>
                  </m:r>
                </m:e>
                <m:sub>
                  <m:r>
                    <w:rPr>
                      <w:rFonts w:ascii="Cambria Math" w:hAnsi="Cambria Math"/>
                    </w:rPr>
                    <m:t>α</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e>
              </m:d>
            </m:oMath>
            <w:r w:rsidR="00446A48">
              <w:rPr>
                <w:rFonts w:hint="eastAsia"/>
              </w:rPr>
              <w:t>は，</w:t>
            </w:r>
          </w:p>
          <w:p w14:paraId="1EA830B0" w14:textId="6ED208A9" w:rsidR="00F74E09" w:rsidRPr="009F0390" w:rsidRDefault="00446A48" w:rsidP="000E2E1D">
            <w:pPr>
              <w:pStyle w:val="a2"/>
              <w:ind w:firstLineChars="0" w:firstLine="0"/>
            </w:pPr>
            <m:oMathPara>
              <m:oMath>
                <m:sSub>
                  <m:sSubPr>
                    <m:ctrlPr>
                      <w:rPr>
                        <w:rFonts w:ascii="Cambria Math" w:hAnsi="Cambria Math"/>
                        <w:i/>
                      </w:rPr>
                    </m:ctrlPr>
                  </m:sSubPr>
                  <m:e>
                    <m:r>
                      <w:rPr>
                        <w:rFonts w:ascii="Cambria Math" w:hAnsi="Cambria Math"/>
                      </w:rPr>
                      <m:t>Q</m:t>
                    </m:r>
                  </m:e>
                  <m:sub>
                    <m:r>
                      <w:rPr>
                        <w:rFonts w:ascii="Cambria Math" w:hAnsi="Cambria Math"/>
                      </w:rPr>
                      <m:t>α</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ϵ</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α</m:t>
                    </m:r>
                  </m:sub>
                </m:sSub>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L|V</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V</m:t>
                        </m:r>
                      </m:sub>
                    </m:sSub>
                    <m:d>
                      <m:dPr>
                        <m:ctrlPr>
                          <w:rPr>
                            <w:rFonts w:ascii="Cambria Math" w:hAnsi="Cambria Math"/>
                            <w:i/>
                          </w:rPr>
                        </m:ctrlPr>
                      </m:dPr>
                      <m:e>
                        <m:r>
                          <w:rPr>
                            <w:rFonts w:ascii="Cambria Math" w:hAnsi="Cambria Math"/>
                          </w:rPr>
                          <m:t>v</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r>
                              <w:rPr>
                                <w:rFonts w:ascii="Cambria Math" w:hAnsi="Cambria Math"/>
                              </w:rPr>
                              <m:t>v</m:t>
                            </m:r>
                          </m:den>
                        </m:f>
                        <m:d>
                          <m:dPr>
                            <m:ctrlPr>
                              <w:rPr>
                                <w:rFonts w:ascii="Cambria Math" w:hAnsi="Cambria Math"/>
                                <w:i/>
                              </w:rPr>
                            </m:ctrlPr>
                          </m:dPr>
                          <m:e>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L|V=v</m:t>
                                    </m:r>
                                  </m:e>
                                </m:d>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(v)</m:t>
                                </m:r>
                              </m:num>
                              <m:den>
                                <m:r>
                                  <m:rPr>
                                    <m:sty m:val="p"/>
                                  </m:rPr>
                                  <w:rPr>
                                    <w:rFonts w:ascii="Cambria Math" w:hAnsi="Cambria Math"/>
                                  </w:rPr>
                                  <m:t>d</m:t>
                                </m:r>
                                <m:r>
                                  <m:rPr>
                                    <m:scr m:val="script"/>
                                    <m:sty m:val="p"/>
                                  </m:rPr>
                                  <w:rPr>
                                    <w:rFonts w:ascii="Cambria Math" w:hAnsi="Cambria Math"/>
                                  </w:rPr>
                                  <m:t>l(</m:t>
                                </m:r>
                                <m:r>
                                  <w:rPr>
                                    <w:rFonts w:ascii="Cambria Math" w:hAnsi="Cambria Math"/>
                                  </w:rPr>
                                  <m:t>v</m:t>
                                </m:r>
                                <m:r>
                                  <m:rPr>
                                    <m:sty m:val="p"/>
                                  </m:rPr>
                                  <w:rPr>
                                    <w:rFonts w:ascii="Cambria Math" w:hAnsi="Cambria Math"/>
                                  </w:rPr>
                                  <m:t>)/d</m:t>
                                </m:r>
                                <m:r>
                                  <w:rPr>
                                    <w:rFonts w:ascii="Cambria Math" w:hAnsi="Cambria Math"/>
                                  </w:rPr>
                                  <m:t>v</m:t>
                                </m:r>
                              </m:den>
                            </m:f>
                          </m:e>
                        </m:d>
                      </m:e>
                    </m:d>
                  </m:e>
                  <m:sub>
                    <m:r>
                      <w:rPr>
                        <w:rFonts w:ascii="Cambria Math" w:hAnsi="Cambria Math"/>
                      </w:rPr>
                      <m:t>v=</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(V)</m:t>
                    </m:r>
                  </m:sub>
                </m:sSub>
              </m:oMath>
            </m:oMathPara>
          </w:p>
          <w:p w14:paraId="56180C23" w14:textId="6D187A43" w:rsidR="009F0390" w:rsidRPr="009F0390" w:rsidRDefault="009F0390" w:rsidP="000E2E1D">
            <w:pPr>
              <w:pStyle w:val="a2"/>
              <w:ind w:firstLineChars="0" w:firstLine="0"/>
              <w:rPr>
                <w:rFonts w:hint="eastAsia"/>
                <w:i/>
              </w:rPr>
            </w:pPr>
            <w:r>
              <w:rPr>
                <w:rFonts w:hint="eastAsia"/>
              </w:rPr>
              <w:t>で近似できる．ただし，</w:t>
            </w:r>
            <m:oMath>
              <m:sSub>
                <m:sSubPr>
                  <m:ctrlPr>
                    <w:rPr>
                      <w:rFonts w:ascii="Cambria Math" w:hAnsi="Cambria Math"/>
                      <w:i/>
                    </w:rPr>
                  </m:ctrlPr>
                </m:sSubPr>
                <m:e>
                  <m:r>
                    <w:rPr>
                      <w:rFonts w:ascii="Cambria Math" w:hAnsi="Cambria Math"/>
                    </w:rPr>
                    <m:t>f</m:t>
                  </m:r>
                </m:e>
                <m:sub>
                  <m:r>
                    <w:rPr>
                      <w:rFonts w:ascii="Cambria Math" w:hAnsi="Cambria Math"/>
                    </w:rPr>
                    <m:t>V</m:t>
                  </m:r>
                </m:sub>
              </m:sSub>
              <m:d>
                <m:dPr>
                  <m:ctrlPr>
                    <w:rPr>
                      <w:rFonts w:ascii="Cambria Math" w:hAnsi="Cambria Math"/>
                      <w:i/>
                    </w:rPr>
                  </m:ctrlPr>
                </m:dPr>
                <m:e>
                  <m:r>
                    <w:rPr>
                      <w:rFonts w:ascii="Cambria Math" w:hAnsi="Cambria Math"/>
                    </w:rPr>
                    <m:t>v</m:t>
                  </m:r>
                </m:e>
              </m:d>
            </m:oMath>
            <w:r>
              <w:rPr>
                <w:rFonts w:hint="eastAsia"/>
              </w:rPr>
              <w:t>は</w:t>
            </w:r>
            <m:oMath>
              <m:r>
                <w:rPr>
                  <w:rFonts w:ascii="Cambria Math" w:hAnsi="Cambria Math" w:hint="eastAsia"/>
                </w:rPr>
                <m:t>V</m:t>
              </m:r>
            </m:oMath>
            <w:r>
              <w:rPr>
                <w:rFonts w:hint="eastAsia"/>
              </w:rPr>
              <w:t>の密度関数，</w:t>
            </w:r>
            <m:oMath>
              <m:r>
                <m:rPr>
                  <m:scr m:val="script"/>
                  <m:sty m:val="p"/>
                </m:rPr>
                <w:rPr>
                  <w:rFonts w:ascii="Cambria Math" w:hAnsi="Cambria Math"/>
                </w:rPr>
                <m:t>l</m:t>
              </m:r>
              <m:d>
                <m:dPr>
                  <m:ctrlPr>
                    <w:rPr>
                      <w:rFonts w:ascii="Cambria Math" w:hAnsi="Cambria Math"/>
                      <w:iCs/>
                    </w:rPr>
                  </m:ctrlPr>
                </m:dPr>
                <m:e>
                  <m:r>
                    <w:rPr>
                      <w:rFonts w:ascii="Cambria Math" w:hAnsi="Cambria Math"/>
                    </w:rPr>
                    <m:t>v</m:t>
                  </m:r>
                </m:e>
              </m:d>
              <m:r>
                <m:rPr>
                  <m:sty m:val="p"/>
                </m:rP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L|V=v</m:t>
                  </m:r>
                </m:e>
              </m:d>
            </m:oMath>
            <w:r w:rsidR="000562C8">
              <w:rPr>
                <w:rFonts w:hint="eastAsia"/>
              </w:rPr>
              <w:t>で，</w:t>
            </w:r>
            <m:oMath>
              <m:r>
                <m:rPr>
                  <m:scr m:val="script"/>
                  <m:sty m:val="p"/>
                </m:rPr>
                <w:rPr>
                  <w:rFonts w:ascii="Cambria Math" w:hAnsi="Cambria Math"/>
                </w:rPr>
                <m:t>l</m:t>
              </m:r>
              <m:d>
                <m:dPr>
                  <m:ctrlPr>
                    <w:rPr>
                      <w:rFonts w:ascii="Cambria Math" w:hAnsi="Cambria Math"/>
                      <w:iCs/>
                    </w:rPr>
                  </m:ctrlPr>
                </m:dPr>
                <m:e>
                  <m:r>
                    <w:rPr>
                      <w:rFonts w:ascii="Cambria Math" w:hAnsi="Cambria Math"/>
                    </w:rPr>
                    <m:t>v</m:t>
                  </m:r>
                </m:e>
              </m:d>
            </m:oMath>
            <w:r w:rsidR="000562C8">
              <w:rPr>
                <w:rFonts w:hint="eastAsia"/>
                <w:iCs/>
              </w:rPr>
              <w:t>は</w:t>
            </w:r>
            <m:oMath>
              <m:sSub>
                <m:sSubPr>
                  <m:ctrlPr>
                    <w:rPr>
                      <w:rFonts w:ascii="Cambria Math" w:hAnsi="Cambria Math"/>
                      <w:i/>
                    </w:rPr>
                  </m:ctrlPr>
                </m:sSubPr>
                <m:e>
                  <m:r>
                    <w:rPr>
                      <w:rFonts w:ascii="Cambria Math" w:hAnsi="Cambria Math"/>
                    </w:rPr>
                    <m:t>Q</m:t>
                  </m:r>
                </m:e>
                <m:sub>
                  <m:r>
                    <w:rPr>
                      <w:rFonts w:ascii="Cambria Math" w:hAnsi="Cambria Math"/>
                    </w:rPr>
                    <m:t>α</m:t>
                  </m:r>
                </m:sub>
              </m:sSub>
              <m:d>
                <m:dPr>
                  <m:ctrlPr>
                    <w:rPr>
                      <w:rFonts w:ascii="Cambria Math" w:hAnsi="Cambria Math"/>
                      <w:i/>
                    </w:rPr>
                  </m:ctrlPr>
                </m:dPr>
                <m:e>
                  <m:r>
                    <w:rPr>
                      <w:rFonts w:ascii="Cambria Math" w:hAnsi="Cambria Math" w:hint="eastAsia"/>
                    </w:rPr>
                    <m:t>V</m:t>
                  </m:r>
                </m:e>
              </m:d>
            </m:oMath>
            <w:r w:rsidR="0028745A">
              <w:rPr>
                <w:rFonts w:hint="eastAsia"/>
              </w:rPr>
              <w:t>において2階微分可能，</w:t>
            </w:r>
            <m:oMath>
              <m:r>
                <w:rPr>
                  <w:rFonts w:ascii="Cambria Math" w:hAnsi="Cambria Math"/>
                </w:rPr>
                <m:t>Var</m:t>
              </m:r>
              <m:d>
                <m:dPr>
                  <m:begChr m:val="["/>
                  <m:endChr m:val="]"/>
                  <m:ctrlPr>
                    <w:rPr>
                      <w:rFonts w:ascii="Cambria Math" w:hAnsi="Cambria Math"/>
                      <w:i/>
                    </w:rPr>
                  </m:ctrlPr>
                </m:dPr>
                <m:e>
                  <m:r>
                    <w:rPr>
                      <w:rFonts w:ascii="Cambria Math" w:hAnsi="Cambria Math"/>
                    </w:rPr>
                    <m:t>L|V=v</m:t>
                  </m:r>
                </m:e>
              </m:d>
            </m:oMath>
            <w:r w:rsidR="0028745A">
              <w:rPr>
                <w:rFonts w:hint="eastAsia"/>
              </w:rPr>
              <w:t>は1階微分可能とする．</w:t>
            </w:r>
          </w:p>
        </w:tc>
        <w:tc>
          <w:tcPr>
            <w:tcW w:w="1418" w:type="dxa"/>
          </w:tcPr>
          <w:p w14:paraId="73967A65" w14:textId="77777777" w:rsidR="00F74E09" w:rsidRDefault="00F74E09" w:rsidP="000E2E1D">
            <w:pPr>
              <w:pStyle w:val="a2"/>
              <w:ind w:firstLineChars="0" w:firstLine="0"/>
              <w:rPr>
                <w:rFonts w:hint="eastAsia"/>
              </w:rPr>
            </w:pPr>
          </w:p>
        </w:tc>
      </w:tr>
    </w:tbl>
    <w:p w14:paraId="602FB5B3" w14:textId="77777777" w:rsidR="00F74E09" w:rsidRDefault="00F74E09" w:rsidP="00F74E09">
      <w:pPr>
        <w:pStyle w:val="a2"/>
        <w:ind w:firstLineChars="0" w:firstLine="0"/>
        <w:rPr>
          <w:rFonts w:hint="eastAsia"/>
        </w:rPr>
      </w:pPr>
    </w:p>
    <w:tbl>
      <w:tblPr>
        <w:tblStyle w:val="ac"/>
        <w:tblW w:w="104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75"/>
      </w:tblGrid>
      <w:tr w:rsidR="00DA62DA" w14:paraId="019BA58E" w14:textId="77777777" w:rsidTr="00DA62DA">
        <w:tc>
          <w:tcPr>
            <w:tcW w:w="10475" w:type="dxa"/>
          </w:tcPr>
          <w:p w14:paraId="4BBE65D0" w14:textId="27A04C22" w:rsidR="00DA62DA" w:rsidRDefault="00DA62DA" w:rsidP="000E2E1D">
            <w:pPr>
              <w:pStyle w:val="a2"/>
              <w:ind w:firstLineChars="0" w:firstLine="0"/>
            </w:pPr>
            <w:r>
              <w:rPr>
                <w:rFonts w:hint="eastAsia"/>
              </w:rPr>
              <w:t>≪</w:t>
            </w:r>
            <w:r>
              <w:rPr>
                <w:rFonts w:hint="eastAsia"/>
              </w:rPr>
              <w:t>定義</w:t>
            </w:r>
            <w:r>
              <w:rPr>
                <w:rFonts w:hint="eastAsia"/>
              </w:rPr>
              <w:t>≫</w:t>
            </w:r>
          </w:p>
          <w:p w14:paraId="3AC09B8E" w14:textId="59D30331" w:rsidR="00DA62DA" w:rsidRPr="008B3E4F" w:rsidRDefault="00DA62DA" w:rsidP="000E2E1D">
            <w:pPr>
              <w:pStyle w:val="a2"/>
              <w:ind w:firstLineChars="0" w:firstLine="0"/>
              <w:rPr>
                <w:rFonts w:hint="eastAsia"/>
                <w:iCs/>
              </w:rPr>
            </w:pPr>
            <w:r>
              <w:rPr>
                <w:rFonts w:hint="eastAsia"/>
                <w:iCs/>
              </w:rPr>
              <w:t>定理式の右辺第2項を</w:t>
            </w:r>
            <w:r w:rsidRPr="00DA62DA">
              <w:rPr>
                <w:rFonts w:hint="eastAsia"/>
                <w:b/>
                <w:bCs/>
                <w:iCs/>
                <w:color w:val="FF0000"/>
              </w:rPr>
              <w:t>グラニュラリティ調整項</w:t>
            </w:r>
            <w:r>
              <w:rPr>
                <w:rFonts w:hint="eastAsia"/>
                <w:iCs/>
              </w:rPr>
              <w:t>（g</w:t>
            </w:r>
            <w:r>
              <w:rPr>
                <w:iCs/>
              </w:rPr>
              <w:t>ranularity adjustment term</w:t>
            </w:r>
            <w:r w:rsidR="00991BBF">
              <w:rPr>
                <w:rFonts w:hint="eastAsia"/>
                <w:iCs/>
              </w:rPr>
              <w:t>：GA</w:t>
            </w:r>
            <w:r>
              <w:rPr>
                <w:rFonts w:hint="eastAsia"/>
                <w:iCs/>
              </w:rPr>
              <w:t>）という．</w:t>
            </w:r>
          </w:p>
        </w:tc>
      </w:tr>
    </w:tbl>
    <w:p w14:paraId="554AC6A6" w14:textId="77777777" w:rsidR="00F74E09" w:rsidRPr="008B3E4F" w:rsidRDefault="00F74E09" w:rsidP="008B3E4F">
      <w:pPr>
        <w:pStyle w:val="a2"/>
        <w:ind w:firstLineChars="0" w:firstLine="0"/>
        <w:rPr>
          <w:rFonts w:hint="eastAsia"/>
        </w:rPr>
      </w:pPr>
    </w:p>
    <w:p w14:paraId="69985969" w14:textId="57C64241" w:rsidR="008B3E4F" w:rsidRDefault="0089136B" w:rsidP="0089136B">
      <w:pPr>
        <w:pStyle w:val="6"/>
        <w:ind w:leftChars="0" w:left="0"/>
        <w:rPr>
          <w:rFonts w:hint="eastAsia"/>
        </w:rPr>
      </w:pPr>
      <w:r>
        <w:rPr>
          <w:rFonts w:hint="eastAsia"/>
        </w:rPr>
        <w:t>背景(整理)</w:t>
      </w:r>
    </w:p>
    <w:p w14:paraId="01E7DEEC" w14:textId="19947A2A" w:rsidR="008B3E4F" w:rsidRDefault="004447CD" w:rsidP="00594561">
      <w:pPr>
        <w:pStyle w:val="a2"/>
      </w:pPr>
      <w:r>
        <w:rPr>
          <w:rFonts w:hint="eastAsia"/>
        </w:rPr>
        <w:t>バーゼルⅡおよびⅢの内部格付け使用で使用されている</w:t>
      </w:r>
      <w:r w:rsidR="00DC2D6B">
        <w:rPr>
          <w:rFonts w:hint="eastAsia"/>
        </w:rPr>
        <w:t>VaRは，ポートフォリオは無限に分散化され，各与信先の固有リスク</w:t>
      </w:r>
      <w:r w:rsidR="00262D8E">
        <w:rPr>
          <w:rFonts w:hint="eastAsia"/>
        </w:rPr>
        <w:t>はすべて0であると仮定している．</w:t>
      </w:r>
    </w:p>
    <w:p w14:paraId="409ADBA8" w14:textId="77777777" w:rsidR="00BE38CB" w:rsidRDefault="00BE38CB" w:rsidP="00594561">
      <w:pPr>
        <w:pStyle w:val="a2"/>
        <w:rPr>
          <w:rFonts w:hint="eastAsia"/>
        </w:rPr>
      </w:pPr>
    </w:p>
    <w:tbl>
      <w:tblPr>
        <w:tblStyle w:val="ac"/>
        <w:tblW w:w="0" w:type="auto"/>
        <w:tblLook w:val="04A0" w:firstRow="1" w:lastRow="0" w:firstColumn="1" w:lastColumn="0" w:noHBand="0" w:noVBand="1"/>
      </w:tblPr>
      <w:tblGrid>
        <w:gridCol w:w="10456"/>
      </w:tblGrid>
      <w:tr w:rsidR="0014693F" w14:paraId="344ED760" w14:textId="77777777" w:rsidTr="0014693F">
        <w:tc>
          <w:tcPr>
            <w:tcW w:w="1045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B659D42" w14:textId="2E6010D7" w:rsidR="0014693F" w:rsidRDefault="0014693F" w:rsidP="00594561">
            <w:pPr>
              <w:pStyle w:val="a2"/>
              <w:ind w:firstLineChars="0" w:firstLine="0"/>
              <w:rPr>
                <w:rFonts w:hint="eastAsia"/>
              </w:rPr>
            </w:pPr>
            <w:r>
              <w:rPr>
                <w:rFonts w:hint="eastAsia"/>
              </w:rPr>
              <w:t>GAは，</w:t>
            </w:r>
            <w:r w:rsidR="006A6681">
              <w:rPr>
                <w:rFonts w:hint="eastAsia"/>
              </w:rPr>
              <w:t>当該手法における非現実的なポートフォリオの設定によって計算される準備金</w:t>
            </w:r>
            <w:r w:rsidR="00F249EF">
              <w:rPr>
                <w:rFonts w:hint="eastAsia"/>
              </w:rPr>
              <w:t>と現実のポートフォリオにおいて必要となる準備金のギャップを図るものであり，Gordy</w:t>
            </w:r>
            <w:r w:rsidR="00F249EF">
              <w:t>(2003)</w:t>
            </w:r>
            <w:r w:rsidR="00CB17F5">
              <w:rPr>
                <w:rFonts w:hint="eastAsia"/>
              </w:rPr>
              <w:t>によって固有リスクが必要資本に及ぼす影響を近似</w:t>
            </w:r>
            <w:r w:rsidR="00662B74">
              <w:rPr>
                <w:rFonts w:hint="eastAsia"/>
              </w:rPr>
              <w:t>（2次近似）</w:t>
            </w:r>
            <w:r w:rsidR="00CB17F5">
              <w:rPr>
                <w:rFonts w:hint="eastAsia"/>
              </w:rPr>
              <w:t>するため</w:t>
            </w:r>
            <w:r w:rsidR="00662B74">
              <w:rPr>
                <w:rFonts w:hint="eastAsia"/>
              </w:rPr>
              <w:t>の手法として提案された．</w:t>
            </w:r>
          </w:p>
        </w:tc>
      </w:tr>
    </w:tbl>
    <w:p w14:paraId="6B16260B" w14:textId="77777777" w:rsidR="008B3E4F" w:rsidRDefault="008B3E4F" w:rsidP="00594561">
      <w:pPr>
        <w:pStyle w:val="a2"/>
      </w:pPr>
    </w:p>
    <w:p w14:paraId="09338398" w14:textId="18C513BC" w:rsidR="00662B74" w:rsidRDefault="00A5713E" w:rsidP="00594561">
      <w:pPr>
        <w:pStyle w:val="a2"/>
      </w:pPr>
      <w:r>
        <w:rPr>
          <w:rFonts w:hint="eastAsia"/>
        </w:rPr>
        <w:t>ポートフォリオのリスク分析の枠組みでは，ポートフォリオの信用リスク</w:t>
      </w:r>
      <w:r w:rsidR="00872069">
        <w:rPr>
          <w:rFonts w:hint="eastAsia"/>
        </w:rPr>
        <w:t>は「</w:t>
      </w:r>
      <w:r w:rsidR="00872069" w:rsidRPr="00872069">
        <w:rPr>
          <w:rFonts w:hint="eastAsia"/>
          <w:u w:val="single"/>
        </w:rPr>
        <w:t>固有リスクと市場リスク</w:t>
      </w:r>
      <w:r w:rsidR="00872069">
        <w:rPr>
          <w:rFonts w:hint="eastAsia"/>
        </w:rPr>
        <w:t>」の2つの要因から発生するとされている．</w:t>
      </w:r>
      <w:r w:rsidR="00C30C98">
        <w:rPr>
          <w:rFonts w:hint="eastAsia"/>
        </w:rPr>
        <w:t>市場リスク</w:t>
      </w:r>
      <w:r w:rsidR="003671EE">
        <w:rPr>
          <w:rFonts w:hint="eastAsia"/>
        </w:rPr>
        <w:t>（システマティックリスク）</w:t>
      </w:r>
      <w:r w:rsidR="00C30C98">
        <w:rPr>
          <w:rFonts w:hint="eastAsia"/>
        </w:rPr>
        <w:t>は，経済や金融の市場の予期せぬ変化によって発生するもので，与信先を分散させても</w:t>
      </w:r>
      <w:r w:rsidR="003671EE">
        <w:rPr>
          <w:rFonts w:hint="eastAsia"/>
        </w:rPr>
        <w:t>0にすることはできない．</w:t>
      </w:r>
    </w:p>
    <w:p w14:paraId="68CAF241" w14:textId="77777777" w:rsidR="003671EE" w:rsidRDefault="003671EE" w:rsidP="00594561">
      <w:pPr>
        <w:pStyle w:val="a2"/>
        <w:rPr>
          <w:rFonts w:hint="eastAsia"/>
        </w:rPr>
      </w:pPr>
    </w:p>
    <w:p w14:paraId="77AB0095" w14:textId="77777777" w:rsidR="00F74E09" w:rsidRDefault="00F74E09" w:rsidP="00594561">
      <w:pPr>
        <w:pStyle w:val="a2"/>
        <w:rPr>
          <w:rFonts w:hint="eastAsia"/>
        </w:rPr>
      </w:pPr>
    </w:p>
    <w:p w14:paraId="7218551D" w14:textId="77777777" w:rsidR="00E93148" w:rsidRDefault="00E93148" w:rsidP="00594561">
      <w:pPr>
        <w:pStyle w:val="a2"/>
      </w:pPr>
    </w:p>
    <w:p w14:paraId="77767B07" w14:textId="77777777" w:rsidR="00E93148" w:rsidRPr="00F9196C" w:rsidRDefault="00E93148" w:rsidP="00594561">
      <w:pPr>
        <w:pStyle w:val="a2"/>
        <w:rPr>
          <w:rFonts w:hint="eastAsia"/>
        </w:rPr>
      </w:pPr>
    </w:p>
    <w:sectPr w:rsidR="00E93148" w:rsidRPr="00F9196C" w:rsidSect="00DF25F8">
      <w:footerReference w:type="default" r:id="rId12"/>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D7C93" w14:textId="77777777" w:rsidR="00A557F4" w:rsidRDefault="00A557F4" w:rsidP="00D91D94">
      <w:r>
        <w:separator/>
      </w:r>
    </w:p>
  </w:endnote>
  <w:endnote w:type="continuationSeparator" w:id="0">
    <w:p w14:paraId="7F6D4AFA" w14:textId="77777777" w:rsidR="00A557F4" w:rsidRDefault="00A557F4" w:rsidP="00D91D94">
      <w:r>
        <w:continuationSeparator/>
      </w:r>
    </w:p>
  </w:endnote>
  <w:endnote w:type="continuationNotice" w:id="1">
    <w:p w14:paraId="69A10DD4" w14:textId="77777777" w:rsidR="00A557F4" w:rsidRDefault="00A557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D0683" w14:textId="77777777" w:rsidR="00A557F4" w:rsidRDefault="00A557F4" w:rsidP="00D91D94">
      <w:r>
        <w:separator/>
      </w:r>
    </w:p>
  </w:footnote>
  <w:footnote w:type="continuationSeparator" w:id="0">
    <w:p w14:paraId="315B5DBD" w14:textId="77777777" w:rsidR="00A557F4" w:rsidRDefault="00A557F4" w:rsidP="00D91D94">
      <w:r>
        <w:continuationSeparator/>
      </w:r>
    </w:p>
  </w:footnote>
  <w:footnote w:type="continuationNotice" w:id="1">
    <w:p w14:paraId="2D4F9DAE" w14:textId="77777777" w:rsidR="00A557F4" w:rsidRDefault="00A557F4"/>
  </w:footnote>
  <w:footnote w:id="2">
    <w:p w14:paraId="4804BDAC" w14:textId="17A5B4C3" w:rsidR="00D37C12" w:rsidRPr="00CC448E" w:rsidRDefault="00CC448E">
      <w:pPr>
        <w:pStyle w:val="af4"/>
        <w:rPr>
          <w:sz w:val="18"/>
          <w:szCs w:val="18"/>
        </w:rPr>
      </w:pPr>
      <w:r>
        <w:rPr>
          <w:rStyle w:val="af6"/>
        </w:rPr>
        <w:footnoteRef/>
      </w:r>
      <w:r>
        <w:t xml:space="preserve"> </w:t>
      </w:r>
      <w:r w:rsidR="005C49A1">
        <w:rPr>
          <w:rFonts w:hint="eastAsia"/>
          <w:sz w:val="18"/>
          <w:szCs w:val="18"/>
        </w:rPr>
        <w:t>商品を債券形式で提供するものを「f</w:t>
      </w:r>
      <w:r w:rsidR="005C49A1">
        <w:rPr>
          <w:sz w:val="18"/>
          <w:szCs w:val="18"/>
        </w:rPr>
        <w:t>unded form</w:t>
      </w:r>
      <w:r w:rsidR="005C49A1">
        <w:rPr>
          <w:rFonts w:hint="eastAsia"/>
          <w:sz w:val="18"/>
          <w:szCs w:val="18"/>
        </w:rPr>
        <w:t>」</w:t>
      </w:r>
      <w:r w:rsidR="00667CA3">
        <w:rPr>
          <w:rFonts w:hint="eastAsia"/>
          <w:sz w:val="18"/>
          <w:szCs w:val="18"/>
        </w:rPr>
        <w:t>，ポートフォリオ・デフォルトスワップ形式で提供するものを「u</w:t>
      </w:r>
      <w:r w:rsidR="00667CA3">
        <w:rPr>
          <w:sz w:val="18"/>
          <w:szCs w:val="18"/>
        </w:rPr>
        <w:t>nfunded form</w:t>
      </w:r>
      <w:r w:rsidR="00667CA3">
        <w:rPr>
          <w:rFonts w:hint="eastAsia"/>
          <w:sz w:val="18"/>
          <w:szCs w:val="18"/>
        </w:rPr>
        <w:t>」</w:t>
      </w:r>
      <w:r w:rsidR="00D37C12">
        <w:rPr>
          <w:rFonts w:hint="eastAsia"/>
          <w:sz w:val="18"/>
          <w:szCs w:val="18"/>
        </w:rPr>
        <w:t>という．さらに，CDOの発行額がCDSの想定元本総額と一致する</w:t>
      </w:r>
      <w:r w:rsidR="00216535">
        <w:rPr>
          <w:rFonts w:hint="eastAsia"/>
          <w:sz w:val="18"/>
          <w:szCs w:val="18"/>
        </w:rPr>
        <w:t>場合を「f</w:t>
      </w:r>
      <w:r w:rsidR="00216535">
        <w:rPr>
          <w:sz w:val="18"/>
          <w:szCs w:val="18"/>
        </w:rPr>
        <w:t>ully funded</w:t>
      </w:r>
      <w:r w:rsidR="00216535">
        <w:rPr>
          <w:rFonts w:hint="eastAsia"/>
          <w:sz w:val="18"/>
          <w:szCs w:val="18"/>
        </w:rPr>
        <w:t>」，下回る場合を「p</w:t>
      </w:r>
      <w:r w:rsidR="00216535">
        <w:rPr>
          <w:sz w:val="18"/>
          <w:szCs w:val="18"/>
        </w:rPr>
        <w:t>artially funded</w:t>
      </w:r>
      <w:r w:rsidR="00216535">
        <w:rPr>
          <w:rFonts w:hint="eastAsia"/>
          <w:sz w:val="18"/>
          <w:szCs w:val="18"/>
        </w:rPr>
        <w:t>」という．</w:t>
      </w:r>
      <w:r w:rsidR="007F50B4">
        <w:rPr>
          <w:rFonts w:hint="eastAsia"/>
          <w:sz w:val="18"/>
          <w:szCs w:val="18"/>
        </w:rPr>
        <w:t>なお，ポートフォリオ・デフォルトスワップ（PDS）とは，</w:t>
      </w:r>
      <w:r w:rsidR="00B87F82">
        <w:rPr>
          <w:rFonts w:hint="eastAsia"/>
          <w:sz w:val="18"/>
          <w:szCs w:val="18"/>
        </w:rPr>
        <w:t>ポートフォリオを原資産とするデフォルトスワップで，原資産に発生するデフォルト損失の特定部分</w:t>
      </w:r>
      <w:r w:rsidR="00DD23C5">
        <w:rPr>
          <w:rFonts w:hint="eastAsia"/>
          <w:sz w:val="18"/>
          <w:szCs w:val="18"/>
        </w:rPr>
        <w:t>を取引相手に移転する．</w:t>
      </w:r>
    </w:p>
  </w:footnote>
  <w:footnote w:id="3">
    <w:p w14:paraId="629C6677" w14:textId="77777777" w:rsidR="009147CC" w:rsidRDefault="00DD23C5">
      <w:r>
        <w:rPr>
          <w:rStyle w:val="af6"/>
        </w:rPr>
        <w:footnoteRef/>
      </w:r>
      <w:r>
        <w:t xml:space="preserve"> </w:t>
      </w:r>
      <w:r>
        <w:rPr>
          <w:rFonts w:hint="eastAsia"/>
          <w:sz w:val="18"/>
          <w:szCs w:val="18"/>
        </w:rPr>
        <w:t>スーパーシニアは</w:t>
      </w:r>
      <w:r w:rsidR="00034535">
        <w:rPr>
          <w:rFonts w:hint="eastAsia"/>
          <w:sz w:val="18"/>
          <w:szCs w:val="18"/>
        </w:rPr>
        <w:t>投資家に</w:t>
      </w:r>
      <w:r>
        <w:rPr>
          <w:rFonts w:hint="eastAsia"/>
          <w:sz w:val="18"/>
          <w:szCs w:val="18"/>
        </w:rPr>
        <w:t>販売されないか，</w:t>
      </w:r>
      <w:r w:rsidR="00034535">
        <w:rPr>
          <w:rFonts w:hint="eastAsia"/>
          <w:sz w:val="18"/>
          <w:szCs w:val="18"/>
        </w:rPr>
        <w:t>またはその差額部分全体を一資産</w:t>
      </w:r>
      <w:r w:rsidR="00D92886">
        <w:rPr>
          <w:rFonts w:hint="eastAsia"/>
          <w:sz w:val="18"/>
          <w:szCs w:val="18"/>
        </w:rPr>
        <w:t>とみなしたCDS（PDSの一種）</w:t>
      </w:r>
      <w:r w:rsidR="005B32A1">
        <w:rPr>
          <w:rFonts w:hint="eastAsia"/>
          <w:sz w:val="18"/>
          <w:szCs w:val="18"/>
        </w:rPr>
        <w:t>として投資家に販売されることが多い．</w:t>
      </w:r>
      <w:r w:rsidR="00EB5F97">
        <w:rPr>
          <w:rFonts w:hint="eastAsia"/>
          <w:sz w:val="18"/>
          <w:szCs w:val="18"/>
        </w:rPr>
        <w:t>ここでのPDSでは，差額部分にわずかでも毀損が発生</w:t>
      </w:r>
    </w:p>
  </w:footnote>
  <w:footnote w:id="4">
    <w:p w14:paraId="68C4B779" w14:textId="20079713" w:rsidR="00D879C3" w:rsidRPr="00D879C3" w:rsidRDefault="00D879C3">
      <w:pPr>
        <w:pStyle w:val="af4"/>
        <w:rPr>
          <w:rFonts w:hint="eastAsia"/>
        </w:rPr>
      </w:pPr>
      <w:r w:rsidRPr="00D879C3">
        <w:rPr>
          <w:rStyle w:val="af6"/>
          <w:sz w:val="18"/>
          <w:szCs w:val="18"/>
        </w:rPr>
        <w:footnoteRef/>
      </w:r>
      <w:r w:rsidRPr="00D879C3">
        <w:rPr>
          <w:sz w:val="18"/>
          <w:szCs w:val="18"/>
        </w:rPr>
        <w:t xml:space="preserve"> </w:t>
      </w:r>
      <w:r w:rsidRPr="00D879C3">
        <w:rPr>
          <w:rFonts w:hint="eastAsia"/>
          <w:sz w:val="18"/>
          <w:szCs w:val="18"/>
        </w:rPr>
        <w:t>極限損失分布の考え方は</w:t>
      </w:r>
      <w:r>
        <w:rPr>
          <w:rFonts w:hint="eastAsia"/>
          <w:sz w:val="18"/>
          <w:szCs w:val="18"/>
        </w:rPr>
        <w:t>，</w:t>
      </w:r>
      <w:r w:rsidRPr="00D879C3">
        <w:rPr>
          <w:rFonts w:hint="eastAsia"/>
          <w:sz w:val="18"/>
          <w:szCs w:val="18"/>
        </w:rPr>
        <w:t>債務者数が多く各債務者へのエクスポージャーが十分に分散化されている場合には</w:t>
      </w:r>
      <w:r>
        <w:rPr>
          <w:rFonts w:hint="eastAsia"/>
          <w:sz w:val="18"/>
          <w:szCs w:val="18"/>
        </w:rPr>
        <w:t>，</w:t>
      </w:r>
      <w:r w:rsidRPr="00D879C3">
        <w:rPr>
          <w:rFonts w:hint="eastAsia"/>
          <w:sz w:val="18"/>
          <w:szCs w:val="18"/>
        </w:rPr>
        <w:t>各債務者の個別の要因が打ち消し合うため</w:t>
      </w:r>
      <w:r>
        <w:rPr>
          <w:rFonts w:hint="eastAsia"/>
          <w:sz w:val="18"/>
          <w:szCs w:val="18"/>
        </w:rPr>
        <w:t>，</w:t>
      </w:r>
      <w:r w:rsidRPr="00D879C3">
        <w:rPr>
          <w:rFonts w:hint="eastAsia"/>
          <w:sz w:val="18"/>
          <w:szCs w:val="18"/>
        </w:rPr>
        <w:t>損失分布は全債務者に共通の要因である</w:t>
      </w:r>
      <w:r>
        <w:rPr>
          <w:rFonts w:hint="eastAsia"/>
          <w:sz w:val="18"/>
          <w:szCs w:val="18"/>
        </w:rPr>
        <w:t>「</w:t>
      </w:r>
      <w:r w:rsidRPr="00D879C3">
        <w:rPr>
          <w:rFonts w:hint="eastAsia"/>
          <w:sz w:val="18"/>
          <w:szCs w:val="18"/>
        </w:rPr>
        <w:t>システマティック･リスク･ファクター</w:t>
      </w:r>
      <w:r>
        <w:rPr>
          <w:rFonts w:hint="eastAsia"/>
          <w:sz w:val="18"/>
          <w:szCs w:val="18"/>
        </w:rPr>
        <w:t>」</w:t>
      </w:r>
      <w:r w:rsidRPr="00D879C3">
        <w:rPr>
          <w:rFonts w:hint="eastAsia"/>
          <w:sz w:val="18"/>
          <w:szCs w:val="18"/>
        </w:rPr>
        <w:t>のみによって表現されるという事実に基づいている</w:t>
      </w:r>
      <w:r>
        <w:rPr>
          <w:rFonts w:hint="eastAsia"/>
          <w:sz w:val="18"/>
          <w:szCs w:val="18"/>
        </w:rPr>
        <w:t>．</w:t>
      </w:r>
    </w:p>
  </w:footnote>
  <w:footnote w:id="5">
    <w:p w14:paraId="0E682C52" w14:textId="5380181B" w:rsidR="00857465" w:rsidRDefault="00857465">
      <w:pPr>
        <w:pStyle w:val="af4"/>
        <w:rPr>
          <w:rFonts w:hint="eastAsia"/>
        </w:rPr>
      </w:pPr>
      <w:r w:rsidRPr="00857465">
        <w:rPr>
          <w:rStyle w:val="af6"/>
          <w:sz w:val="18"/>
          <w:szCs w:val="18"/>
        </w:rPr>
        <w:footnoteRef/>
      </w:r>
      <w:r w:rsidRPr="00857465">
        <w:rPr>
          <w:sz w:val="18"/>
          <w:szCs w:val="18"/>
        </w:rPr>
        <w:t xml:space="preserve"> </w:t>
      </w:r>
      <w:r w:rsidR="00696B6D">
        <w:rPr>
          <w:rFonts w:hint="eastAsia"/>
          <w:sz w:val="18"/>
          <w:szCs w:val="18"/>
        </w:rPr>
        <w:t>以下の定理式で現れる各項はすべて計算可能とする．また，</w:t>
      </w:r>
      <m:oMath>
        <m:r>
          <w:rPr>
            <w:rFonts w:ascii="Cambria Math" w:hAnsi="Cambria Math"/>
            <w:sz w:val="18"/>
            <w:szCs w:val="18"/>
          </w:rPr>
          <m:t>Var</m:t>
        </m:r>
        <m:d>
          <m:dPr>
            <m:begChr m:val="["/>
            <m:endChr m:val="]"/>
            <m:ctrlPr>
              <w:rPr>
                <w:rFonts w:ascii="Cambria Math" w:hAnsi="Cambria Math"/>
                <w:i/>
                <w:sz w:val="18"/>
                <w:szCs w:val="18"/>
              </w:rPr>
            </m:ctrlPr>
          </m:dPr>
          <m:e>
            <m:r>
              <w:rPr>
                <w:rFonts w:ascii="Cambria Math" w:hAnsi="Cambria Math"/>
                <w:sz w:val="18"/>
                <w:szCs w:val="18"/>
              </w:rPr>
              <m:t>⋅</m:t>
            </m:r>
            <m:r>
              <w:rPr>
                <w:rFonts w:ascii="Cambria Math" w:hAnsi="Cambria Math"/>
                <w:sz w:val="18"/>
                <w:szCs w:val="18"/>
              </w:rPr>
              <m:t>|</m:t>
            </m:r>
            <m:r>
              <w:rPr>
                <w:rFonts w:ascii="Cambria Math" w:hAnsi="Cambria Math"/>
                <w:sz w:val="18"/>
                <w:szCs w:val="18"/>
              </w:rPr>
              <m:t>⋅</m:t>
            </m:r>
          </m:e>
        </m:d>
      </m:oMath>
      <w:r w:rsidR="008544BF">
        <w:rPr>
          <w:rFonts w:hint="eastAsia"/>
          <w:sz w:val="18"/>
          <w:szCs w:val="18"/>
        </w:rPr>
        <w:t>は条件付分散である．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 w:ilvl="1">
      <w:start w:val="1"/>
      <w:numFmt w:val="decimal"/>
      <w:suff w:val="space"/>
      <w:lvlText w:val="%1.%2"/>
      <w:lvlJc w:val="left"/>
      <w:pPr>
        <w:ind w:left="0" w:firstLine="0"/>
      </w:pPr>
      <w:rPr>
        <w:rFonts w:ascii="Times New Roman" w:eastAsia="游明朝" w:hAnsi="Times New Roman" w:hint="default"/>
        <w:b/>
        <w:i w:val="0"/>
        <w:sz w:val="24"/>
        <w:szCs w:val="18"/>
      </w:rPr>
    </w:lvl>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 w:ilvl="3">
      <w:start w:val="1"/>
      <w:numFmt w:val="decimal"/>
      <w:lvlText w:val="%1.%2.%3.%4"/>
      <w:lvlJc w:val="left"/>
      <w:pPr>
        <w:ind w:left="227" w:hanging="227"/>
      </w:pPr>
      <w:rPr>
        <w:rFonts w:ascii="Times New Roman" w:eastAsia="游明朝"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59B3C5B"/>
    <w:multiLevelType w:val="hybridMultilevel"/>
    <w:tmpl w:val="7C86BB6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15:restartNumberingAfterBreak="0">
    <w:nsid w:val="06C73C7D"/>
    <w:multiLevelType w:val="multilevel"/>
    <w:tmpl w:val="1BCE2200"/>
    <w:numStyleLink w:val="2"/>
  </w:abstractNum>
  <w:abstractNum w:abstractNumId="3" w15:restartNumberingAfterBreak="0">
    <w:nsid w:val="090B1A59"/>
    <w:multiLevelType w:val="hybridMultilevel"/>
    <w:tmpl w:val="E6585FD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3EC799C"/>
    <w:multiLevelType w:val="multilevel"/>
    <w:tmpl w:val="1BCE2200"/>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游明朝" w:hAnsi="Times New Roman" w:hint="default"/>
        <w:b/>
        <w:i w:val="0"/>
        <w:sz w:val="24"/>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6" w15:restartNumberingAfterBreak="0">
    <w:nsid w:val="18C32AB8"/>
    <w:multiLevelType w:val="multilevel"/>
    <w:tmpl w:val="82C4FF70"/>
    <w:numStyleLink w:val="a0"/>
  </w:abstractNum>
  <w:abstractNum w:abstractNumId="7" w15:restartNumberingAfterBreak="0">
    <w:nsid w:val="18E2522A"/>
    <w:multiLevelType w:val="multilevel"/>
    <w:tmpl w:val="D85E49A8"/>
    <w:numStyleLink w:val="a"/>
  </w:abstractNum>
  <w:abstractNum w:abstractNumId="8"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B53732A"/>
    <w:multiLevelType w:val="multilevel"/>
    <w:tmpl w:val="0EF05C8C"/>
    <w:lvl w:ilvl="0">
      <w:start w:val="1"/>
      <w:numFmt w:val="decimal"/>
      <w:suff w:val="space"/>
      <w:lvlText w:val="%1."/>
      <w:lvlJc w:val="left"/>
      <w:pPr>
        <w:ind w:left="420" w:hanging="420"/>
      </w:pPr>
      <w:rPr>
        <w:rFonts w:ascii="Times New Roman" w:hAnsi="Times New Roman" w:hint="default"/>
        <w:b/>
        <w:i w:val="0"/>
        <w:sz w:val="28"/>
        <w:szCs w:val="28"/>
      </w:rPr>
    </w:lvl>
    <w:lvl w:ilvl="1">
      <w:start w:val="1"/>
      <w:numFmt w:val="decimal"/>
      <w:suff w:val="space"/>
      <w:lvlText w:val="%1.%2"/>
      <w:lvlJc w:val="left"/>
      <w:pPr>
        <w:ind w:left="170" w:hanging="113"/>
      </w:pPr>
      <w:rPr>
        <w:rFonts w:ascii="Times New Roman" w:eastAsia="游明朝" w:hAnsi="Times New Roman" w:hint="default"/>
        <w:sz w:val="24"/>
      </w:rPr>
    </w:lvl>
    <w:lvl w:ilvl="2">
      <w:start w:val="1"/>
      <w:numFmt w:val="decimal"/>
      <w:suff w:val="space"/>
      <w:lvlText w:val="%1.%2.%3"/>
      <w:lvlJc w:val="left"/>
      <w:pPr>
        <w:ind w:left="1260" w:hanging="1033"/>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8690530"/>
    <w:multiLevelType w:val="hybridMultilevel"/>
    <w:tmpl w:val="70BAF57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15:restartNumberingAfterBreak="0">
    <w:nsid w:val="2906770D"/>
    <w:multiLevelType w:val="multilevel"/>
    <w:tmpl w:val="4D202108"/>
    <w:lvl w:ilvl="0">
      <w:start w:val="1"/>
      <w:numFmt w:val="decimal"/>
      <w:pStyle w:val="1"/>
      <w:suff w:val="space"/>
      <w:lvlText w:val="%1."/>
      <w:lvlJc w:val="left"/>
      <w:pPr>
        <w:ind w:left="420" w:hanging="420"/>
      </w:pPr>
      <w:rPr>
        <w:rFonts w:ascii="Times New Roman" w:hAnsi="Times New Roman" w:hint="default"/>
        <w:b/>
        <w:i w:val="0"/>
        <w:sz w:val="28"/>
        <w:szCs w:val="28"/>
      </w:rPr>
    </w:lvl>
    <w:lvl w:ilvl="1">
      <w:start w:val="1"/>
      <w:numFmt w:val="decimal"/>
      <w:pStyle w:val="20"/>
      <w:suff w:val="space"/>
      <w:lvlText w:val="%1.%2"/>
      <w:lvlJc w:val="left"/>
      <w:pPr>
        <w:ind w:left="170" w:hanging="170"/>
      </w:pPr>
      <w:rPr>
        <w:rFonts w:ascii="Times New Roman" w:eastAsia="游明朝" w:hAnsi="Times New Roman" w:hint="default"/>
        <w:sz w:val="24"/>
      </w:rPr>
    </w:lvl>
    <w:lvl w:ilvl="2">
      <w:start w:val="1"/>
      <w:numFmt w:val="decimal"/>
      <w:pStyle w:val="3"/>
      <w:suff w:val="space"/>
      <w:lvlText w:val="%1.%2.%3"/>
      <w:lvlJc w:val="left"/>
      <w:pPr>
        <w:ind w:left="1260" w:hanging="1260"/>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4"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1F254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6C148F1"/>
    <w:multiLevelType w:val="hybridMultilevel"/>
    <w:tmpl w:val="7D5E1EF8"/>
    <w:lvl w:ilvl="0" w:tplc="04090009">
      <w:start w:val="1"/>
      <w:numFmt w:val="bullet"/>
      <w:lvlText w:val=""/>
      <w:lvlJc w:val="left"/>
      <w:pPr>
        <w:ind w:left="630" w:hanging="420"/>
      </w:pPr>
      <w:rPr>
        <w:rFonts w:ascii="Wingdings" w:hAnsi="Wingdings" w:hint="default"/>
      </w:rPr>
    </w:lvl>
    <w:lvl w:ilvl="1" w:tplc="0409000D">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9" w15:restartNumberingAfterBreak="0">
    <w:nsid w:val="3984447B"/>
    <w:multiLevelType w:val="multilevel"/>
    <w:tmpl w:val="E076B442"/>
    <w:styleLink w:val="21"/>
    <w:lvl w:ilvl="0">
      <w:start w:val="1"/>
      <w:numFmt w:val="decimal"/>
      <w:lvlText w:val="%1"/>
      <w:lvlJc w:val="left"/>
      <w:pPr>
        <w:ind w:left="850" w:hanging="425"/>
      </w:pPr>
      <w:rPr>
        <w:rFonts w:hint="eastAsia"/>
      </w:rPr>
    </w:lvl>
    <w:lvl w:ilvl="1">
      <w:start w:val="1"/>
      <w:numFmt w:val="decimal"/>
      <w:lvlText w:val="%1.%2"/>
      <w:lvlJc w:val="left"/>
      <w:pPr>
        <w:ind w:left="1417" w:hanging="567"/>
      </w:pPr>
      <w:rPr>
        <w:rFonts w:ascii="Times New Roman" w:eastAsia="游明朝" w:hAnsi="Times New Roman" w:hint="eastAsia"/>
        <w:color w:val="auto"/>
        <w:sz w:val="24"/>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0"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3D5350ED"/>
    <w:multiLevelType w:val="hybridMultilevel"/>
    <w:tmpl w:val="83223188"/>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3FCA655A"/>
    <w:multiLevelType w:val="multilevel"/>
    <w:tmpl w:val="51BE7596"/>
    <w:lvl w:ilvl="0">
      <w:start w:val="1"/>
      <w:numFmt w:val="upperLetter"/>
      <w:pStyle w:val="5"/>
      <w:suff w:val="space"/>
      <w:lvlText w:val="Appendix %1."/>
      <w:lvlJc w:val="left"/>
      <w:pPr>
        <w:ind w:left="1220" w:hanging="1220"/>
      </w:pPr>
      <w:rPr>
        <w:rFonts w:hint="eastAsia"/>
      </w:rPr>
    </w:lvl>
    <w:lvl w:ilvl="1">
      <w:start w:val="1"/>
      <w:numFmt w:val="aiueoFullWidth"/>
      <w:lvlText w:val="(%2)"/>
      <w:lvlJc w:val="left"/>
      <w:pPr>
        <w:ind w:left="1640" w:hanging="420"/>
      </w:pPr>
      <w:rPr>
        <w:rFonts w:hint="eastAsia"/>
      </w:rPr>
    </w:lvl>
    <w:lvl w:ilvl="2">
      <w:start w:val="1"/>
      <w:numFmt w:val="decimalEnclosedCircle"/>
      <w:lvlText w:val="%3"/>
      <w:lvlJc w:val="left"/>
      <w:pPr>
        <w:ind w:left="2060" w:hanging="420"/>
      </w:pPr>
      <w:rPr>
        <w:rFonts w:hint="eastAsia"/>
      </w:rPr>
    </w:lvl>
    <w:lvl w:ilvl="3">
      <w:start w:val="1"/>
      <w:numFmt w:val="decimal"/>
      <w:lvlText w:val="%4."/>
      <w:lvlJc w:val="left"/>
      <w:pPr>
        <w:ind w:left="2480" w:hanging="420"/>
      </w:pPr>
      <w:rPr>
        <w:rFonts w:hint="eastAsia"/>
      </w:rPr>
    </w:lvl>
    <w:lvl w:ilvl="4">
      <w:start w:val="1"/>
      <w:numFmt w:val="aiueoFullWidth"/>
      <w:lvlText w:val="(%5)"/>
      <w:lvlJc w:val="left"/>
      <w:pPr>
        <w:ind w:left="2900" w:hanging="420"/>
      </w:pPr>
      <w:rPr>
        <w:rFonts w:hint="eastAsia"/>
      </w:rPr>
    </w:lvl>
    <w:lvl w:ilvl="5">
      <w:start w:val="1"/>
      <w:numFmt w:val="decimalEnclosedCircle"/>
      <w:lvlText w:val="%6"/>
      <w:lvlJc w:val="left"/>
      <w:pPr>
        <w:ind w:left="3320" w:hanging="420"/>
      </w:pPr>
      <w:rPr>
        <w:rFonts w:hint="eastAsia"/>
      </w:rPr>
    </w:lvl>
    <w:lvl w:ilvl="6">
      <w:start w:val="1"/>
      <w:numFmt w:val="decimal"/>
      <w:lvlText w:val="%7."/>
      <w:lvlJc w:val="left"/>
      <w:pPr>
        <w:ind w:left="3740" w:hanging="420"/>
      </w:pPr>
      <w:rPr>
        <w:rFonts w:hint="eastAsia"/>
      </w:rPr>
    </w:lvl>
    <w:lvl w:ilvl="7">
      <w:start w:val="1"/>
      <w:numFmt w:val="aiueoFullWidth"/>
      <w:lvlText w:val="(%8)"/>
      <w:lvlJc w:val="left"/>
      <w:pPr>
        <w:ind w:left="4160" w:hanging="420"/>
      </w:pPr>
      <w:rPr>
        <w:rFonts w:hint="eastAsia"/>
      </w:rPr>
    </w:lvl>
    <w:lvl w:ilvl="8">
      <w:start w:val="1"/>
      <w:numFmt w:val="decimalEnclosedCircle"/>
      <w:lvlText w:val="%9"/>
      <w:lvlJc w:val="left"/>
      <w:pPr>
        <w:ind w:left="4580" w:hanging="420"/>
      </w:pPr>
      <w:rPr>
        <w:rFonts w:hint="eastAsia"/>
      </w:rPr>
    </w:lvl>
  </w:abstractNum>
  <w:abstractNum w:abstractNumId="24" w15:restartNumberingAfterBreak="0">
    <w:nsid w:val="4F4B3927"/>
    <w:multiLevelType w:val="multilevel"/>
    <w:tmpl w:val="62C0CF0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59D160CE"/>
    <w:multiLevelType w:val="multilevel"/>
    <w:tmpl w:val="D85E49A8"/>
    <w:numStyleLink w:val="a"/>
  </w:abstractNum>
  <w:abstractNum w:abstractNumId="27"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2" w15:restartNumberingAfterBreak="0">
    <w:nsid w:val="649A4336"/>
    <w:multiLevelType w:val="hybridMultilevel"/>
    <w:tmpl w:val="87E4CA32"/>
    <w:lvl w:ilvl="0" w:tplc="04090005">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3" w15:restartNumberingAfterBreak="0">
    <w:nsid w:val="6CF84509"/>
    <w:multiLevelType w:val="multilevel"/>
    <w:tmpl w:val="1BCE2200"/>
    <w:numStyleLink w:val="2"/>
  </w:abstractNum>
  <w:abstractNum w:abstractNumId="34"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FA61169"/>
    <w:multiLevelType w:val="multilevel"/>
    <w:tmpl w:val="E076B442"/>
    <w:numStyleLink w:val="21"/>
  </w:abstractNum>
  <w:abstractNum w:abstractNumId="36"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E5C5CF6"/>
    <w:multiLevelType w:val="multilevel"/>
    <w:tmpl w:val="D85E49A8"/>
    <w:numStyleLink w:val="a"/>
  </w:abstractNum>
  <w:num w:numId="1">
    <w:abstractNumId w:val="21"/>
  </w:num>
  <w:num w:numId="2">
    <w:abstractNumId w:val="5"/>
  </w:num>
  <w:num w:numId="3">
    <w:abstractNumId w:val="0"/>
  </w:num>
  <w:num w:numId="4">
    <w:abstractNumId w:val="34"/>
  </w:num>
  <w:num w:numId="5">
    <w:abstractNumId w:val="6"/>
  </w:num>
  <w:num w:numId="6">
    <w:abstractNumId w:val="7"/>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abstractNumId w:val="30"/>
  </w:num>
  <w:num w:numId="8">
    <w:abstractNumId w:val="31"/>
  </w:num>
  <w:num w:numId="9">
    <w:abstractNumId w:val="40"/>
  </w:num>
  <w:num w:numId="10">
    <w:abstractNumId w:val="29"/>
  </w:num>
  <w:num w:numId="11">
    <w:abstractNumId w:val="42"/>
  </w:num>
  <w:num w:numId="12">
    <w:abstractNumId w:val="27"/>
  </w:num>
  <w:num w:numId="13">
    <w:abstractNumId w:val="36"/>
  </w:num>
  <w:num w:numId="14">
    <w:abstractNumId w:val="16"/>
  </w:num>
  <w:num w:numId="15">
    <w:abstractNumId w:val="18"/>
  </w:num>
  <w:num w:numId="16">
    <w:abstractNumId w:val="39"/>
  </w:num>
  <w:num w:numId="17">
    <w:abstractNumId w:val="20"/>
  </w:num>
  <w:num w:numId="18">
    <w:abstractNumId w:val="25"/>
  </w:num>
  <w:num w:numId="19">
    <w:abstractNumId w:val="28"/>
  </w:num>
  <w:num w:numId="20">
    <w:abstractNumId w:val="38"/>
  </w:num>
  <w:num w:numId="21">
    <w:abstractNumId w:val="11"/>
  </w:num>
  <w:num w:numId="22">
    <w:abstractNumId w:val="37"/>
  </w:num>
  <w:num w:numId="23">
    <w:abstractNumId w:val="41"/>
  </w:num>
  <w:num w:numId="24">
    <w:abstractNumId w:val="14"/>
  </w:num>
  <w:num w:numId="25">
    <w:abstractNumId w:val="8"/>
  </w:num>
  <w:num w:numId="26">
    <w:abstractNumId w:val="4"/>
  </w:num>
  <w:num w:numId="27">
    <w:abstractNumId w:val="10"/>
  </w:num>
  <w:num w:numId="28">
    <w:abstractNumId w:val="9"/>
  </w:num>
  <w:num w:numId="29">
    <w:abstractNumId w:val="23"/>
  </w:num>
  <w:num w:numId="30">
    <w:abstractNumId w:val="3"/>
  </w:num>
  <w:num w:numId="31">
    <w:abstractNumId w:val="15"/>
  </w:num>
  <w:num w:numId="32">
    <w:abstractNumId w:val="26"/>
  </w:num>
  <w:num w:numId="33">
    <w:abstractNumId w:val="43"/>
  </w:num>
  <w:num w:numId="34">
    <w:abstractNumId w:val="19"/>
  </w:num>
  <w:num w:numId="35">
    <w:abstractNumId w:val="35"/>
  </w:num>
  <w:num w:numId="36">
    <w:abstractNumId w:val="2"/>
  </w:num>
  <w:num w:numId="37">
    <w:abstractNumId w:val="33"/>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24"/>
  </w:num>
  <w:num w:numId="41">
    <w:abstractNumId w:val="22"/>
  </w:num>
  <w:num w:numId="42">
    <w:abstractNumId w:val="17"/>
  </w:num>
  <w:num w:numId="43">
    <w:abstractNumId w:val="32"/>
  </w:num>
  <w:num w:numId="44">
    <w:abstractNumId w:val="1"/>
  </w:num>
  <w:num w:numId="45">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878"/>
    <w:rsid w:val="00000A38"/>
    <w:rsid w:val="00001D24"/>
    <w:rsid w:val="000030EB"/>
    <w:rsid w:val="0000334B"/>
    <w:rsid w:val="000033B1"/>
    <w:rsid w:val="00003F18"/>
    <w:rsid w:val="000047F7"/>
    <w:rsid w:val="0000481E"/>
    <w:rsid w:val="00004C2B"/>
    <w:rsid w:val="00004D92"/>
    <w:rsid w:val="000051F9"/>
    <w:rsid w:val="00006D38"/>
    <w:rsid w:val="0000769B"/>
    <w:rsid w:val="00007889"/>
    <w:rsid w:val="00007D93"/>
    <w:rsid w:val="00010A51"/>
    <w:rsid w:val="0001104A"/>
    <w:rsid w:val="000114FE"/>
    <w:rsid w:val="000117AC"/>
    <w:rsid w:val="00011F83"/>
    <w:rsid w:val="000129DE"/>
    <w:rsid w:val="00012ABC"/>
    <w:rsid w:val="00012C19"/>
    <w:rsid w:val="00015BDD"/>
    <w:rsid w:val="00015C58"/>
    <w:rsid w:val="00016EFC"/>
    <w:rsid w:val="000172E9"/>
    <w:rsid w:val="00017B1B"/>
    <w:rsid w:val="000200AE"/>
    <w:rsid w:val="00020CC4"/>
    <w:rsid w:val="0002152C"/>
    <w:rsid w:val="0002207A"/>
    <w:rsid w:val="000227BD"/>
    <w:rsid w:val="00022B9D"/>
    <w:rsid w:val="0002398B"/>
    <w:rsid w:val="0002448F"/>
    <w:rsid w:val="00024C35"/>
    <w:rsid w:val="00025B42"/>
    <w:rsid w:val="00026AE9"/>
    <w:rsid w:val="00027397"/>
    <w:rsid w:val="00027707"/>
    <w:rsid w:val="00027CFB"/>
    <w:rsid w:val="00030A5B"/>
    <w:rsid w:val="00031E06"/>
    <w:rsid w:val="00032302"/>
    <w:rsid w:val="0003243B"/>
    <w:rsid w:val="00033E27"/>
    <w:rsid w:val="00034535"/>
    <w:rsid w:val="000347EB"/>
    <w:rsid w:val="00035641"/>
    <w:rsid w:val="000358E6"/>
    <w:rsid w:val="0003595A"/>
    <w:rsid w:val="0003670A"/>
    <w:rsid w:val="00036DDB"/>
    <w:rsid w:val="00036E4E"/>
    <w:rsid w:val="000376A6"/>
    <w:rsid w:val="000379CC"/>
    <w:rsid w:val="00037F63"/>
    <w:rsid w:val="000403D8"/>
    <w:rsid w:val="00040759"/>
    <w:rsid w:val="00040F3B"/>
    <w:rsid w:val="000411F7"/>
    <w:rsid w:val="00041914"/>
    <w:rsid w:val="0004218A"/>
    <w:rsid w:val="00042965"/>
    <w:rsid w:val="00043485"/>
    <w:rsid w:val="000434D8"/>
    <w:rsid w:val="00043A97"/>
    <w:rsid w:val="00043CC8"/>
    <w:rsid w:val="00043D45"/>
    <w:rsid w:val="000444DD"/>
    <w:rsid w:val="0004483E"/>
    <w:rsid w:val="00044A92"/>
    <w:rsid w:val="00044FAA"/>
    <w:rsid w:val="00045A8E"/>
    <w:rsid w:val="000461F2"/>
    <w:rsid w:val="00046F29"/>
    <w:rsid w:val="00047227"/>
    <w:rsid w:val="00047388"/>
    <w:rsid w:val="00050202"/>
    <w:rsid w:val="00051A6B"/>
    <w:rsid w:val="0005218B"/>
    <w:rsid w:val="000521B8"/>
    <w:rsid w:val="00052966"/>
    <w:rsid w:val="000530BA"/>
    <w:rsid w:val="0005312B"/>
    <w:rsid w:val="0005359A"/>
    <w:rsid w:val="0005361C"/>
    <w:rsid w:val="00053748"/>
    <w:rsid w:val="00054E47"/>
    <w:rsid w:val="00055E58"/>
    <w:rsid w:val="000562C8"/>
    <w:rsid w:val="00056B31"/>
    <w:rsid w:val="00057C80"/>
    <w:rsid w:val="00057E67"/>
    <w:rsid w:val="00060C0F"/>
    <w:rsid w:val="000615EF"/>
    <w:rsid w:val="00062153"/>
    <w:rsid w:val="000623FE"/>
    <w:rsid w:val="000629CE"/>
    <w:rsid w:val="00064E8C"/>
    <w:rsid w:val="000666CF"/>
    <w:rsid w:val="00067CD0"/>
    <w:rsid w:val="00070258"/>
    <w:rsid w:val="000702CE"/>
    <w:rsid w:val="000704D4"/>
    <w:rsid w:val="0007121D"/>
    <w:rsid w:val="00071D80"/>
    <w:rsid w:val="00072400"/>
    <w:rsid w:val="00074EA5"/>
    <w:rsid w:val="0007509A"/>
    <w:rsid w:val="00075644"/>
    <w:rsid w:val="0007619C"/>
    <w:rsid w:val="000766E5"/>
    <w:rsid w:val="00076772"/>
    <w:rsid w:val="00076956"/>
    <w:rsid w:val="00076EE7"/>
    <w:rsid w:val="00077818"/>
    <w:rsid w:val="00077D8A"/>
    <w:rsid w:val="0008096C"/>
    <w:rsid w:val="00081B82"/>
    <w:rsid w:val="00081CD8"/>
    <w:rsid w:val="00081F1E"/>
    <w:rsid w:val="00082182"/>
    <w:rsid w:val="0008234F"/>
    <w:rsid w:val="00082ED2"/>
    <w:rsid w:val="0008383C"/>
    <w:rsid w:val="00084111"/>
    <w:rsid w:val="0008547A"/>
    <w:rsid w:val="00086D3A"/>
    <w:rsid w:val="000870A5"/>
    <w:rsid w:val="00091C7B"/>
    <w:rsid w:val="0009235E"/>
    <w:rsid w:val="0009297D"/>
    <w:rsid w:val="00092ED5"/>
    <w:rsid w:val="0009300B"/>
    <w:rsid w:val="0009594A"/>
    <w:rsid w:val="00095F93"/>
    <w:rsid w:val="00096134"/>
    <w:rsid w:val="00096BA4"/>
    <w:rsid w:val="00096FC8"/>
    <w:rsid w:val="000A070F"/>
    <w:rsid w:val="000A0B4E"/>
    <w:rsid w:val="000A0EF3"/>
    <w:rsid w:val="000A13F9"/>
    <w:rsid w:val="000A182F"/>
    <w:rsid w:val="000A1D9A"/>
    <w:rsid w:val="000A23FE"/>
    <w:rsid w:val="000A292B"/>
    <w:rsid w:val="000A3665"/>
    <w:rsid w:val="000A3F6F"/>
    <w:rsid w:val="000A469F"/>
    <w:rsid w:val="000A4F64"/>
    <w:rsid w:val="000A506B"/>
    <w:rsid w:val="000A5EF3"/>
    <w:rsid w:val="000A689A"/>
    <w:rsid w:val="000A6A04"/>
    <w:rsid w:val="000A6BB1"/>
    <w:rsid w:val="000A718E"/>
    <w:rsid w:val="000B0225"/>
    <w:rsid w:val="000B207E"/>
    <w:rsid w:val="000B2B66"/>
    <w:rsid w:val="000B30B4"/>
    <w:rsid w:val="000B4927"/>
    <w:rsid w:val="000B4AAA"/>
    <w:rsid w:val="000B56EC"/>
    <w:rsid w:val="000B61C8"/>
    <w:rsid w:val="000B6A19"/>
    <w:rsid w:val="000B7A12"/>
    <w:rsid w:val="000C0528"/>
    <w:rsid w:val="000C0FD8"/>
    <w:rsid w:val="000C1043"/>
    <w:rsid w:val="000C16D2"/>
    <w:rsid w:val="000C258A"/>
    <w:rsid w:val="000C265F"/>
    <w:rsid w:val="000C3803"/>
    <w:rsid w:val="000C43E6"/>
    <w:rsid w:val="000C44C7"/>
    <w:rsid w:val="000C462C"/>
    <w:rsid w:val="000C4E94"/>
    <w:rsid w:val="000C5987"/>
    <w:rsid w:val="000C59A3"/>
    <w:rsid w:val="000C6592"/>
    <w:rsid w:val="000C74A9"/>
    <w:rsid w:val="000C7601"/>
    <w:rsid w:val="000C7F17"/>
    <w:rsid w:val="000D0F6B"/>
    <w:rsid w:val="000D2536"/>
    <w:rsid w:val="000D3249"/>
    <w:rsid w:val="000D43CB"/>
    <w:rsid w:val="000D4F06"/>
    <w:rsid w:val="000D4F4C"/>
    <w:rsid w:val="000D52EB"/>
    <w:rsid w:val="000D5745"/>
    <w:rsid w:val="000D7602"/>
    <w:rsid w:val="000E0206"/>
    <w:rsid w:val="000E051B"/>
    <w:rsid w:val="000E0EB7"/>
    <w:rsid w:val="000E2663"/>
    <w:rsid w:val="000E4C56"/>
    <w:rsid w:val="000E5293"/>
    <w:rsid w:val="000E5613"/>
    <w:rsid w:val="000E5DB1"/>
    <w:rsid w:val="000E66F7"/>
    <w:rsid w:val="000E6712"/>
    <w:rsid w:val="000E6F64"/>
    <w:rsid w:val="000E775C"/>
    <w:rsid w:val="000F03BC"/>
    <w:rsid w:val="000F0489"/>
    <w:rsid w:val="000F0B4A"/>
    <w:rsid w:val="000F0E63"/>
    <w:rsid w:val="000F25B6"/>
    <w:rsid w:val="000F3117"/>
    <w:rsid w:val="000F330F"/>
    <w:rsid w:val="000F389A"/>
    <w:rsid w:val="000F3BAB"/>
    <w:rsid w:val="000F4461"/>
    <w:rsid w:val="000F4A73"/>
    <w:rsid w:val="000F6DCC"/>
    <w:rsid w:val="000F7E58"/>
    <w:rsid w:val="001005F4"/>
    <w:rsid w:val="001017FC"/>
    <w:rsid w:val="00103DE4"/>
    <w:rsid w:val="0010449D"/>
    <w:rsid w:val="00104FB9"/>
    <w:rsid w:val="00105841"/>
    <w:rsid w:val="00105CC0"/>
    <w:rsid w:val="00110F47"/>
    <w:rsid w:val="001114B1"/>
    <w:rsid w:val="00111D08"/>
    <w:rsid w:val="00112080"/>
    <w:rsid w:val="0011231C"/>
    <w:rsid w:val="001139C1"/>
    <w:rsid w:val="00114A6A"/>
    <w:rsid w:val="00120A60"/>
    <w:rsid w:val="00120DCB"/>
    <w:rsid w:val="0012105A"/>
    <w:rsid w:val="001222EC"/>
    <w:rsid w:val="0012257E"/>
    <w:rsid w:val="0012277E"/>
    <w:rsid w:val="00125099"/>
    <w:rsid w:val="001252B9"/>
    <w:rsid w:val="0012557C"/>
    <w:rsid w:val="00125790"/>
    <w:rsid w:val="00125865"/>
    <w:rsid w:val="00125EA6"/>
    <w:rsid w:val="00126617"/>
    <w:rsid w:val="00130285"/>
    <w:rsid w:val="001302AE"/>
    <w:rsid w:val="00130A61"/>
    <w:rsid w:val="00131375"/>
    <w:rsid w:val="001313F4"/>
    <w:rsid w:val="00131F02"/>
    <w:rsid w:val="00132770"/>
    <w:rsid w:val="0013361C"/>
    <w:rsid w:val="00133A47"/>
    <w:rsid w:val="00134737"/>
    <w:rsid w:val="0013512A"/>
    <w:rsid w:val="001357E1"/>
    <w:rsid w:val="00135934"/>
    <w:rsid w:val="00135ADB"/>
    <w:rsid w:val="00135D9F"/>
    <w:rsid w:val="0013639C"/>
    <w:rsid w:val="00136EFB"/>
    <w:rsid w:val="001400A5"/>
    <w:rsid w:val="00140404"/>
    <w:rsid w:val="001407C5"/>
    <w:rsid w:val="0014113C"/>
    <w:rsid w:val="0014169B"/>
    <w:rsid w:val="00141F36"/>
    <w:rsid w:val="00142225"/>
    <w:rsid w:val="00142CF2"/>
    <w:rsid w:val="001442C4"/>
    <w:rsid w:val="00144D22"/>
    <w:rsid w:val="001457FC"/>
    <w:rsid w:val="00145992"/>
    <w:rsid w:val="00145D5C"/>
    <w:rsid w:val="0014693F"/>
    <w:rsid w:val="00147308"/>
    <w:rsid w:val="001476DD"/>
    <w:rsid w:val="00147C9A"/>
    <w:rsid w:val="001502A8"/>
    <w:rsid w:val="0015063E"/>
    <w:rsid w:val="001509EA"/>
    <w:rsid w:val="00150C0F"/>
    <w:rsid w:val="00150D7E"/>
    <w:rsid w:val="00152E09"/>
    <w:rsid w:val="0015333A"/>
    <w:rsid w:val="001536E2"/>
    <w:rsid w:val="00156E46"/>
    <w:rsid w:val="00157814"/>
    <w:rsid w:val="001578CA"/>
    <w:rsid w:val="001609E8"/>
    <w:rsid w:val="001613FD"/>
    <w:rsid w:val="00161E75"/>
    <w:rsid w:val="0016244E"/>
    <w:rsid w:val="00162478"/>
    <w:rsid w:val="001625AA"/>
    <w:rsid w:val="00162DCF"/>
    <w:rsid w:val="00162EB8"/>
    <w:rsid w:val="001630BD"/>
    <w:rsid w:val="001634B4"/>
    <w:rsid w:val="001634E3"/>
    <w:rsid w:val="0016426E"/>
    <w:rsid w:val="001644C9"/>
    <w:rsid w:val="00164DA8"/>
    <w:rsid w:val="001651AE"/>
    <w:rsid w:val="0016559B"/>
    <w:rsid w:val="0016769E"/>
    <w:rsid w:val="001677A6"/>
    <w:rsid w:val="001679BB"/>
    <w:rsid w:val="00170A09"/>
    <w:rsid w:val="001729F5"/>
    <w:rsid w:val="00172E0F"/>
    <w:rsid w:val="00173369"/>
    <w:rsid w:val="001736F5"/>
    <w:rsid w:val="00174D5B"/>
    <w:rsid w:val="00175A74"/>
    <w:rsid w:val="00175AC1"/>
    <w:rsid w:val="00175F61"/>
    <w:rsid w:val="00177316"/>
    <w:rsid w:val="0017786C"/>
    <w:rsid w:val="00180664"/>
    <w:rsid w:val="00180DB3"/>
    <w:rsid w:val="00180F67"/>
    <w:rsid w:val="00180FE7"/>
    <w:rsid w:val="00181A72"/>
    <w:rsid w:val="00181B24"/>
    <w:rsid w:val="001820C3"/>
    <w:rsid w:val="0018236E"/>
    <w:rsid w:val="001838E4"/>
    <w:rsid w:val="00184285"/>
    <w:rsid w:val="001845A0"/>
    <w:rsid w:val="00184F20"/>
    <w:rsid w:val="001853D2"/>
    <w:rsid w:val="0018549C"/>
    <w:rsid w:val="00185876"/>
    <w:rsid w:val="001858AE"/>
    <w:rsid w:val="00185BA4"/>
    <w:rsid w:val="00185FE3"/>
    <w:rsid w:val="00186A17"/>
    <w:rsid w:val="001877C3"/>
    <w:rsid w:val="00190004"/>
    <w:rsid w:val="001907B7"/>
    <w:rsid w:val="001907DA"/>
    <w:rsid w:val="00192ADD"/>
    <w:rsid w:val="00192D7F"/>
    <w:rsid w:val="00192F39"/>
    <w:rsid w:val="001931CA"/>
    <w:rsid w:val="00194A12"/>
    <w:rsid w:val="00195159"/>
    <w:rsid w:val="001952C2"/>
    <w:rsid w:val="0019578E"/>
    <w:rsid w:val="0019596F"/>
    <w:rsid w:val="00196AB7"/>
    <w:rsid w:val="00196FEA"/>
    <w:rsid w:val="00197A67"/>
    <w:rsid w:val="00197C12"/>
    <w:rsid w:val="00197E1C"/>
    <w:rsid w:val="001A002F"/>
    <w:rsid w:val="001A063A"/>
    <w:rsid w:val="001A1507"/>
    <w:rsid w:val="001A1D4F"/>
    <w:rsid w:val="001A24E6"/>
    <w:rsid w:val="001A27F3"/>
    <w:rsid w:val="001A309D"/>
    <w:rsid w:val="001A35EA"/>
    <w:rsid w:val="001A3987"/>
    <w:rsid w:val="001A3A92"/>
    <w:rsid w:val="001A4CB2"/>
    <w:rsid w:val="001A6626"/>
    <w:rsid w:val="001A7172"/>
    <w:rsid w:val="001A7744"/>
    <w:rsid w:val="001A7B4D"/>
    <w:rsid w:val="001B00FE"/>
    <w:rsid w:val="001B06A7"/>
    <w:rsid w:val="001B105D"/>
    <w:rsid w:val="001B14AA"/>
    <w:rsid w:val="001B1E0F"/>
    <w:rsid w:val="001B54F6"/>
    <w:rsid w:val="001B6BCA"/>
    <w:rsid w:val="001B6ED2"/>
    <w:rsid w:val="001B6F0D"/>
    <w:rsid w:val="001C00FF"/>
    <w:rsid w:val="001C172E"/>
    <w:rsid w:val="001C1F06"/>
    <w:rsid w:val="001C26A7"/>
    <w:rsid w:val="001C3953"/>
    <w:rsid w:val="001C3BA5"/>
    <w:rsid w:val="001C4AD2"/>
    <w:rsid w:val="001C4D15"/>
    <w:rsid w:val="001C5902"/>
    <w:rsid w:val="001C5A53"/>
    <w:rsid w:val="001C68FB"/>
    <w:rsid w:val="001C6FC3"/>
    <w:rsid w:val="001C70DD"/>
    <w:rsid w:val="001C71F2"/>
    <w:rsid w:val="001C7263"/>
    <w:rsid w:val="001C7B47"/>
    <w:rsid w:val="001C7C42"/>
    <w:rsid w:val="001D0542"/>
    <w:rsid w:val="001D0C50"/>
    <w:rsid w:val="001D0F6C"/>
    <w:rsid w:val="001D1FE9"/>
    <w:rsid w:val="001D292F"/>
    <w:rsid w:val="001D2B02"/>
    <w:rsid w:val="001D40C7"/>
    <w:rsid w:val="001D4478"/>
    <w:rsid w:val="001D5A2E"/>
    <w:rsid w:val="001D5E66"/>
    <w:rsid w:val="001D664E"/>
    <w:rsid w:val="001D7645"/>
    <w:rsid w:val="001D7742"/>
    <w:rsid w:val="001D7D85"/>
    <w:rsid w:val="001E0A8B"/>
    <w:rsid w:val="001E0BED"/>
    <w:rsid w:val="001E1A45"/>
    <w:rsid w:val="001E2650"/>
    <w:rsid w:val="001E3294"/>
    <w:rsid w:val="001E3458"/>
    <w:rsid w:val="001E3777"/>
    <w:rsid w:val="001E3C70"/>
    <w:rsid w:val="001E4A2D"/>
    <w:rsid w:val="001E4D6F"/>
    <w:rsid w:val="001E5261"/>
    <w:rsid w:val="001E5923"/>
    <w:rsid w:val="001E62C5"/>
    <w:rsid w:val="001E6DFF"/>
    <w:rsid w:val="001E763A"/>
    <w:rsid w:val="001E7A52"/>
    <w:rsid w:val="001E7BC5"/>
    <w:rsid w:val="001E7BDE"/>
    <w:rsid w:val="001F00A5"/>
    <w:rsid w:val="001F00D5"/>
    <w:rsid w:val="001F0605"/>
    <w:rsid w:val="001F1AFE"/>
    <w:rsid w:val="001F249F"/>
    <w:rsid w:val="001F3F69"/>
    <w:rsid w:val="001F5312"/>
    <w:rsid w:val="001F5922"/>
    <w:rsid w:val="001F5DF8"/>
    <w:rsid w:val="001F6191"/>
    <w:rsid w:val="001F77B6"/>
    <w:rsid w:val="001F78CB"/>
    <w:rsid w:val="002009CD"/>
    <w:rsid w:val="0020199A"/>
    <w:rsid w:val="00201C1D"/>
    <w:rsid w:val="00201E41"/>
    <w:rsid w:val="00202248"/>
    <w:rsid w:val="002028D6"/>
    <w:rsid w:val="00203B6F"/>
    <w:rsid w:val="00204485"/>
    <w:rsid w:val="002052CC"/>
    <w:rsid w:val="002058F0"/>
    <w:rsid w:val="00206409"/>
    <w:rsid w:val="002071D3"/>
    <w:rsid w:val="0020734E"/>
    <w:rsid w:val="00207974"/>
    <w:rsid w:val="00211032"/>
    <w:rsid w:val="00212CD0"/>
    <w:rsid w:val="00213436"/>
    <w:rsid w:val="0021380E"/>
    <w:rsid w:val="00213DF9"/>
    <w:rsid w:val="0021412C"/>
    <w:rsid w:val="0021550D"/>
    <w:rsid w:val="00216206"/>
    <w:rsid w:val="00216535"/>
    <w:rsid w:val="00216DCA"/>
    <w:rsid w:val="002170EC"/>
    <w:rsid w:val="00217D79"/>
    <w:rsid w:val="00217FB7"/>
    <w:rsid w:val="00220A73"/>
    <w:rsid w:val="002216A1"/>
    <w:rsid w:val="00221A82"/>
    <w:rsid w:val="0022255D"/>
    <w:rsid w:val="002225EB"/>
    <w:rsid w:val="00223585"/>
    <w:rsid w:val="002236CB"/>
    <w:rsid w:val="002248DD"/>
    <w:rsid w:val="00224AE7"/>
    <w:rsid w:val="00225CF4"/>
    <w:rsid w:val="00226EBE"/>
    <w:rsid w:val="00226F07"/>
    <w:rsid w:val="00230268"/>
    <w:rsid w:val="00230364"/>
    <w:rsid w:val="0023085E"/>
    <w:rsid w:val="002313D3"/>
    <w:rsid w:val="0023187B"/>
    <w:rsid w:val="00231BD0"/>
    <w:rsid w:val="00231ED9"/>
    <w:rsid w:val="00232EE3"/>
    <w:rsid w:val="00233139"/>
    <w:rsid w:val="0023318B"/>
    <w:rsid w:val="0023399C"/>
    <w:rsid w:val="00233E8C"/>
    <w:rsid w:val="002340C3"/>
    <w:rsid w:val="002341FF"/>
    <w:rsid w:val="00234994"/>
    <w:rsid w:val="002349A7"/>
    <w:rsid w:val="00234CB9"/>
    <w:rsid w:val="00235AAE"/>
    <w:rsid w:val="00235BB0"/>
    <w:rsid w:val="00235C9C"/>
    <w:rsid w:val="00235CA5"/>
    <w:rsid w:val="002366A9"/>
    <w:rsid w:val="002378FB"/>
    <w:rsid w:val="00241516"/>
    <w:rsid w:val="0024170F"/>
    <w:rsid w:val="0024192B"/>
    <w:rsid w:val="00242546"/>
    <w:rsid w:val="00242F09"/>
    <w:rsid w:val="0024317C"/>
    <w:rsid w:val="002431C2"/>
    <w:rsid w:val="00243BD4"/>
    <w:rsid w:val="00244051"/>
    <w:rsid w:val="00244361"/>
    <w:rsid w:val="0024448D"/>
    <w:rsid w:val="00244AA1"/>
    <w:rsid w:val="002452D2"/>
    <w:rsid w:val="00245380"/>
    <w:rsid w:val="00246398"/>
    <w:rsid w:val="002464C5"/>
    <w:rsid w:val="00246A94"/>
    <w:rsid w:val="00251144"/>
    <w:rsid w:val="0025172C"/>
    <w:rsid w:val="00251E68"/>
    <w:rsid w:val="002534B9"/>
    <w:rsid w:val="002541C6"/>
    <w:rsid w:val="00254610"/>
    <w:rsid w:val="00254791"/>
    <w:rsid w:val="00254AB4"/>
    <w:rsid w:val="00255611"/>
    <w:rsid w:val="00256149"/>
    <w:rsid w:val="00256594"/>
    <w:rsid w:val="00257187"/>
    <w:rsid w:val="002572F0"/>
    <w:rsid w:val="00260605"/>
    <w:rsid w:val="002619E7"/>
    <w:rsid w:val="00261A76"/>
    <w:rsid w:val="00262800"/>
    <w:rsid w:val="00262D8E"/>
    <w:rsid w:val="00263AF4"/>
    <w:rsid w:val="00263B04"/>
    <w:rsid w:val="00263EE0"/>
    <w:rsid w:val="002642FC"/>
    <w:rsid w:val="00264578"/>
    <w:rsid w:val="00264B68"/>
    <w:rsid w:val="002664F9"/>
    <w:rsid w:val="00266A4D"/>
    <w:rsid w:val="00266EC4"/>
    <w:rsid w:val="00266F77"/>
    <w:rsid w:val="002673B5"/>
    <w:rsid w:val="00267FCE"/>
    <w:rsid w:val="00270032"/>
    <w:rsid w:val="00270E95"/>
    <w:rsid w:val="002712B6"/>
    <w:rsid w:val="002723AB"/>
    <w:rsid w:val="00272851"/>
    <w:rsid w:val="002738F2"/>
    <w:rsid w:val="00274615"/>
    <w:rsid w:val="002758EF"/>
    <w:rsid w:val="00275DD8"/>
    <w:rsid w:val="00276332"/>
    <w:rsid w:val="00280672"/>
    <w:rsid w:val="00280827"/>
    <w:rsid w:val="00280D06"/>
    <w:rsid w:val="00280E01"/>
    <w:rsid w:val="002820A2"/>
    <w:rsid w:val="00282794"/>
    <w:rsid w:val="00282BEE"/>
    <w:rsid w:val="00282ECA"/>
    <w:rsid w:val="00283303"/>
    <w:rsid w:val="00284A01"/>
    <w:rsid w:val="0028745A"/>
    <w:rsid w:val="00287633"/>
    <w:rsid w:val="0029013E"/>
    <w:rsid w:val="002915D1"/>
    <w:rsid w:val="002915FF"/>
    <w:rsid w:val="00291E86"/>
    <w:rsid w:val="002923CC"/>
    <w:rsid w:val="002929A9"/>
    <w:rsid w:val="00292B9A"/>
    <w:rsid w:val="00292D40"/>
    <w:rsid w:val="00292DD5"/>
    <w:rsid w:val="00292DF7"/>
    <w:rsid w:val="00293DAF"/>
    <w:rsid w:val="00293FE2"/>
    <w:rsid w:val="00294CC1"/>
    <w:rsid w:val="00294D14"/>
    <w:rsid w:val="00294FCE"/>
    <w:rsid w:val="0029554D"/>
    <w:rsid w:val="002955FC"/>
    <w:rsid w:val="002957EE"/>
    <w:rsid w:val="002967A3"/>
    <w:rsid w:val="00296A64"/>
    <w:rsid w:val="00296E12"/>
    <w:rsid w:val="00296EBF"/>
    <w:rsid w:val="0029734F"/>
    <w:rsid w:val="002979CB"/>
    <w:rsid w:val="00297AA3"/>
    <w:rsid w:val="002A0950"/>
    <w:rsid w:val="002A0AF1"/>
    <w:rsid w:val="002A110D"/>
    <w:rsid w:val="002A12C7"/>
    <w:rsid w:val="002A1B25"/>
    <w:rsid w:val="002A1BC2"/>
    <w:rsid w:val="002A27CE"/>
    <w:rsid w:val="002A292C"/>
    <w:rsid w:val="002A3A6F"/>
    <w:rsid w:val="002A40D5"/>
    <w:rsid w:val="002A56BC"/>
    <w:rsid w:val="002A57C2"/>
    <w:rsid w:val="002A5BAB"/>
    <w:rsid w:val="002A6D62"/>
    <w:rsid w:val="002A740A"/>
    <w:rsid w:val="002B02DB"/>
    <w:rsid w:val="002B0EE8"/>
    <w:rsid w:val="002B0FB7"/>
    <w:rsid w:val="002B14E4"/>
    <w:rsid w:val="002B3A22"/>
    <w:rsid w:val="002B515A"/>
    <w:rsid w:val="002B56C3"/>
    <w:rsid w:val="002B5A76"/>
    <w:rsid w:val="002B674A"/>
    <w:rsid w:val="002B6B33"/>
    <w:rsid w:val="002B71C4"/>
    <w:rsid w:val="002B7D90"/>
    <w:rsid w:val="002C0D53"/>
    <w:rsid w:val="002C0D5A"/>
    <w:rsid w:val="002C0E0E"/>
    <w:rsid w:val="002C18F0"/>
    <w:rsid w:val="002C1FB9"/>
    <w:rsid w:val="002C27AB"/>
    <w:rsid w:val="002C3839"/>
    <w:rsid w:val="002C49E9"/>
    <w:rsid w:val="002C4A4A"/>
    <w:rsid w:val="002C562C"/>
    <w:rsid w:val="002C5918"/>
    <w:rsid w:val="002C5B8F"/>
    <w:rsid w:val="002C64E0"/>
    <w:rsid w:val="002C7364"/>
    <w:rsid w:val="002C78DD"/>
    <w:rsid w:val="002D034A"/>
    <w:rsid w:val="002D07FD"/>
    <w:rsid w:val="002D11C3"/>
    <w:rsid w:val="002D2B18"/>
    <w:rsid w:val="002D39D7"/>
    <w:rsid w:val="002D450D"/>
    <w:rsid w:val="002D499C"/>
    <w:rsid w:val="002D49C7"/>
    <w:rsid w:val="002D4A73"/>
    <w:rsid w:val="002D5A39"/>
    <w:rsid w:val="002D5C2F"/>
    <w:rsid w:val="002D5CEA"/>
    <w:rsid w:val="002D7D40"/>
    <w:rsid w:val="002E0532"/>
    <w:rsid w:val="002E09D5"/>
    <w:rsid w:val="002E16EE"/>
    <w:rsid w:val="002E1C26"/>
    <w:rsid w:val="002E22E4"/>
    <w:rsid w:val="002E2634"/>
    <w:rsid w:val="002E3BB8"/>
    <w:rsid w:val="002E3CAE"/>
    <w:rsid w:val="002E3D93"/>
    <w:rsid w:val="002E40E2"/>
    <w:rsid w:val="002E4C17"/>
    <w:rsid w:val="002E5577"/>
    <w:rsid w:val="002E55FE"/>
    <w:rsid w:val="002E5C4B"/>
    <w:rsid w:val="002E5FCE"/>
    <w:rsid w:val="002E65C9"/>
    <w:rsid w:val="002E7C3E"/>
    <w:rsid w:val="002E7D6F"/>
    <w:rsid w:val="002F00D1"/>
    <w:rsid w:val="002F00E4"/>
    <w:rsid w:val="002F06BA"/>
    <w:rsid w:val="002F06ED"/>
    <w:rsid w:val="002F1F43"/>
    <w:rsid w:val="002F20C2"/>
    <w:rsid w:val="002F2265"/>
    <w:rsid w:val="002F355C"/>
    <w:rsid w:val="002F439A"/>
    <w:rsid w:val="002F493E"/>
    <w:rsid w:val="002F54DB"/>
    <w:rsid w:val="002F720B"/>
    <w:rsid w:val="002F7362"/>
    <w:rsid w:val="003002C6"/>
    <w:rsid w:val="00300AAF"/>
    <w:rsid w:val="0030114B"/>
    <w:rsid w:val="003018B1"/>
    <w:rsid w:val="003024FB"/>
    <w:rsid w:val="0030278E"/>
    <w:rsid w:val="00302EDC"/>
    <w:rsid w:val="003030C4"/>
    <w:rsid w:val="003037C5"/>
    <w:rsid w:val="0030387C"/>
    <w:rsid w:val="00303922"/>
    <w:rsid w:val="00304D75"/>
    <w:rsid w:val="0030548D"/>
    <w:rsid w:val="00305787"/>
    <w:rsid w:val="003059AF"/>
    <w:rsid w:val="003059E8"/>
    <w:rsid w:val="00307956"/>
    <w:rsid w:val="003079F7"/>
    <w:rsid w:val="00307A57"/>
    <w:rsid w:val="00310CA0"/>
    <w:rsid w:val="0031104A"/>
    <w:rsid w:val="00311A3B"/>
    <w:rsid w:val="00311EFE"/>
    <w:rsid w:val="00312E34"/>
    <w:rsid w:val="00313186"/>
    <w:rsid w:val="00314294"/>
    <w:rsid w:val="003146F5"/>
    <w:rsid w:val="00314A04"/>
    <w:rsid w:val="00314C5A"/>
    <w:rsid w:val="00314E76"/>
    <w:rsid w:val="00315346"/>
    <w:rsid w:val="003158AA"/>
    <w:rsid w:val="00316357"/>
    <w:rsid w:val="00316928"/>
    <w:rsid w:val="00317206"/>
    <w:rsid w:val="00317A5C"/>
    <w:rsid w:val="00317EFB"/>
    <w:rsid w:val="00320CAF"/>
    <w:rsid w:val="003210C5"/>
    <w:rsid w:val="00321215"/>
    <w:rsid w:val="00321777"/>
    <w:rsid w:val="00321F51"/>
    <w:rsid w:val="00321F88"/>
    <w:rsid w:val="0032300C"/>
    <w:rsid w:val="003232DA"/>
    <w:rsid w:val="00324851"/>
    <w:rsid w:val="003248AC"/>
    <w:rsid w:val="00324CB6"/>
    <w:rsid w:val="003256F8"/>
    <w:rsid w:val="003260DC"/>
    <w:rsid w:val="0032706E"/>
    <w:rsid w:val="00327A7C"/>
    <w:rsid w:val="00330220"/>
    <w:rsid w:val="00331562"/>
    <w:rsid w:val="0033214B"/>
    <w:rsid w:val="003323E4"/>
    <w:rsid w:val="00333341"/>
    <w:rsid w:val="00333CDF"/>
    <w:rsid w:val="003349E2"/>
    <w:rsid w:val="0033574D"/>
    <w:rsid w:val="00335962"/>
    <w:rsid w:val="0034012D"/>
    <w:rsid w:val="00340CD6"/>
    <w:rsid w:val="00341060"/>
    <w:rsid w:val="003421C9"/>
    <w:rsid w:val="00342379"/>
    <w:rsid w:val="00342E12"/>
    <w:rsid w:val="003431B9"/>
    <w:rsid w:val="00343599"/>
    <w:rsid w:val="00343974"/>
    <w:rsid w:val="003446E4"/>
    <w:rsid w:val="003447C8"/>
    <w:rsid w:val="00345368"/>
    <w:rsid w:val="003458D9"/>
    <w:rsid w:val="00350DC9"/>
    <w:rsid w:val="00351079"/>
    <w:rsid w:val="00351A90"/>
    <w:rsid w:val="003520AC"/>
    <w:rsid w:val="003520F4"/>
    <w:rsid w:val="00352222"/>
    <w:rsid w:val="003523C3"/>
    <w:rsid w:val="00352F0E"/>
    <w:rsid w:val="00353341"/>
    <w:rsid w:val="00354249"/>
    <w:rsid w:val="00354695"/>
    <w:rsid w:val="00354C41"/>
    <w:rsid w:val="00354ED8"/>
    <w:rsid w:val="00354F8E"/>
    <w:rsid w:val="003556ED"/>
    <w:rsid w:val="00357525"/>
    <w:rsid w:val="00357EA3"/>
    <w:rsid w:val="00360AA6"/>
    <w:rsid w:val="00360DCA"/>
    <w:rsid w:val="00362534"/>
    <w:rsid w:val="00363A29"/>
    <w:rsid w:val="00364434"/>
    <w:rsid w:val="003645E2"/>
    <w:rsid w:val="00365874"/>
    <w:rsid w:val="00365EC6"/>
    <w:rsid w:val="0036638E"/>
    <w:rsid w:val="003671EE"/>
    <w:rsid w:val="0037183B"/>
    <w:rsid w:val="00373285"/>
    <w:rsid w:val="0037341D"/>
    <w:rsid w:val="0037389B"/>
    <w:rsid w:val="00373F55"/>
    <w:rsid w:val="003740B5"/>
    <w:rsid w:val="00375458"/>
    <w:rsid w:val="00375481"/>
    <w:rsid w:val="00375A6C"/>
    <w:rsid w:val="00377B61"/>
    <w:rsid w:val="00377CC2"/>
    <w:rsid w:val="003801FF"/>
    <w:rsid w:val="00380782"/>
    <w:rsid w:val="00382818"/>
    <w:rsid w:val="003828B7"/>
    <w:rsid w:val="00383596"/>
    <w:rsid w:val="00384121"/>
    <w:rsid w:val="00384497"/>
    <w:rsid w:val="00384499"/>
    <w:rsid w:val="00384664"/>
    <w:rsid w:val="003862D9"/>
    <w:rsid w:val="00390D3F"/>
    <w:rsid w:val="00390D69"/>
    <w:rsid w:val="0039109C"/>
    <w:rsid w:val="00392214"/>
    <w:rsid w:val="003924BB"/>
    <w:rsid w:val="00392ED3"/>
    <w:rsid w:val="00394047"/>
    <w:rsid w:val="00394AC3"/>
    <w:rsid w:val="00394C25"/>
    <w:rsid w:val="00394DB9"/>
    <w:rsid w:val="003952FF"/>
    <w:rsid w:val="00396C0F"/>
    <w:rsid w:val="0039767F"/>
    <w:rsid w:val="003A02A8"/>
    <w:rsid w:val="003A03B4"/>
    <w:rsid w:val="003A084D"/>
    <w:rsid w:val="003A2458"/>
    <w:rsid w:val="003A26E9"/>
    <w:rsid w:val="003A2FAC"/>
    <w:rsid w:val="003A3164"/>
    <w:rsid w:val="003A369D"/>
    <w:rsid w:val="003A3A32"/>
    <w:rsid w:val="003A4176"/>
    <w:rsid w:val="003A41F1"/>
    <w:rsid w:val="003A49D2"/>
    <w:rsid w:val="003A6339"/>
    <w:rsid w:val="003A6C9B"/>
    <w:rsid w:val="003A725B"/>
    <w:rsid w:val="003A74DF"/>
    <w:rsid w:val="003B0271"/>
    <w:rsid w:val="003B0410"/>
    <w:rsid w:val="003B18A4"/>
    <w:rsid w:val="003B1DB5"/>
    <w:rsid w:val="003B200B"/>
    <w:rsid w:val="003B288F"/>
    <w:rsid w:val="003B432D"/>
    <w:rsid w:val="003B4E4C"/>
    <w:rsid w:val="003B6D7F"/>
    <w:rsid w:val="003B7AA0"/>
    <w:rsid w:val="003C04E3"/>
    <w:rsid w:val="003C078F"/>
    <w:rsid w:val="003C0983"/>
    <w:rsid w:val="003C11D6"/>
    <w:rsid w:val="003C16FC"/>
    <w:rsid w:val="003C33BA"/>
    <w:rsid w:val="003C3721"/>
    <w:rsid w:val="003C3ED2"/>
    <w:rsid w:val="003C45B6"/>
    <w:rsid w:val="003C4727"/>
    <w:rsid w:val="003C4797"/>
    <w:rsid w:val="003C4EF6"/>
    <w:rsid w:val="003C5459"/>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508A"/>
    <w:rsid w:val="003D521D"/>
    <w:rsid w:val="003D56D6"/>
    <w:rsid w:val="003D5A95"/>
    <w:rsid w:val="003D66EF"/>
    <w:rsid w:val="003D69B2"/>
    <w:rsid w:val="003D6B82"/>
    <w:rsid w:val="003D6D6F"/>
    <w:rsid w:val="003D7036"/>
    <w:rsid w:val="003D7599"/>
    <w:rsid w:val="003E0140"/>
    <w:rsid w:val="003E02C3"/>
    <w:rsid w:val="003E04BF"/>
    <w:rsid w:val="003E0C42"/>
    <w:rsid w:val="003E10E7"/>
    <w:rsid w:val="003E290F"/>
    <w:rsid w:val="003E2916"/>
    <w:rsid w:val="003E35BC"/>
    <w:rsid w:val="003E3CED"/>
    <w:rsid w:val="003E3FD1"/>
    <w:rsid w:val="003E476C"/>
    <w:rsid w:val="003E4A80"/>
    <w:rsid w:val="003E53A5"/>
    <w:rsid w:val="003E58FC"/>
    <w:rsid w:val="003E7EA2"/>
    <w:rsid w:val="003F0C65"/>
    <w:rsid w:val="003F1B91"/>
    <w:rsid w:val="003F1FB1"/>
    <w:rsid w:val="003F2495"/>
    <w:rsid w:val="003F2865"/>
    <w:rsid w:val="003F2FB1"/>
    <w:rsid w:val="003F3C39"/>
    <w:rsid w:val="003F4C6F"/>
    <w:rsid w:val="003F7355"/>
    <w:rsid w:val="003F7DB8"/>
    <w:rsid w:val="00400627"/>
    <w:rsid w:val="00400AE0"/>
    <w:rsid w:val="00401852"/>
    <w:rsid w:val="0040188F"/>
    <w:rsid w:val="0040210C"/>
    <w:rsid w:val="004023BE"/>
    <w:rsid w:val="00402E22"/>
    <w:rsid w:val="004032A5"/>
    <w:rsid w:val="00403463"/>
    <w:rsid w:val="00404588"/>
    <w:rsid w:val="00404D1D"/>
    <w:rsid w:val="00404D94"/>
    <w:rsid w:val="00405A93"/>
    <w:rsid w:val="00406188"/>
    <w:rsid w:val="0040727C"/>
    <w:rsid w:val="00407411"/>
    <w:rsid w:val="004104DB"/>
    <w:rsid w:val="00410874"/>
    <w:rsid w:val="00411E18"/>
    <w:rsid w:val="00411E3B"/>
    <w:rsid w:val="004122DD"/>
    <w:rsid w:val="0041247F"/>
    <w:rsid w:val="00412891"/>
    <w:rsid w:val="00413BBC"/>
    <w:rsid w:val="00416183"/>
    <w:rsid w:val="0041727A"/>
    <w:rsid w:val="00420D02"/>
    <w:rsid w:val="004216ED"/>
    <w:rsid w:val="0042468B"/>
    <w:rsid w:val="0042518F"/>
    <w:rsid w:val="004253BC"/>
    <w:rsid w:val="004255EF"/>
    <w:rsid w:val="004257EC"/>
    <w:rsid w:val="0042673D"/>
    <w:rsid w:val="00426DB0"/>
    <w:rsid w:val="00426F8B"/>
    <w:rsid w:val="00427842"/>
    <w:rsid w:val="004300BB"/>
    <w:rsid w:val="00430449"/>
    <w:rsid w:val="00430D6C"/>
    <w:rsid w:val="0043102D"/>
    <w:rsid w:val="00431088"/>
    <w:rsid w:val="00431341"/>
    <w:rsid w:val="00431A06"/>
    <w:rsid w:val="004324D6"/>
    <w:rsid w:val="00433545"/>
    <w:rsid w:val="0043549D"/>
    <w:rsid w:val="0043644D"/>
    <w:rsid w:val="004374D5"/>
    <w:rsid w:val="00437567"/>
    <w:rsid w:val="004377D6"/>
    <w:rsid w:val="004402DD"/>
    <w:rsid w:val="0044131F"/>
    <w:rsid w:val="0044158E"/>
    <w:rsid w:val="00441643"/>
    <w:rsid w:val="004429AF"/>
    <w:rsid w:val="00442A93"/>
    <w:rsid w:val="00442FB2"/>
    <w:rsid w:val="00443012"/>
    <w:rsid w:val="004435D7"/>
    <w:rsid w:val="00444216"/>
    <w:rsid w:val="004447CD"/>
    <w:rsid w:val="0044505B"/>
    <w:rsid w:val="00445996"/>
    <w:rsid w:val="00446A48"/>
    <w:rsid w:val="00446E09"/>
    <w:rsid w:val="00451976"/>
    <w:rsid w:val="00452C63"/>
    <w:rsid w:val="00452EAB"/>
    <w:rsid w:val="00453C85"/>
    <w:rsid w:val="00454433"/>
    <w:rsid w:val="004547B0"/>
    <w:rsid w:val="00454A17"/>
    <w:rsid w:val="004554D0"/>
    <w:rsid w:val="00456387"/>
    <w:rsid w:val="0045657C"/>
    <w:rsid w:val="00457273"/>
    <w:rsid w:val="0045782A"/>
    <w:rsid w:val="00457B23"/>
    <w:rsid w:val="004616A4"/>
    <w:rsid w:val="00461AB0"/>
    <w:rsid w:val="00461BC2"/>
    <w:rsid w:val="00461BDD"/>
    <w:rsid w:val="0046231B"/>
    <w:rsid w:val="00462381"/>
    <w:rsid w:val="00462ABE"/>
    <w:rsid w:val="00463DEF"/>
    <w:rsid w:val="00464057"/>
    <w:rsid w:val="0046413C"/>
    <w:rsid w:val="004645B0"/>
    <w:rsid w:val="004645C2"/>
    <w:rsid w:val="0046468E"/>
    <w:rsid w:val="0046472E"/>
    <w:rsid w:val="00464CA9"/>
    <w:rsid w:val="00465814"/>
    <w:rsid w:val="0046587D"/>
    <w:rsid w:val="00465E22"/>
    <w:rsid w:val="0046614B"/>
    <w:rsid w:val="004669BA"/>
    <w:rsid w:val="00466FA5"/>
    <w:rsid w:val="004676C0"/>
    <w:rsid w:val="00467B51"/>
    <w:rsid w:val="004701C7"/>
    <w:rsid w:val="00470F2B"/>
    <w:rsid w:val="0047158D"/>
    <w:rsid w:val="00473039"/>
    <w:rsid w:val="00473266"/>
    <w:rsid w:val="004737E2"/>
    <w:rsid w:val="00474041"/>
    <w:rsid w:val="00474058"/>
    <w:rsid w:val="00475F8C"/>
    <w:rsid w:val="004763CE"/>
    <w:rsid w:val="004763F6"/>
    <w:rsid w:val="00477554"/>
    <w:rsid w:val="00480257"/>
    <w:rsid w:val="0048047E"/>
    <w:rsid w:val="00480CC2"/>
    <w:rsid w:val="004810E3"/>
    <w:rsid w:val="00481240"/>
    <w:rsid w:val="00481499"/>
    <w:rsid w:val="004823BC"/>
    <w:rsid w:val="0048323B"/>
    <w:rsid w:val="004833BE"/>
    <w:rsid w:val="0048458F"/>
    <w:rsid w:val="00484CFF"/>
    <w:rsid w:val="0048571A"/>
    <w:rsid w:val="004858AA"/>
    <w:rsid w:val="004863D7"/>
    <w:rsid w:val="00486788"/>
    <w:rsid w:val="00490FD7"/>
    <w:rsid w:val="004916A3"/>
    <w:rsid w:val="00493B87"/>
    <w:rsid w:val="00494E3C"/>
    <w:rsid w:val="004962BF"/>
    <w:rsid w:val="00496384"/>
    <w:rsid w:val="00497E39"/>
    <w:rsid w:val="004A144C"/>
    <w:rsid w:val="004A16B7"/>
    <w:rsid w:val="004A1B0D"/>
    <w:rsid w:val="004A21D4"/>
    <w:rsid w:val="004A3728"/>
    <w:rsid w:val="004A44DF"/>
    <w:rsid w:val="004A4506"/>
    <w:rsid w:val="004A46A3"/>
    <w:rsid w:val="004A5746"/>
    <w:rsid w:val="004A6654"/>
    <w:rsid w:val="004A6865"/>
    <w:rsid w:val="004A78CB"/>
    <w:rsid w:val="004B1601"/>
    <w:rsid w:val="004B1D94"/>
    <w:rsid w:val="004B2A00"/>
    <w:rsid w:val="004B3B2D"/>
    <w:rsid w:val="004B3E2E"/>
    <w:rsid w:val="004B480B"/>
    <w:rsid w:val="004B4D69"/>
    <w:rsid w:val="004B51B2"/>
    <w:rsid w:val="004B574C"/>
    <w:rsid w:val="004B5C3A"/>
    <w:rsid w:val="004B6068"/>
    <w:rsid w:val="004B690B"/>
    <w:rsid w:val="004B69D5"/>
    <w:rsid w:val="004B6C2A"/>
    <w:rsid w:val="004B7804"/>
    <w:rsid w:val="004B7AFC"/>
    <w:rsid w:val="004C13A8"/>
    <w:rsid w:val="004C2507"/>
    <w:rsid w:val="004C2798"/>
    <w:rsid w:val="004C2A6E"/>
    <w:rsid w:val="004C2CA5"/>
    <w:rsid w:val="004C3ACD"/>
    <w:rsid w:val="004C3BE3"/>
    <w:rsid w:val="004C3D05"/>
    <w:rsid w:val="004C3E29"/>
    <w:rsid w:val="004C40AC"/>
    <w:rsid w:val="004C41C9"/>
    <w:rsid w:val="004C4789"/>
    <w:rsid w:val="004C4E47"/>
    <w:rsid w:val="004C52C3"/>
    <w:rsid w:val="004C6A1E"/>
    <w:rsid w:val="004D003D"/>
    <w:rsid w:val="004D00BD"/>
    <w:rsid w:val="004D09F9"/>
    <w:rsid w:val="004D0F88"/>
    <w:rsid w:val="004D13CB"/>
    <w:rsid w:val="004D16F0"/>
    <w:rsid w:val="004D174C"/>
    <w:rsid w:val="004D1E63"/>
    <w:rsid w:val="004D1F4F"/>
    <w:rsid w:val="004D2486"/>
    <w:rsid w:val="004D2548"/>
    <w:rsid w:val="004D3868"/>
    <w:rsid w:val="004D387C"/>
    <w:rsid w:val="004D3ED8"/>
    <w:rsid w:val="004D4E80"/>
    <w:rsid w:val="004D4F02"/>
    <w:rsid w:val="004D4F91"/>
    <w:rsid w:val="004D5D86"/>
    <w:rsid w:val="004D5D9D"/>
    <w:rsid w:val="004D6694"/>
    <w:rsid w:val="004D6CF9"/>
    <w:rsid w:val="004E0F00"/>
    <w:rsid w:val="004E1ECE"/>
    <w:rsid w:val="004E1FED"/>
    <w:rsid w:val="004E23D3"/>
    <w:rsid w:val="004E26EF"/>
    <w:rsid w:val="004E2F98"/>
    <w:rsid w:val="004E4A49"/>
    <w:rsid w:val="004E7321"/>
    <w:rsid w:val="004E7595"/>
    <w:rsid w:val="004E7716"/>
    <w:rsid w:val="004F0030"/>
    <w:rsid w:val="004F05B0"/>
    <w:rsid w:val="004F0739"/>
    <w:rsid w:val="004F1B17"/>
    <w:rsid w:val="004F2492"/>
    <w:rsid w:val="004F3123"/>
    <w:rsid w:val="004F41CD"/>
    <w:rsid w:val="004F5A4F"/>
    <w:rsid w:val="004F5AC9"/>
    <w:rsid w:val="004F6222"/>
    <w:rsid w:val="004F6AFE"/>
    <w:rsid w:val="004F72A3"/>
    <w:rsid w:val="004F78F8"/>
    <w:rsid w:val="0050014A"/>
    <w:rsid w:val="00501C26"/>
    <w:rsid w:val="0050268D"/>
    <w:rsid w:val="005038EA"/>
    <w:rsid w:val="005046FA"/>
    <w:rsid w:val="00504CEE"/>
    <w:rsid w:val="00504D66"/>
    <w:rsid w:val="005050B9"/>
    <w:rsid w:val="00505191"/>
    <w:rsid w:val="00505EB9"/>
    <w:rsid w:val="00506074"/>
    <w:rsid w:val="0050625A"/>
    <w:rsid w:val="0050723F"/>
    <w:rsid w:val="005072CE"/>
    <w:rsid w:val="00507555"/>
    <w:rsid w:val="00507FD3"/>
    <w:rsid w:val="00510AF1"/>
    <w:rsid w:val="005113D7"/>
    <w:rsid w:val="005116BA"/>
    <w:rsid w:val="00512314"/>
    <w:rsid w:val="0051244D"/>
    <w:rsid w:val="0051261E"/>
    <w:rsid w:val="00513671"/>
    <w:rsid w:val="00513E38"/>
    <w:rsid w:val="00515055"/>
    <w:rsid w:val="0051553A"/>
    <w:rsid w:val="00515ED4"/>
    <w:rsid w:val="005172DC"/>
    <w:rsid w:val="005172F5"/>
    <w:rsid w:val="00521B22"/>
    <w:rsid w:val="00522714"/>
    <w:rsid w:val="00523618"/>
    <w:rsid w:val="00524D34"/>
    <w:rsid w:val="005255B8"/>
    <w:rsid w:val="0052562F"/>
    <w:rsid w:val="00525A3C"/>
    <w:rsid w:val="00527115"/>
    <w:rsid w:val="0052749E"/>
    <w:rsid w:val="00527F7D"/>
    <w:rsid w:val="0053027E"/>
    <w:rsid w:val="00530461"/>
    <w:rsid w:val="0053114F"/>
    <w:rsid w:val="00531638"/>
    <w:rsid w:val="0053177B"/>
    <w:rsid w:val="00532397"/>
    <w:rsid w:val="00532675"/>
    <w:rsid w:val="005335F9"/>
    <w:rsid w:val="00533755"/>
    <w:rsid w:val="00533B82"/>
    <w:rsid w:val="005343D4"/>
    <w:rsid w:val="00535FFE"/>
    <w:rsid w:val="005361D2"/>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080"/>
    <w:rsid w:val="00544486"/>
    <w:rsid w:val="00545783"/>
    <w:rsid w:val="00546688"/>
    <w:rsid w:val="00550639"/>
    <w:rsid w:val="00550AEC"/>
    <w:rsid w:val="005519FD"/>
    <w:rsid w:val="00551A24"/>
    <w:rsid w:val="00552F73"/>
    <w:rsid w:val="00553EB3"/>
    <w:rsid w:val="00553FB4"/>
    <w:rsid w:val="00554792"/>
    <w:rsid w:val="00554C3F"/>
    <w:rsid w:val="005550D2"/>
    <w:rsid w:val="005557A5"/>
    <w:rsid w:val="00555DB0"/>
    <w:rsid w:val="00555E2C"/>
    <w:rsid w:val="005564DA"/>
    <w:rsid w:val="00557C4F"/>
    <w:rsid w:val="00557E38"/>
    <w:rsid w:val="005606BD"/>
    <w:rsid w:val="00560B23"/>
    <w:rsid w:val="005614B8"/>
    <w:rsid w:val="00561EDC"/>
    <w:rsid w:val="005635AE"/>
    <w:rsid w:val="005642E8"/>
    <w:rsid w:val="005648AF"/>
    <w:rsid w:val="00564F9B"/>
    <w:rsid w:val="00565234"/>
    <w:rsid w:val="005654EE"/>
    <w:rsid w:val="00565793"/>
    <w:rsid w:val="00565819"/>
    <w:rsid w:val="005658D8"/>
    <w:rsid w:val="00567D1D"/>
    <w:rsid w:val="00570038"/>
    <w:rsid w:val="005733DC"/>
    <w:rsid w:val="0057344F"/>
    <w:rsid w:val="00573BC4"/>
    <w:rsid w:val="005742B0"/>
    <w:rsid w:val="00574C61"/>
    <w:rsid w:val="0057554D"/>
    <w:rsid w:val="00575771"/>
    <w:rsid w:val="00575B32"/>
    <w:rsid w:val="00575F9D"/>
    <w:rsid w:val="005776D4"/>
    <w:rsid w:val="00577A7E"/>
    <w:rsid w:val="00577BD3"/>
    <w:rsid w:val="00577C24"/>
    <w:rsid w:val="00577F7E"/>
    <w:rsid w:val="00581BE1"/>
    <w:rsid w:val="0058466F"/>
    <w:rsid w:val="005846E8"/>
    <w:rsid w:val="005846F6"/>
    <w:rsid w:val="00584773"/>
    <w:rsid w:val="00585BCC"/>
    <w:rsid w:val="00585D71"/>
    <w:rsid w:val="00586247"/>
    <w:rsid w:val="00586276"/>
    <w:rsid w:val="00587ACA"/>
    <w:rsid w:val="00587EBE"/>
    <w:rsid w:val="0059017C"/>
    <w:rsid w:val="00590FBA"/>
    <w:rsid w:val="005913D6"/>
    <w:rsid w:val="005915CE"/>
    <w:rsid w:val="005917B8"/>
    <w:rsid w:val="0059227C"/>
    <w:rsid w:val="00592F1E"/>
    <w:rsid w:val="005935C2"/>
    <w:rsid w:val="00594561"/>
    <w:rsid w:val="005973B2"/>
    <w:rsid w:val="005979C2"/>
    <w:rsid w:val="00597A51"/>
    <w:rsid w:val="00597ED7"/>
    <w:rsid w:val="005A0FA5"/>
    <w:rsid w:val="005A0FDB"/>
    <w:rsid w:val="005A10A8"/>
    <w:rsid w:val="005A1828"/>
    <w:rsid w:val="005A2142"/>
    <w:rsid w:val="005A2867"/>
    <w:rsid w:val="005A3ED4"/>
    <w:rsid w:val="005A436D"/>
    <w:rsid w:val="005A4CE4"/>
    <w:rsid w:val="005A4DF7"/>
    <w:rsid w:val="005A59A0"/>
    <w:rsid w:val="005A5A7C"/>
    <w:rsid w:val="005A6F97"/>
    <w:rsid w:val="005B0A8F"/>
    <w:rsid w:val="005B0B8A"/>
    <w:rsid w:val="005B119A"/>
    <w:rsid w:val="005B1B2D"/>
    <w:rsid w:val="005B2959"/>
    <w:rsid w:val="005B2D8C"/>
    <w:rsid w:val="005B2EB0"/>
    <w:rsid w:val="005B32A1"/>
    <w:rsid w:val="005B3755"/>
    <w:rsid w:val="005B37FE"/>
    <w:rsid w:val="005B3DFE"/>
    <w:rsid w:val="005B542D"/>
    <w:rsid w:val="005B550F"/>
    <w:rsid w:val="005B5AA0"/>
    <w:rsid w:val="005B670C"/>
    <w:rsid w:val="005B72C3"/>
    <w:rsid w:val="005B7C2C"/>
    <w:rsid w:val="005B7D2A"/>
    <w:rsid w:val="005C0892"/>
    <w:rsid w:val="005C1180"/>
    <w:rsid w:val="005C13A4"/>
    <w:rsid w:val="005C1943"/>
    <w:rsid w:val="005C19BE"/>
    <w:rsid w:val="005C2941"/>
    <w:rsid w:val="005C2E38"/>
    <w:rsid w:val="005C3061"/>
    <w:rsid w:val="005C3093"/>
    <w:rsid w:val="005C4734"/>
    <w:rsid w:val="005C476B"/>
    <w:rsid w:val="005C49A1"/>
    <w:rsid w:val="005C4D7E"/>
    <w:rsid w:val="005C56E2"/>
    <w:rsid w:val="005C5B61"/>
    <w:rsid w:val="005C6242"/>
    <w:rsid w:val="005C726F"/>
    <w:rsid w:val="005C7E8B"/>
    <w:rsid w:val="005D06ED"/>
    <w:rsid w:val="005D0969"/>
    <w:rsid w:val="005D106E"/>
    <w:rsid w:val="005D1417"/>
    <w:rsid w:val="005D23F4"/>
    <w:rsid w:val="005D2C4A"/>
    <w:rsid w:val="005D49F8"/>
    <w:rsid w:val="005D4AB9"/>
    <w:rsid w:val="005D5082"/>
    <w:rsid w:val="005D57B4"/>
    <w:rsid w:val="005D6043"/>
    <w:rsid w:val="005D73EE"/>
    <w:rsid w:val="005E0022"/>
    <w:rsid w:val="005E0985"/>
    <w:rsid w:val="005E1057"/>
    <w:rsid w:val="005E15C3"/>
    <w:rsid w:val="005E1785"/>
    <w:rsid w:val="005E1804"/>
    <w:rsid w:val="005E1CA3"/>
    <w:rsid w:val="005E1E9D"/>
    <w:rsid w:val="005E1FB0"/>
    <w:rsid w:val="005E2B40"/>
    <w:rsid w:val="005E2D8B"/>
    <w:rsid w:val="005E3A40"/>
    <w:rsid w:val="005E53E6"/>
    <w:rsid w:val="005E54AA"/>
    <w:rsid w:val="005E5992"/>
    <w:rsid w:val="005E799F"/>
    <w:rsid w:val="005E7AF1"/>
    <w:rsid w:val="005E7FCB"/>
    <w:rsid w:val="005F0A6B"/>
    <w:rsid w:val="005F1428"/>
    <w:rsid w:val="005F14CB"/>
    <w:rsid w:val="005F1C03"/>
    <w:rsid w:val="005F22D5"/>
    <w:rsid w:val="005F2DC5"/>
    <w:rsid w:val="005F3920"/>
    <w:rsid w:val="005F4134"/>
    <w:rsid w:val="005F426C"/>
    <w:rsid w:val="005F42E1"/>
    <w:rsid w:val="005F5038"/>
    <w:rsid w:val="005F51CC"/>
    <w:rsid w:val="005F5507"/>
    <w:rsid w:val="005F59D9"/>
    <w:rsid w:val="005F5AC3"/>
    <w:rsid w:val="005F63DD"/>
    <w:rsid w:val="005F7FF5"/>
    <w:rsid w:val="006005E4"/>
    <w:rsid w:val="00600626"/>
    <w:rsid w:val="00600C85"/>
    <w:rsid w:val="006018B6"/>
    <w:rsid w:val="00601A4F"/>
    <w:rsid w:val="00601F83"/>
    <w:rsid w:val="00601F92"/>
    <w:rsid w:val="0060339B"/>
    <w:rsid w:val="006034EB"/>
    <w:rsid w:val="006034FE"/>
    <w:rsid w:val="006047C8"/>
    <w:rsid w:val="00605D27"/>
    <w:rsid w:val="0060677E"/>
    <w:rsid w:val="00606DA4"/>
    <w:rsid w:val="00607A00"/>
    <w:rsid w:val="00610D57"/>
    <w:rsid w:val="0061108E"/>
    <w:rsid w:val="00611473"/>
    <w:rsid w:val="00612260"/>
    <w:rsid w:val="00615792"/>
    <w:rsid w:val="00615B2E"/>
    <w:rsid w:val="00616663"/>
    <w:rsid w:val="0061685B"/>
    <w:rsid w:val="00616A55"/>
    <w:rsid w:val="00617B31"/>
    <w:rsid w:val="0062039C"/>
    <w:rsid w:val="00620827"/>
    <w:rsid w:val="006210CA"/>
    <w:rsid w:val="006225F9"/>
    <w:rsid w:val="006228B8"/>
    <w:rsid w:val="006242FC"/>
    <w:rsid w:val="00624AF9"/>
    <w:rsid w:val="00624ECA"/>
    <w:rsid w:val="006252ED"/>
    <w:rsid w:val="0062534F"/>
    <w:rsid w:val="00625DE5"/>
    <w:rsid w:val="00626651"/>
    <w:rsid w:val="00626B26"/>
    <w:rsid w:val="00626B5F"/>
    <w:rsid w:val="00626D7A"/>
    <w:rsid w:val="00627675"/>
    <w:rsid w:val="006277F8"/>
    <w:rsid w:val="006278D6"/>
    <w:rsid w:val="00627B72"/>
    <w:rsid w:val="0063051D"/>
    <w:rsid w:val="006308F8"/>
    <w:rsid w:val="00630ABC"/>
    <w:rsid w:val="00631E85"/>
    <w:rsid w:val="00631F5A"/>
    <w:rsid w:val="00632408"/>
    <w:rsid w:val="006339ED"/>
    <w:rsid w:val="00633BFB"/>
    <w:rsid w:val="00634DDE"/>
    <w:rsid w:val="00636036"/>
    <w:rsid w:val="0063605A"/>
    <w:rsid w:val="00640AEE"/>
    <w:rsid w:val="00640BC2"/>
    <w:rsid w:val="00640E32"/>
    <w:rsid w:val="00642193"/>
    <w:rsid w:val="0064394C"/>
    <w:rsid w:val="00644438"/>
    <w:rsid w:val="00644709"/>
    <w:rsid w:val="0064510D"/>
    <w:rsid w:val="00645C43"/>
    <w:rsid w:val="00646ABE"/>
    <w:rsid w:val="0064727A"/>
    <w:rsid w:val="006508A6"/>
    <w:rsid w:val="00651622"/>
    <w:rsid w:val="00651E81"/>
    <w:rsid w:val="006529F8"/>
    <w:rsid w:val="00652C01"/>
    <w:rsid w:val="00652D05"/>
    <w:rsid w:val="00653F70"/>
    <w:rsid w:val="0065506D"/>
    <w:rsid w:val="006568F2"/>
    <w:rsid w:val="006570D0"/>
    <w:rsid w:val="00657762"/>
    <w:rsid w:val="00657A70"/>
    <w:rsid w:val="00657F37"/>
    <w:rsid w:val="00661E25"/>
    <w:rsid w:val="0066288A"/>
    <w:rsid w:val="00662AED"/>
    <w:rsid w:val="00662B58"/>
    <w:rsid w:val="00662B74"/>
    <w:rsid w:val="00662E2D"/>
    <w:rsid w:val="0066647D"/>
    <w:rsid w:val="006669DE"/>
    <w:rsid w:val="00666DED"/>
    <w:rsid w:val="006674F9"/>
    <w:rsid w:val="0066755A"/>
    <w:rsid w:val="00667CA3"/>
    <w:rsid w:val="00670085"/>
    <w:rsid w:val="00670FC9"/>
    <w:rsid w:val="00671976"/>
    <w:rsid w:val="00671D06"/>
    <w:rsid w:val="00672E90"/>
    <w:rsid w:val="00674514"/>
    <w:rsid w:val="0067493E"/>
    <w:rsid w:val="00674DB0"/>
    <w:rsid w:val="00674F7E"/>
    <w:rsid w:val="006768B9"/>
    <w:rsid w:val="00676B3E"/>
    <w:rsid w:val="00676C28"/>
    <w:rsid w:val="00676EC3"/>
    <w:rsid w:val="006774D3"/>
    <w:rsid w:val="00677EAC"/>
    <w:rsid w:val="00681276"/>
    <w:rsid w:val="0068156F"/>
    <w:rsid w:val="006823A4"/>
    <w:rsid w:val="00682901"/>
    <w:rsid w:val="00683326"/>
    <w:rsid w:val="006837E3"/>
    <w:rsid w:val="00683E91"/>
    <w:rsid w:val="00684401"/>
    <w:rsid w:val="00684413"/>
    <w:rsid w:val="006848BE"/>
    <w:rsid w:val="00684F07"/>
    <w:rsid w:val="0068549D"/>
    <w:rsid w:val="006856D2"/>
    <w:rsid w:val="00686292"/>
    <w:rsid w:val="0068638C"/>
    <w:rsid w:val="0068646C"/>
    <w:rsid w:val="0068692F"/>
    <w:rsid w:val="006873A6"/>
    <w:rsid w:val="006907F8"/>
    <w:rsid w:val="0069090B"/>
    <w:rsid w:val="00690E18"/>
    <w:rsid w:val="00690EA3"/>
    <w:rsid w:val="00691098"/>
    <w:rsid w:val="00691DB3"/>
    <w:rsid w:val="006921AE"/>
    <w:rsid w:val="00692231"/>
    <w:rsid w:val="006922EF"/>
    <w:rsid w:val="0069244C"/>
    <w:rsid w:val="00692618"/>
    <w:rsid w:val="00693328"/>
    <w:rsid w:val="006937B1"/>
    <w:rsid w:val="0069419B"/>
    <w:rsid w:val="00694A37"/>
    <w:rsid w:val="00696047"/>
    <w:rsid w:val="00696B6D"/>
    <w:rsid w:val="006A0685"/>
    <w:rsid w:val="006A0EAC"/>
    <w:rsid w:val="006A180F"/>
    <w:rsid w:val="006A1D14"/>
    <w:rsid w:val="006A1E67"/>
    <w:rsid w:val="006A1EEF"/>
    <w:rsid w:val="006A2EB0"/>
    <w:rsid w:val="006A2EC0"/>
    <w:rsid w:val="006A311D"/>
    <w:rsid w:val="006A36D8"/>
    <w:rsid w:val="006A4C9D"/>
    <w:rsid w:val="006A55BC"/>
    <w:rsid w:val="006A6550"/>
    <w:rsid w:val="006A6681"/>
    <w:rsid w:val="006A7151"/>
    <w:rsid w:val="006A7332"/>
    <w:rsid w:val="006B1E95"/>
    <w:rsid w:val="006B2395"/>
    <w:rsid w:val="006B3B33"/>
    <w:rsid w:val="006B49FD"/>
    <w:rsid w:val="006B4F9D"/>
    <w:rsid w:val="006B5037"/>
    <w:rsid w:val="006B6621"/>
    <w:rsid w:val="006B6851"/>
    <w:rsid w:val="006C0001"/>
    <w:rsid w:val="006C0A13"/>
    <w:rsid w:val="006C0E09"/>
    <w:rsid w:val="006C1CAA"/>
    <w:rsid w:val="006C2B01"/>
    <w:rsid w:val="006C38C6"/>
    <w:rsid w:val="006C3A2E"/>
    <w:rsid w:val="006C40A6"/>
    <w:rsid w:val="006C4B44"/>
    <w:rsid w:val="006C5BFC"/>
    <w:rsid w:val="006C5C20"/>
    <w:rsid w:val="006C5CA0"/>
    <w:rsid w:val="006C60C7"/>
    <w:rsid w:val="006C62F3"/>
    <w:rsid w:val="006C7058"/>
    <w:rsid w:val="006C76BF"/>
    <w:rsid w:val="006C7B98"/>
    <w:rsid w:val="006D0631"/>
    <w:rsid w:val="006D0889"/>
    <w:rsid w:val="006D091A"/>
    <w:rsid w:val="006D1A85"/>
    <w:rsid w:val="006D24EB"/>
    <w:rsid w:val="006D2848"/>
    <w:rsid w:val="006D3087"/>
    <w:rsid w:val="006D3E1C"/>
    <w:rsid w:val="006D3EA5"/>
    <w:rsid w:val="006D4A08"/>
    <w:rsid w:val="006D5365"/>
    <w:rsid w:val="006D65DD"/>
    <w:rsid w:val="006D6BB9"/>
    <w:rsid w:val="006D6E9F"/>
    <w:rsid w:val="006D6FB1"/>
    <w:rsid w:val="006D740C"/>
    <w:rsid w:val="006D7B0D"/>
    <w:rsid w:val="006E0D84"/>
    <w:rsid w:val="006E19E8"/>
    <w:rsid w:val="006E298B"/>
    <w:rsid w:val="006E316A"/>
    <w:rsid w:val="006E3177"/>
    <w:rsid w:val="006E4399"/>
    <w:rsid w:val="006E4685"/>
    <w:rsid w:val="006E4DBF"/>
    <w:rsid w:val="006E4F73"/>
    <w:rsid w:val="006E59FF"/>
    <w:rsid w:val="006E6863"/>
    <w:rsid w:val="006E68FB"/>
    <w:rsid w:val="006E6D76"/>
    <w:rsid w:val="006E6E81"/>
    <w:rsid w:val="006E6F1C"/>
    <w:rsid w:val="006E7145"/>
    <w:rsid w:val="006E7F8D"/>
    <w:rsid w:val="006F1A20"/>
    <w:rsid w:val="006F2521"/>
    <w:rsid w:val="006F39A5"/>
    <w:rsid w:val="006F4968"/>
    <w:rsid w:val="006F5DE0"/>
    <w:rsid w:val="006F5F82"/>
    <w:rsid w:val="006F5F8C"/>
    <w:rsid w:val="006F6260"/>
    <w:rsid w:val="006F65FC"/>
    <w:rsid w:val="006F6AB1"/>
    <w:rsid w:val="006F7669"/>
    <w:rsid w:val="00700371"/>
    <w:rsid w:val="0070069E"/>
    <w:rsid w:val="007009FB"/>
    <w:rsid w:val="00701875"/>
    <w:rsid w:val="007018C1"/>
    <w:rsid w:val="00702448"/>
    <w:rsid w:val="00702E5E"/>
    <w:rsid w:val="00703053"/>
    <w:rsid w:val="0070355A"/>
    <w:rsid w:val="0070399F"/>
    <w:rsid w:val="00704600"/>
    <w:rsid w:val="00704D5C"/>
    <w:rsid w:val="00705BD0"/>
    <w:rsid w:val="0070607E"/>
    <w:rsid w:val="00712D8E"/>
    <w:rsid w:val="007135C5"/>
    <w:rsid w:val="0071413C"/>
    <w:rsid w:val="00714C6E"/>
    <w:rsid w:val="00714E0C"/>
    <w:rsid w:val="00714E81"/>
    <w:rsid w:val="00715205"/>
    <w:rsid w:val="00715301"/>
    <w:rsid w:val="007153C6"/>
    <w:rsid w:val="00715B06"/>
    <w:rsid w:val="007162DD"/>
    <w:rsid w:val="00716B15"/>
    <w:rsid w:val="007177C3"/>
    <w:rsid w:val="0071786B"/>
    <w:rsid w:val="007178D6"/>
    <w:rsid w:val="0072045D"/>
    <w:rsid w:val="0072059B"/>
    <w:rsid w:val="00720AEB"/>
    <w:rsid w:val="007219A8"/>
    <w:rsid w:val="007220AE"/>
    <w:rsid w:val="0072244E"/>
    <w:rsid w:val="0072275C"/>
    <w:rsid w:val="00722C86"/>
    <w:rsid w:val="0072316D"/>
    <w:rsid w:val="00723179"/>
    <w:rsid w:val="00723827"/>
    <w:rsid w:val="00723F72"/>
    <w:rsid w:val="00724085"/>
    <w:rsid w:val="00724104"/>
    <w:rsid w:val="0072420A"/>
    <w:rsid w:val="0072546B"/>
    <w:rsid w:val="00725942"/>
    <w:rsid w:val="00725DE5"/>
    <w:rsid w:val="00726919"/>
    <w:rsid w:val="00726947"/>
    <w:rsid w:val="00726F1B"/>
    <w:rsid w:val="0072722F"/>
    <w:rsid w:val="00727FD3"/>
    <w:rsid w:val="007305B2"/>
    <w:rsid w:val="0073086C"/>
    <w:rsid w:val="00732575"/>
    <w:rsid w:val="00733069"/>
    <w:rsid w:val="00733D33"/>
    <w:rsid w:val="00734857"/>
    <w:rsid w:val="00734939"/>
    <w:rsid w:val="00735397"/>
    <w:rsid w:val="0073604D"/>
    <w:rsid w:val="00736306"/>
    <w:rsid w:val="0073792F"/>
    <w:rsid w:val="00737B6F"/>
    <w:rsid w:val="00737D18"/>
    <w:rsid w:val="00740E1D"/>
    <w:rsid w:val="007416D0"/>
    <w:rsid w:val="00742AA2"/>
    <w:rsid w:val="00742E7D"/>
    <w:rsid w:val="00743781"/>
    <w:rsid w:val="0074478D"/>
    <w:rsid w:val="00745892"/>
    <w:rsid w:val="00745EB2"/>
    <w:rsid w:val="00745F43"/>
    <w:rsid w:val="00746380"/>
    <w:rsid w:val="007470BA"/>
    <w:rsid w:val="00750431"/>
    <w:rsid w:val="00751242"/>
    <w:rsid w:val="007514B2"/>
    <w:rsid w:val="007517C8"/>
    <w:rsid w:val="00752A9E"/>
    <w:rsid w:val="0075329B"/>
    <w:rsid w:val="00753728"/>
    <w:rsid w:val="00753EB1"/>
    <w:rsid w:val="00754744"/>
    <w:rsid w:val="00755346"/>
    <w:rsid w:val="0075643C"/>
    <w:rsid w:val="00756BC4"/>
    <w:rsid w:val="00757579"/>
    <w:rsid w:val="0076175F"/>
    <w:rsid w:val="0076180D"/>
    <w:rsid w:val="00762338"/>
    <w:rsid w:val="007628CF"/>
    <w:rsid w:val="007628EA"/>
    <w:rsid w:val="00763D6F"/>
    <w:rsid w:val="00764555"/>
    <w:rsid w:val="0076495D"/>
    <w:rsid w:val="00765413"/>
    <w:rsid w:val="0076542B"/>
    <w:rsid w:val="00766405"/>
    <w:rsid w:val="0076715F"/>
    <w:rsid w:val="007679CF"/>
    <w:rsid w:val="00767D1B"/>
    <w:rsid w:val="00771497"/>
    <w:rsid w:val="007714B7"/>
    <w:rsid w:val="007716C2"/>
    <w:rsid w:val="00772B01"/>
    <w:rsid w:val="00772BB5"/>
    <w:rsid w:val="007730D0"/>
    <w:rsid w:val="00773284"/>
    <w:rsid w:val="00773B98"/>
    <w:rsid w:val="007743D1"/>
    <w:rsid w:val="00775FA6"/>
    <w:rsid w:val="00776288"/>
    <w:rsid w:val="00777E31"/>
    <w:rsid w:val="0078014A"/>
    <w:rsid w:val="00780214"/>
    <w:rsid w:val="00780681"/>
    <w:rsid w:val="0078068F"/>
    <w:rsid w:val="007808DE"/>
    <w:rsid w:val="00780CB1"/>
    <w:rsid w:val="007811D0"/>
    <w:rsid w:val="0078131C"/>
    <w:rsid w:val="007827BE"/>
    <w:rsid w:val="0078298F"/>
    <w:rsid w:val="00782EF2"/>
    <w:rsid w:val="007832FC"/>
    <w:rsid w:val="0078403A"/>
    <w:rsid w:val="0078439F"/>
    <w:rsid w:val="00785859"/>
    <w:rsid w:val="00786941"/>
    <w:rsid w:val="00787230"/>
    <w:rsid w:val="007908E7"/>
    <w:rsid w:val="00790C87"/>
    <w:rsid w:val="00791349"/>
    <w:rsid w:val="00791855"/>
    <w:rsid w:val="00792790"/>
    <w:rsid w:val="007928B2"/>
    <w:rsid w:val="007930F2"/>
    <w:rsid w:val="007932C6"/>
    <w:rsid w:val="00793FED"/>
    <w:rsid w:val="00795011"/>
    <w:rsid w:val="00795928"/>
    <w:rsid w:val="00795BFE"/>
    <w:rsid w:val="007960A8"/>
    <w:rsid w:val="007962F3"/>
    <w:rsid w:val="0079674B"/>
    <w:rsid w:val="00796A83"/>
    <w:rsid w:val="00796C65"/>
    <w:rsid w:val="00797079"/>
    <w:rsid w:val="007A0E32"/>
    <w:rsid w:val="007A1025"/>
    <w:rsid w:val="007A1AC6"/>
    <w:rsid w:val="007A221C"/>
    <w:rsid w:val="007A5286"/>
    <w:rsid w:val="007A7166"/>
    <w:rsid w:val="007A73D9"/>
    <w:rsid w:val="007A7B19"/>
    <w:rsid w:val="007B178F"/>
    <w:rsid w:val="007B2420"/>
    <w:rsid w:val="007B2A5A"/>
    <w:rsid w:val="007B30C0"/>
    <w:rsid w:val="007B30C4"/>
    <w:rsid w:val="007B32D6"/>
    <w:rsid w:val="007B39CE"/>
    <w:rsid w:val="007B3A76"/>
    <w:rsid w:val="007B4030"/>
    <w:rsid w:val="007B5F62"/>
    <w:rsid w:val="007B6654"/>
    <w:rsid w:val="007B69D6"/>
    <w:rsid w:val="007B706E"/>
    <w:rsid w:val="007B713B"/>
    <w:rsid w:val="007B7368"/>
    <w:rsid w:val="007B73A9"/>
    <w:rsid w:val="007B78FA"/>
    <w:rsid w:val="007B7B78"/>
    <w:rsid w:val="007B7BBC"/>
    <w:rsid w:val="007C0830"/>
    <w:rsid w:val="007C1D0E"/>
    <w:rsid w:val="007C2CC7"/>
    <w:rsid w:val="007C305B"/>
    <w:rsid w:val="007C341E"/>
    <w:rsid w:val="007C358E"/>
    <w:rsid w:val="007C362E"/>
    <w:rsid w:val="007C3AC0"/>
    <w:rsid w:val="007C43D8"/>
    <w:rsid w:val="007C43FF"/>
    <w:rsid w:val="007C691B"/>
    <w:rsid w:val="007C6A59"/>
    <w:rsid w:val="007C6B97"/>
    <w:rsid w:val="007C7512"/>
    <w:rsid w:val="007C763E"/>
    <w:rsid w:val="007D06DB"/>
    <w:rsid w:val="007D10F4"/>
    <w:rsid w:val="007D21A4"/>
    <w:rsid w:val="007D29CF"/>
    <w:rsid w:val="007D2C7E"/>
    <w:rsid w:val="007D3162"/>
    <w:rsid w:val="007D4491"/>
    <w:rsid w:val="007D46DE"/>
    <w:rsid w:val="007D4D7D"/>
    <w:rsid w:val="007D6FDE"/>
    <w:rsid w:val="007D7090"/>
    <w:rsid w:val="007D72FA"/>
    <w:rsid w:val="007D75B0"/>
    <w:rsid w:val="007D7D1E"/>
    <w:rsid w:val="007E078A"/>
    <w:rsid w:val="007E3C0D"/>
    <w:rsid w:val="007E3ED0"/>
    <w:rsid w:val="007E4633"/>
    <w:rsid w:val="007E4AAE"/>
    <w:rsid w:val="007E4B12"/>
    <w:rsid w:val="007E51D9"/>
    <w:rsid w:val="007E5CD9"/>
    <w:rsid w:val="007E5D45"/>
    <w:rsid w:val="007E6794"/>
    <w:rsid w:val="007E698E"/>
    <w:rsid w:val="007E6B44"/>
    <w:rsid w:val="007E7B84"/>
    <w:rsid w:val="007F2267"/>
    <w:rsid w:val="007F2379"/>
    <w:rsid w:val="007F4151"/>
    <w:rsid w:val="007F50B4"/>
    <w:rsid w:val="007F71A4"/>
    <w:rsid w:val="007F75EE"/>
    <w:rsid w:val="007F789A"/>
    <w:rsid w:val="007F7ACA"/>
    <w:rsid w:val="00800C1D"/>
    <w:rsid w:val="008012B3"/>
    <w:rsid w:val="008012E6"/>
    <w:rsid w:val="00801FA7"/>
    <w:rsid w:val="0080230A"/>
    <w:rsid w:val="00802CFF"/>
    <w:rsid w:val="008036F9"/>
    <w:rsid w:val="00803B51"/>
    <w:rsid w:val="00803BE0"/>
    <w:rsid w:val="00803F5C"/>
    <w:rsid w:val="008049B3"/>
    <w:rsid w:val="00804E7B"/>
    <w:rsid w:val="00805CF2"/>
    <w:rsid w:val="008061A7"/>
    <w:rsid w:val="00806568"/>
    <w:rsid w:val="00806777"/>
    <w:rsid w:val="008068F2"/>
    <w:rsid w:val="00806CB5"/>
    <w:rsid w:val="00807081"/>
    <w:rsid w:val="008077FE"/>
    <w:rsid w:val="00807DD1"/>
    <w:rsid w:val="00810E01"/>
    <w:rsid w:val="00811A87"/>
    <w:rsid w:val="00811C5C"/>
    <w:rsid w:val="008122BF"/>
    <w:rsid w:val="0081241E"/>
    <w:rsid w:val="0081321E"/>
    <w:rsid w:val="0081362D"/>
    <w:rsid w:val="008139B2"/>
    <w:rsid w:val="00814F0B"/>
    <w:rsid w:val="00816167"/>
    <w:rsid w:val="008162CD"/>
    <w:rsid w:val="00816914"/>
    <w:rsid w:val="00816CAE"/>
    <w:rsid w:val="00817827"/>
    <w:rsid w:val="008200A9"/>
    <w:rsid w:val="00820361"/>
    <w:rsid w:val="00820DF7"/>
    <w:rsid w:val="00821C2B"/>
    <w:rsid w:val="0082209F"/>
    <w:rsid w:val="00822971"/>
    <w:rsid w:val="00822A74"/>
    <w:rsid w:val="00824568"/>
    <w:rsid w:val="0082483F"/>
    <w:rsid w:val="00824BB3"/>
    <w:rsid w:val="00825707"/>
    <w:rsid w:val="00825E32"/>
    <w:rsid w:val="00826A45"/>
    <w:rsid w:val="0083072E"/>
    <w:rsid w:val="008308ED"/>
    <w:rsid w:val="00830C5B"/>
    <w:rsid w:val="00831043"/>
    <w:rsid w:val="008314C6"/>
    <w:rsid w:val="00831597"/>
    <w:rsid w:val="00831A63"/>
    <w:rsid w:val="00831BF2"/>
    <w:rsid w:val="00831DA3"/>
    <w:rsid w:val="00832103"/>
    <w:rsid w:val="00832145"/>
    <w:rsid w:val="00832C5D"/>
    <w:rsid w:val="00832E9A"/>
    <w:rsid w:val="00833EC7"/>
    <w:rsid w:val="0083432B"/>
    <w:rsid w:val="008351E4"/>
    <w:rsid w:val="00836A62"/>
    <w:rsid w:val="00836BD2"/>
    <w:rsid w:val="00836CDF"/>
    <w:rsid w:val="0083725B"/>
    <w:rsid w:val="00837ED2"/>
    <w:rsid w:val="00841B97"/>
    <w:rsid w:val="008421E7"/>
    <w:rsid w:val="008425EB"/>
    <w:rsid w:val="00842D26"/>
    <w:rsid w:val="008434BC"/>
    <w:rsid w:val="00843EBD"/>
    <w:rsid w:val="00844DF6"/>
    <w:rsid w:val="00845DBE"/>
    <w:rsid w:val="00845DF9"/>
    <w:rsid w:val="00846591"/>
    <w:rsid w:val="00846D0A"/>
    <w:rsid w:val="00847553"/>
    <w:rsid w:val="00847C58"/>
    <w:rsid w:val="0085243D"/>
    <w:rsid w:val="0085252A"/>
    <w:rsid w:val="00852601"/>
    <w:rsid w:val="00852AF9"/>
    <w:rsid w:val="00853709"/>
    <w:rsid w:val="0085426D"/>
    <w:rsid w:val="008542A3"/>
    <w:rsid w:val="008544BF"/>
    <w:rsid w:val="00854A1C"/>
    <w:rsid w:val="00855138"/>
    <w:rsid w:val="0085533A"/>
    <w:rsid w:val="008553A6"/>
    <w:rsid w:val="00855C7D"/>
    <w:rsid w:val="00855DE7"/>
    <w:rsid w:val="00855FE6"/>
    <w:rsid w:val="0085691D"/>
    <w:rsid w:val="008571FD"/>
    <w:rsid w:val="00857465"/>
    <w:rsid w:val="00857710"/>
    <w:rsid w:val="0086069C"/>
    <w:rsid w:val="00861291"/>
    <w:rsid w:val="00861DE3"/>
    <w:rsid w:val="00862A91"/>
    <w:rsid w:val="00862DC6"/>
    <w:rsid w:val="008638CB"/>
    <w:rsid w:val="00863F97"/>
    <w:rsid w:val="00864103"/>
    <w:rsid w:val="00866055"/>
    <w:rsid w:val="008668A0"/>
    <w:rsid w:val="008670C4"/>
    <w:rsid w:val="008678A1"/>
    <w:rsid w:val="00867DE5"/>
    <w:rsid w:val="008702D3"/>
    <w:rsid w:val="00870331"/>
    <w:rsid w:val="00870CAB"/>
    <w:rsid w:val="0087150F"/>
    <w:rsid w:val="00871F76"/>
    <w:rsid w:val="0087205F"/>
    <w:rsid w:val="00872069"/>
    <w:rsid w:val="00872D29"/>
    <w:rsid w:val="00873845"/>
    <w:rsid w:val="00873953"/>
    <w:rsid w:val="00873C65"/>
    <w:rsid w:val="00875455"/>
    <w:rsid w:val="00875A47"/>
    <w:rsid w:val="00876253"/>
    <w:rsid w:val="00876828"/>
    <w:rsid w:val="008774E2"/>
    <w:rsid w:val="00877F4E"/>
    <w:rsid w:val="00880042"/>
    <w:rsid w:val="00880193"/>
    <w:rsid w:val="008805AE"/>
    <w:rsid w:val="0088074C"/>
    <w:rsid w:val="00881B09"/>
    <w:rsid w:val="008821C8"/>
    <w:rsid w:val="008823CF"/>
    <w:rsid w:val="00883104"/>
    <w:rsid w:val="008840B4"/>
    <w:rsid w:val="00884B51"/>
    <w:rsid w:val="00885E36"/>
    <w:rsid w:val="0088668F"/>
    <w:rsid w:val="0088679C"/>
    <w:rsid w:val="00886B40"/>
    <w:rsid w:val="00886E70"/>
    <w:rsid w:val="00886E73"/>
    <w:rsid w:val="00886F68"/>
    <w:rsid w:val="008877F2"/>
    <w:rsid w:val="00887EA4"/>
    <w:rsid w:val="008900A0"/>
    <w:rsid w:val="00890B9E"/>
    <w:rsid w:val="0089136B"/>
    <w:rsid w:val="008921CC"/>
    <w:rsid w:val="0089285A"/>
    <w:rsid w:val="0089297B"/>
    <w:rsid w:val="0089320C"/>
    <w:rsid w:val="008939D3"/>
    <w:rsid w:val="00893E2F"/>
    <w:rsid w:val="00894711"/>
    <w:rsid w:val="00894FFE"/>
    <w:rsid w:val="00895696"/>
    <w:rsid w:val="00895A15"/>
    <w:rsid w:val="008971B8"/>
    <w:rsid w:val="00897BF9"/>
    <w:rsid w:val="008A1B35"/>
    <w:rsid w:val="008A2060"/>
    <w:rsid w:val="008A27BD"/>
    <w:rsid w:val="008A2B30"/>
    <w:rsid w:val="008A2FB3"/>
    <w:rsid w:val="008A378D"/>
    <w:rsid w:val="008A4600"/>
    <w:rsid w:val="008A4882"/>
    <w:rsid w:val="008A4D98"/>
    <w:rsid w:val="008A58B2"/>
    <w:rsid w:val="008A6D8F"/>
    <w:rsid w:val="008A7B58"/>
    <w:rsid w:val="008B0B4E"/>
    <w:rsid w:val="008B0DED"/>
    <w:rsid w:val="008B1694"/>
    <w:rsid w:val="008B1738"/>
    <w:rsid w:val="008B2736"/>
    <w:rsid w:val="008B2A6D"/>
    <w:rsid w:val="008B30D7"/>
    <w:rsid w:val="008B3CC8"/>
    <w:rsid w:val="008B3E4F"/>
    <w:rsid w:val="008B4D96"/>
    <w:rsid w:val="008B4EDC"/>
    <w:rsid w:val="008B526D"/>
    <w:rsid w:val="008B559D"/>
    <w:rsid w:val="008B57EE"/>
    <w:rsid w:val="008B5A7E"/>
    <w:rsid w:val="008B6C9C"/>
    <w:rsid w:val="008C0C88"/>
    <w:rsid w:val="008C1415"/>
    <w:rsid w:val="008C17B7"/>
    <w:rsid w:val="008C3A3B"/>
    <w:rsid w:val="008C4131"/>
    <w:rsid w:val="008C42AD"/>
    <w:rsid w:val="008C4828"/>
    <w:rsid w:val="008C4A17"/>
    <w:rsid w:val="008C55F6"/>
    <w:rsid w:val="008C5773"/>
    <w:rsid w:val="008C786C"/>
    <w:rsid w:val="008C7928"/>
    <w:rsid w:val="008C7C27"/>
    <w:rsid w:val="008C7D37"/>
    <w:rsid w:val="008C7E8C"/>
    <w:rsid w:val="008C7F35"/>
    <w:rsid w:val="008D0DD1"/>
    <w:rsid w:val="008D0DD3"/>
    <w:rsid w:val="008D16D1"/>
    <w:rsid w:val="008D1D07"/>
    <w:rsid w:val="008D2266"/>
    <w:rsid w:val="008D4022"/>
    <w:rsid w:val="008D475A"/>
    <w:rsid w:val="008D4D8E"/>
    <w:rsid w:val="008D5081"/>
    <w:rsid w:val="008D5B76"/>
    <w:rsid w:val="008D6C0F"/>
    <w:rsid w:val="008E098F"/>
    <w:rsid w:val="008E0FAB"/>
    <w:rsid w:val="008E1053"/>
    <w:rsid w:val="008E10E6"/>
    <w:rsid w:val="008E1826"/>
    <w:rsid w:val="008E21B1"/>
    <w:rsid w:val="008E29BF"/>
    <w:rsid w:val="008E3195"/>
    <w:rsid w:val="008E3335"/>
    <w:rsid w:val="008E34C4"/>
    <w:rsid w:val="008E43A1"/>
    <w:rsid w:val="008E5905"/>
    <w:rsid w:val="008E643B"/>
    <w:rsid w:val="008E697C"/>
    <w:rsid w:val="008E6C6F"/>
    <w:rsid w:val="008E771C"/>
    <w:rsid w:val="008E7C63"/>
    <w:rsid w:val="008E7CD1"/>
    <w:rsid w:val="008F03B8"/>
    <w:rsid w:val="008F0DB1"/>
    <w:rsid w:val="008F1211"/>
    <w:rsid w:val="008F1541"/>
    <w:rsid w:val="008F16C5"/>
    <w:rsid w:val="008F2578"/>
    <w:rsid w:val="008F2769"/>
    <w:rsid w:val="008F30E6"/>
    <w:rsid w:val="008F31F9"/>
    <w:rsid w:val="008F357E"/>
    <w:rsid w:val="008F3D9A"/>
    <w:rsid w:val="008F41B3"/>
    <w:rsid w:val="008F4610"/>
    <w:rsid w:val="008F5163"/>
    <w:rsid w:val="008F5B01"/>
    <w:rsid w:val="008F5BCB"/>
    <w:rsid w:val="008F66B8"/>
    <w:rsid w:val="008F75E2"/>
    <w:rsid w:val="008F7791"/>
    <w:rsid w:val="008F7AB5"/>
    <w:rsid w:val="009004F8"/>
    <w:rsid w:val="00900DFF"/>
    <w:rsid w:val="00901106"/>
    <w:rsid w:val="00901585"/>
    <w:rsid w:val="00902BA6"/>
    <w:rsid w:val="00902D04"/>
    <w:rsid w:val="009038E2"/>
    <w:rsid w:val="009038F1"/>
    <w:rsid w:val="00903ED1"/>
    <w:rsid w:val="00905E37"/>
    <w:rsid w:val="009063A6"/>
    <w:rsid w:val="00907F49"/>
    <w:rsid w:val="0091080F"/>
    <w:rsid w:val="0091089A"/>
    <w:rsid w:val="00911A62"/>
    <w:rsid w:val="00912B02"/>
    <w:rsid w:val="00913164"/>
    <w:rsid w:val="00913791"/>
    <w:rsid w:val="009147CC"/>
    <w:rsid w:val="00914A64"/>
    <w:rsid w:val="00914CB7"/>
    <w:rsid w:val="009158A8"/>
    <w:rsid w:val="009166DB"/>
    <w:rsid w:val="0091720A"/>
    <w:rsid w:val="009172F2"/>
    <w:rsid w:val="00917B21"/>
    <w:rsid w:val="00917C2D"/>
    <w:rsid w:val="00920022"/>
    <w:rsid w:val="0092064D"/>
    <w:rsid w:val="009207AF"/>
    <w:rsid w:val="00920F0E"/>
    <w:rsid w:val="009214A5"/>
    <w:rsid w:val="00921E70"/>
    <w:rsid w:val="00923D4A"/>
    <w:rsid w:val="00924211"/>
    <w:rsid w:val="00924BF4"/>
    <w:rsid w:val="00925D84"/>
    <w:rsid w:val="00926818"/>
    <w:rsid w:val="0092684B"/>
    <w:rsid w:val="00926C9E"/>
    <w:rsid w:val="00927C20"/>
    <w:rsid w:val="00927DDB"/>
    <w:rsid w:val="0093149A"/>
    <w:rsid w:val="009316F8"/>
    <w:rsid w:val="00931F84"/>
    <w:rsid w:val="00933502"/>
    <w:rsid w:val="00933755"/>
    <w:rsid w:val="00933DCC"/>
    <w:rsid w:val="00934077"/>
    <w:rsid w:val="009343AB"/>
    <w:rsid w:val="0093498E"/>
    <w:rsid w:val="00934CCA"/>
    <w:rsid w:val="00935CD6"/>
    <w:rsid w:val="00936BB2"/>
    <w:rsid w:val="009374DE"/>
    <w:rsid w:val="00937882"/>
    <w:rsid w:val="00937B56"/>
    <w:rsid w:val="00940077"/>
    <w:rsid w:val="009400CC"/>
    <w:rsid w:val="0094011A"/>
    <w:rsid w:val="00940156"/>
    <w:rsid w:val="009401F1"/>
    <w:rsid w:val="009408A9"/>
    <w:rsid w:val="0094256D"/>
    <w:rsid w:val="00942937"/>
    <w:rsid w:val="00942B5A"/>
    <w:rsid w:val="0094325D"/>
    <w:rsid w:val="009439D6"/>
    <w:rsid w:val="0094444A"/>
    <w:rsid w:val="00944495"/>
    <w:rsid w:val="00946486"/>
    <w:rsid w:val="00947281"/>
    <w:rsid w:val="009476A2"/>
    <w:rsid w:val="00947F0F"/>
    <w:rsid w:val="0095020B"/>
    <w:rsid w:val="009505EF"/>
    <w:rsid w:val="0095075C"/>
    <w:rsid w:val="009527D6"/>
    <w:rsid w:val="00952967"/>
    <w:rsid w:val="00952D21"/>
    <w:rsid w:val="00953237"/>
    <w:rsid w:val="00954466"/>
    <w:rsid w:val="0095450E"/>
    <w:rsid w:val="0095589E"/>
    <w:rsid w:val="00955E25"/>
    <w:rsid w:val="00955F1D"/>
    <w:rsid w:val="00956FA2"/>
    <w:rsid w:val="00957299"/>
    <w:rsid w:val="009576F5"/>
    <w:rsid w:val="00960501"/>
    <w:rsid w:val="00960CEA"/>
    <w:rsid w:val="009610B8"/>
    <w:rsid w:val="00961681"/>
    <w:rsid w:val="00961DB0"/>
    <w:rsid w:val="0096220B"/>
    <w:rsid w:val="00962F38"/>
    <w:rsid w:val="00963456"/>
    <w:rsid w:val="00963A9B"/>
    <w:rsid w:val="0096413D"/>
    <w:rsid w:val="00964E07"/>
    <w:rsid w:val="00965D2D"/>
    <w:rsid w:val="00967231"/>
    <w:rsid w:val="009677EC"/>
    <w:rsid w:val="009714EB"/>
    <w:rsid w:val="00971590"/>
    <w:rsid w:val="0097169B"/>
    <w:rsid w:val="009734A4"/>
    <w:rsid w:val="00973505"/>
    <w:rsid w:val="0097359D"/>
    <w:rsid w:val="00973AC7"/>
    <w:rsid w:val="00975B9D"/>
    <w:rsid w:val="00975BF4"/>
    <w:rsid w:val="00975C24"/>
    <w:rsid w:val="009777DF"/>
    <w:rsid w:val="00977FA0"/>
    <w:rsid w:val="00980AD8"/>
    <w:rsid w:val="0098166A"/>
    <w:rsid w:val="009816EA"/>
    <w:rsid w:val="0098175B"/>
    <w:rsid w:val="00981CE1"/>
    <w:rsid w:val="0098284D"/>
    <w:rsid w:val="0098287D"/>
    <w:rsid w:val="00982DDE"/>
    <w:rsid w:val="00983094"/>
    <w:rsid w:val="00984312"/>
    <w:rsid w:val="0098440B"/>
    <w:rsid w:val="00984D5F"/>
    <w:rsid w:val="009855AD"/>
    <w:rsid w:val="00985BAD"/>
    <w:rsid w:val="0098698C"/>
    <w:rsid w:val="00986D1A"/>
    <w:rsid w:val="00987205"/>
    <w:rsid w:val="00990213"/>
    <w:rsid w:val="00990674"/>
    <w:rsid w:val="00990987"/>
    <w:rsid w:val="0099120C"/>
    <w:rsid w:val="00991BBF"/>
    <w:rsid w:val="00991BDB"/>
    <w:rsid w:val="00991E32"/>
    <w:rsid w:val="00991FE5"/>
    <w:rsid w:val="00992583"/>
    <w:rsid w:val="009938D6"/>
    <w:rsid w:val="00993B78"/>
    <w:rsid w:val="009945B9"/>
    <w:rsid w:val="009946ED"/>
    <w:rsid w:val="00994777"/>
    <w:rsid w:val="0099484B"/>
    <w:rsid w:val="00994CBE"/>
    <w:rsid w:val="00996303"/>
    <w:rsid w:val="009968B3"/>
    <w:rsid w:val="00996F8F"/>
    <w:rsid w:val="00997079"/>
    <w:rsid w:val="00997983"/>
    <w:rsid w:val="009A007E"/>
    <w:rsid w:val="009A1375"/>
    <w:rsid w:val="009A13F1"/>
    <w:rsid w:val="009A185F"/>
    <w:rsid w:val="009A321E"/>
    <w:rsid w:val="009A42E9"/>
    <w:rsid w:val="009A4D21"/>
    <w:rsid w:val="009A5FB7"/>
    <w:rsid w:val="009A6881"/>
    <w:rsid w:val="009A6FFD"/>
    <w:rsid w:val="009A7AC1"/>
    <w:rsid w:val="009A7B11"/>
    <w:rsid w:val="009B1087"/>
    <w:rsid w:val="009B1193"/>
    <w:rsid w:val="009B13CC"/>
    <w:rsid w:val="009B19F9"/>
    <w:rsid w:val="009B1EFB"/>
    <w:rsid w:val="009B23C8"/>
    <w:rsid w:val="009B247D"/>
    <w:rsid w:val="009B298A"/>
    <w:rsid w:val="009B2EC7"/>
    <w:rsid w:val="009B307F"/>
    <w:rsid w:val="009B3089"/>
    <w:rsid w:val="009B34B8"/>
    <w:rsid w:val="009B4C84"/>
    <w:rsid w:val="009B4EA6"/>
    <w:rsid w:val="009B60E5"/>
    <w:rsid w:val="009B6599"/>
    <w:rsid w:val="009B73EB"/>
    <w:rsid w:val="009C0A1E"/>
    <w:rsid w:val="009C0BB6"/>
    <w:rsid w:val="009C0F4B"/>
    <w:rsid w:val="009C1097"/>
    <w:rsid w:val="009C20B3"/>
    <w:rsid w:val="009C243A"/>
    <w:rsid w:val="009C2CEE"/>
    <w:rsid w:val="009C399C"/>
    <w:rsid w:val="009C3C97"/>
    <w:rsid w:val="009C4359"/>
    <w:rsid w:val="009C440D"/>
    <w:rsid w:val="009C454D"/>
    <w:rsid w:val="009C519B"/>
    <w:rsid w:val="009C5C4E"/>
    <w:rsid w:val="009C769C"/>
    <w:rsid w:val="009C7779"/>
    <w:rsid w:val="009C7C4E"/>
    <w:rsid w:val="009C7DFE"/>
    <w:rsid w:val="009D0ADF"/>
    <w:rsid w:val="009D1301"/>
    <w:rsid w:val="009D1C3B"/>
    <w:rsid w:val="009D3CB7"/>
    <w:rsid w:val="009D4808"/>
    <w:rsid w:val="009D547C"/>
    <w:rsid w:val="009D57AF"/>
    <w:rsid w:val="009D5FD4"/>
    <w:rsid w:val="009D62BB"/>
    <w:rsid w:val="009D6449"/>
    <w:rsid w:val="009D6613"/>
    <w:rsid w:val="009D66DF"/>
    <w:rsid w:val="009D6CAA"/>
    <w:rsid w:val="009D7316"/>
    <w:rsid w:val="009D748C"/>
    <w:rsid w:val="009E1E0D"/>
    <w:rsid w:val="009E275B"/>
    <w:rsid w:val="009E2D5D"/>
    <w:rsid w:val="009E40D7"/>
    <w:rsid w:val="009E42CF"/>
    <w:rsid w:val="009E575B"/>
    <w:rsid w:val="009E6715"/>
    <w:rsid w:val="009E6817"/>
    <w:rsid w:val="009E72D1"/>
    <w:rsid w:val="009E755A"/>
    <w:rsid w:val="009E77FB"/>
    <w:rsid w:val="009F0390"/>
    <w:rsid w:val="009F0E8B"/>
    <w:rsid w:val="009F25AA"/>
    <w:rsid w:val="009F2D30"/>
    <w:rsid w:val="009F3DF1"/>
    <w:rsid w:val="009F458D"/>
    <w:rsid w:val="009F510D"/>
    <w:rsid w:val="009F5706"/>
    <w:rsid w:val="009F595A"/>
    <w:rsid w:val="009F6013"/>
    <w:rsid w:val="009F6375"/>
    <w:rsid w:val="009F6B78"/>
    <w:rsid w:val="009F6CD9"/>
    <w:rsid w:val="009F6F17"/>
    <w:rsid w:val="009F6FBD"/>
    <w:rsid w:val="009F7273"/>
    <w:rsid w:val="009F7392"/>
    <w:rsid w:val="009F77AF"/>
    <w:rsid w:val="00A00E42"/>
    <w:rsid w:val="00A010DB"/>
    <w:rsid w:val="00A01BF4"/>
    <w:rsid w:val="00A01FB6"/>
    <w:rsid w:val="00A02327"/>
    <w:rsid w:val="00A02AF7"/>
    <w:rsid w:val="00A032BF"/>
    <w:rsid w:val="00A04776"/>
    <w:rsid w:val="00A05ABC"/>
    <w:rsid w:val="00A06FC1"/>
    <w:rsid w:val="00A071F6"/>
    <w:rsid w:val="00A07C54"/>
    <w:rsid w:val="00A07F2D"/>
    <w:rsid w:val="00A1092B"/>
    <w:rsid w:val="00A10B72"/>
    <w:rsid w:val="00A11AB8"/>
    <w:rsid w:val="00A11BAA"/>
    <w:rsid w:val="00A11DF8"/>
    <w:rsid w:val="00A128AB"/>
    <w:rsid w:val="00A13053"/>
    <w:rsid w:val="00A130FC"/>
    <w:rsid w:val="00A133A6"/>
    <w:rsid w:val="00A14FDB"/>
    <w:rsid w:val="00A15F17"/>
    <w:rsid w:val="00A16328"/>
    <w:rsid w:val="00A16894"/>
    <w:rsid w:val="00A16E2D"/>
    <w:rsid w:val="00A17AB1"/>
    <w:rsid w:val="00A20638"/>
    <w:rsid w:val="00A2164A"/>
    <w:rsid w:val="00A21682"/>
    <w:rsid w:val="00A22B2D"/>
    <w:rsid w:val="00A232BC"/>
    <w:rsid w:val="00A2371F"/>
    <w:rsid w:val="00A238D6"/>
    <w:rsid w:val="00A2440A"/>
    <w:rsid w:val="00A24678"/>
    <w:rsid w:val="00A24F56"/>
    <w:rsid w:val="00A26B86"/>
    <w:rsid w:val="00A26BEE"/>
    <w:rsid w:val="00A276E3"/>
    <w:rsid w:val="00A31D54"/>
    <w:rsid w:val="00A32FAF"/>
    <w:rsid w:val="00A340D7"/>
    <w:rsid w:val="00A34669"/>
    <w:rsid w:val="00A34B41"/>
    <w:rsid w:val="00A35C91"/>
    <w:rsid w:val="00A35E92"/>
    <w:rsid w:val="00A368B2"/>
    <w:rsid w:val="00A375C7"/>
    <w:rsid w:val="00A40DB7"/>
    <w:rsid w:val="00A40E26"/>
    <w:rsid w:val="00A41FAF"/>
    <w:rsid w:val="00A43798"/>
    <w:rsid w:val="00A44210"/>
    <w:rsid w:val="00A452F9"/>
    <w:rsid w:val="00A46738"/>
    <w:rsid w:val="00A478E4"/>
    <w:rsid w:val="00A479A7"/>
    <w:rsid w:val="00A50906"/>
    <w:rsid w:val="00A50B62"/>
    <w:rsid w:val="00A51722"/>
    <w:rsid w:val="00A51883"/>
    <w:rsid w:val="00A51DA4"/>
    <w:rsid w:val="00A5389E"/>
    <w:rsid w:val="00A54B0A"/>
    <w:rsid w:val="00A557F4"/>
    <w:rsid w:val="00A55B59"/>
    <w:rsid w:val="00A5630E"/>
    <w:rsid w:val="00A5713E"/>
    <w:rsid w:val="00A57395"/>
    <w:rsid w:val="00A57D28"/>
    <w:rsid w:val="00A60825"/>
    <w:rsid w:val="00A61D82"/>
    <w:rsid w:val="00A6475B"/>
    <w:rsid w:val="00A64869"/>
    <w:rsid w:val="00A66C93"/>
    <w:rsid w:val="00A671FF"/>
    <w:rsid w:val="00A67924"/>
    <w:rsid w:val="00A67C49"/>
    <w:rsid w:val="00A67E9D"/>
    <w:rsid w:val="00A701D9"/>
    <w:rsid w:val="00A70787"/>
    <w:rsid w:val="00A720E4"/>
    <w:rsid w:val="00A72CC3"/>
    <w:rsid w:val="00A73E3F"/>
    <w:rsid w:val="00A73EE0"/>
    <w:rsid w:val="00A741A0"/>
    <w:rsid w:val="00A748A4"/>
    <w:rsid w:val="00A74B06"/>
    <w:rsid w:val="00A752F2"/>
    <w:rsid w:val="00A76A86"/>
    <w:rsid w:val="00A77065"/>
    <w:rsid w:val="00A7727A"/>
    <w:rsid w:val="00A77D52"/>
    <w:rsid w:val="00A82291"/>
    <w:rsid w:val="00A83496"/>
    <w:rsid w:val="00A85842"/>
    <w:rsid w:val="00A869AB"/>
    <w:rsid w:val="00A878E0"/>
    <w:rsid w:val="00A9096D"/>
    <w:rsid w:val="00A9147B"/>
    <w:rsid w:val="00A91BCD"/>
    <w:rsid w:val="00A91C73"/>
    <w:rsid w:val="00A91F64"/>
    <w:rsid w:val="00A91FDF"/>
    <w:rsid w:val="00A933E5"/>
    <w:rsid w:val="00A934F3"/>
    <w:rsid w:val="00A93C6F"/>
    <w:rsid w:val="00A94012"/>
    <w:rsid w:val="00A94FEE"/>
    <w:rsid w:val="00A9572E"/>
    <w:rsid w:val="00A95AFE"/>
    <w:rsid w:val="00A95EA8"/>
    <w:rsid w:val="00A96196"/>
    <w:rsid w:val="00A96ECD"/>
    <w:rsid w:val="00A9774F"/>
    <w:rsid w:val="00AA0371"/>
    <w:rsid w:val="00AA0D9B"/>
    <w:rsid w:val="00AA177B"/>
    <w:rsid w:val="00AA1C72"/>
    <w:rsid w:val="00AA1DA2"/>
    <w:rsid w:val="00AA2751"/>
    <w:rsid w:val="00AA2788"/>
    <w:rsid w:val="00AA2A4A"/>
    <w:rsid w:val="00AA3912"/>
    <w:rsid w:val="00AA3BF2"/>
    <w:rsid w:val="00AA45DF"/>
    <w:rsid w:val="00AA4E02"/>
    <w:rsid w:val="00AA6349"/>
    <w:rsid w:val="00AA6BD7"/>
    <w:rsid w:val="00AA764E"/>
    <w:rsid w:val="00AA7E30"/>
    <w:rsid w:val="00AB0061"/>
    <w:rsid w:val="00AB0629"/>
    <w:rsid w:val="00AB160E"/>
    <w:rsid w:val="00AB19C7"/>
    <w:rsid w:val="00AB1E6C"/>
    <w:rsid w:val="00AB258F"/>
    <w:rsid w:val="00AB2EDD"/>
    <w:rsid w:val="00AB383C"/>
    <w:rsid w:val="00AB3C6D"/>
    <w:rsid w:val="00AB4D73"/>
    <w:rsid w:val="00AB5126"/>
    <w:rsid w:val="00AB5287"/>
    <w:rsid w:val="00AB6877"/>
    <w:rsid w:val="00AB6A38"/>
    <w:rsid w:val="00AB70AA"/>
    <w:rsid w:val="00AB7804"/>
    <w:rsid w:val="00AB7CD3"/>
    <w:rsid w:val="00AC025A"/>
    <w:rsid w:val="00AC1979"/>
    <w:rsid w:val="00AC22FE"/>
    <w:rsid w:val="00AC442C"/>
    <w:rsid w:val="00AC543A"/>
    <w:rsid w:val="00AC5BC4"/>
    <w:rsid w:val="00AC5FC8"/>
    <w:rsid w:val="00AC61F9"/>
    <w:rsid w:val="00AC78ED"/>
    <w:rsid w:val="00AD0638"/>
    <w:rsid w:val="00AD0824"/>
    <w:rsid w:val="00AD0A6C"/>
    <w:rsid w:val="00AD0BA1"/>
    <w:rsid w:val="00AD1350"/>
    <w:rsid w:val="00AD1400"/>
    <w:rsid w:val="00AD144A"/>
    <w:rsid w:val="00AD18D4"/>
    <w:rsid w:val="00AD1C72"/>
    <w:rsid w:val="00AD1E22"/>
    <w:rsid w:val="00AD228F"/>
    <w:rsid w:val="00AD2348"/>
    <w:rsid w:val="00AD3335"/>
    <w:rsid w:val="00AD5D27"/>
    <w:rsid w:val="00AD63D1"/>
    <w:rsid w:val="00AD771E"/>
    <w:rsid w:val="00AD7EDE"/>
    <w:rsid w:val="00AE00CF"/>
    <w:rsid w:val="00AE0567"/>
    <w:rsid w:val="00AE067F"/>
    <w:rsid w:val="00AE0DB3"/>
    <w:rsid w:val="00AE2CBA"/>
    <w:rsid w:val="00AE3FED"/>
    <w:rsid w:val="00AE4944"/>
    <w:rsid w:val="00AE4C06"/>
    <w:rsid w:val="00AE4CFF"/>
    <w:rsid w:val="00AE4EBF"/>
    <w:rsid w:val="00AE547B"/>
    <w:rsid w:val="00AE5520"/>
    <w:rsid w:val="00AE5B2F"/>
    <w:rsid w:val="00AE5B65"/>
    <w:rsid w:val="00AE6019"/>
    <w:rsid w:val="00AE614C"/>
    <w:rsid w:val="00AE631C"/>
    <w:rsid w:val="00AE673A"/>
    <w:rsid w:val="00AE7A6A"/>
    <w:rsid w:val="00AF017B"/>
    <w:rsid w:val="00AF0890"/>
    <w:rsid w:val="00AF0C42"/>
    <w:rsid w:val="00AF13B2"/>
    <w:rsid w:val="00AF1494"/>
    <w:rsid w:val="00AF1F79"/>
    <w:rsid w:val="00AF2872"/>
    <w:rsid w:val="00AF4C7D"/>
    <w:rsid w:val="00AF52B1"/>
    <w:rsid w:val="00AF68FF"/>
    <w:rsid w:val="00AF6C3B"/>
    <w:rsid w:val="00AF7DFD"/>
    <w:rsid w:val="00AF7FD9"/>
    <w:rsid w:val="00B00C2A"/>
    <w:rsid w:val="00B026B9"/>
    <w:rsid w:val="00B04EC9"/>
    <w:rsid w:val="00B04F1F"/>
    <w:rsid w:val="00B05DF0"/>
    <w:rsid w:val="00B06F7B"/>
    <w:rsid w:val="00B06F98"/>
    <w:rsid w:val="00B07154"/>
    <w:rsid w:val="00B07A95"/>
    <w:rsid w:val="00B07BB4"/>
    <w:rsid w:val="00B10070"/>
    <w:rsid w:val="00B10D6E"/>
    <w:rsid w:val="00B11200"/>
    <w:rsid w:val="00B11D97"/>
    <w:rsid w:val="00B128C1"/>
    <w:rsid w:val="00B12D37"/>
    <w:rsid w:val="00B13112"/>
    <w:rsid w:val="00B135EF"/>
    <w:rsid w:val="00B13744"/>
    <w:rsid w:val="00B13E29"/>
    <w:rsid w:val="00B1434A"/>
    <w:rsid w:val="00B14A66"/>
    <w:rsid w:val="00B156C3"/>
    <w:rsid w:val="00B15781"/>
    <w:rsid w:val="00B16621"/>
    <w:rsid w:val="00B169F3"/>
    <w:rsid w:val="00B17DEE"/>
    <w:rsid w:val="00B2043A"/>
    <w:rsid w:val="00B20757"/>
    <w:rsid w:val="00B210B7"/>
    <w:rsid w:val="00B216F1"/>
    <w:rsid w:val="00B21AB2"/>
    <w:rsid w:val="00B21FAF"/>
    <w:rsid w:val="00B227A9"/>
    <w:rsid w:val="00B232F5"/>
    <w:rsid w:val="00B24431"/>
    <w:rsid w:val="00B244AF"/>
    <w:rsid w:val="00B24ACE"/>
    <w:rsid w:val="00B261D0"/>
    <w:rsid w:val="00B26469"/>
    <w:rsid w:val="00B26B3F"/>
    <w:rsid w:val="00B26D3C"/>
    <w:rsid w:val="00B276D6"/>
    <w:rsid w:val="00B279DB"/>
    <w:rsid w:val="00B305AF"/>
    <w:rsid w:val="00B3079B"/>
    <w:rsid w:val="00B30D36"/>
    <w:rsid w:val="00B3101C"/>
    <w:rsid w:val="00B31DF6"/>
    <w:rsid w:val="00B32513"/>
    <w:rsid w:val="00B32A10"/>
    <w:rsid w:val="00B336C2"/>
    <w:rsid w:val="00B34F19"/>
    <w:rsid w:val="00B350DD"/>
    <w:rsid w:val="00B356D9"/>
    <w:rsid w:val="00B35C34"/>
    <w:rsid w:val="00B36721"/>
    <w:rsid w:val="00B3689E"/>
    <w:rsid w:val="00B36C7E"/>
    <w:rsid w:val="00B36EE5"/>
    <w:rsid w:val="00B37CD0"/>
    <w:rsid w:val="00B40F3D"/>
    <w:rsid w:val="00B41484"/>
    <w:rsid w:val="00B4158D"/>
    <w:rsid w:val="00B41CE8"/>
    <w:rsid w:val="00B41D2C"/>
    <w:rsid w:val="00B429A7"/>
    <w:rsid w:val="00B443D8"/>
    <w:rsid w:val="00B45B18"/>
    <w:rsid w:val="00B45E88"/>
    <w:rsid w:val="00B47003"/>
    <w:rsid w:val="00B47132"/>
    <w:rsid w:val="00B4765D"/>
    <w:rsid w:val="00B50D82"/>
    <w:rsid w:val="00B51562"/>
    <w:rsid w:val="00B52E53"/>
    <w:rsid w:val="00B539DB"/>
    <w:rsid w:val="00B53C0D"/>
    <w:rsid w:val="00B53D59"/>
    <w:rsid w:val="00B54E1A"/>
    <w:rsid w:val="00B550BF"/>
    <w:rsid w:val="00B55272"/>
    <w:rsid w:val="00B559E2"/>
    <w:rsid w:val="00B5653D"/>
    <w:rsid w:val="00B57A48"/>
    <w:rsid w:val="00B60185"/>
    <w:rsid w:val="00B61577"/>
    <w:rsid w:val="00B619E3"/>
    <w:rsid w:val="00B61D2A"/>
    <w:rsid w:val="00B6268A"/>
    <w:rsid w:val="00B62DFC"/>
    <w:rsid w:val="00B63A20"/>
    <w:rsid w:val="00B63A5C"/>
    <w:rsid w:val="00B6519F"/>
    <w:rsid w:val="00B65773"/>
    <w:rsid w:val="00B6686F"/>
    <w:rsid w:val="00B66A3E"/>
    <w:rsid w:val="00B66DCD"/>
    <w:rsid w:val="00B66F85"/>
    <w:rsid w:val="00B678F4"/>
    <w:rsid w:val="00B7038B"/>
    <w:rsid w:val="00B709C9"/>
    <w:rsid w:val="00B70CB3"/>
    <w:rsid w:val="00B71209"/>
    <w:rsid w:val="00B715BF"/>
    <w:rsid w:val="00B719B0"/>
    <w:rsid w:val="00B71A42"/>
    <w:rsid w:val="00B721A7"/>
    <w:rsid w:val="00B721B8"/>
    <w:rsid w:val="00B7276B"/>
    <w:rsid w:val="00B727A8"/>
    <w:rsid w:val="00B732F0"/>
    <w:rsid w:val="00B73DCA"/>
    <w:rsid w:val="00B73F44"/>
    <w:rsid w:val="00B74405"/>
    <w:rsid w:val="00B74641"/>
    <w:rsid w:val="00B746E6"/>
    <w:rsid w:val="00B75378"/>
    <w:rsid w:val="00B75C1E"/>
    <w:rsid w:val="00B76222"/>
    <w:rsid w:val="00B76300"/>
    <w:rsid w:val="00B77633"/>
    <w:rsid w:val="00B77960"/>
    <w:rsid w:val="00B80166"/>
    <w:rsid w:val="00B8020F"/>
    <w:rsid w:val="00B80B87"/>
    <w:rsid w:val="00B80E25"/>
    <w:rsid w:val="00B81767"/>
    <w:rsid w:val="00B81801"/>
    <w:rsid w:val="00B8181E"/>
    <w:rsid w:val="00B8197F"/>
    <w:rsid w:val="00B81B98"/>
    <w:rsid w:val="00B81EC8"/>
    <w:rsid w:val="00B8236D"/>
    <w:rsid w:val="00B83AAF"/>
    <w:rsid w:val="00B84E06"/>
    <w:rsid w:val="00B854AD"/>
    <w:rsid w:val="00B858C3"/>
    <w:rsid w:val="00B86AD1"/>
    <w:rsid w:val="00B87291"/>
    <w:rsid w:val="00B87F82"/>
    <w:rsid w:val="00B90ACB"/>
    <w:rsid w:val="00B919B9"/>
    <w:rsid w:val="00B91A73"/>
    <w:rsid w:val="00B92C84"/>
    <w:rsid w:val="00B92FFD"/>
    <w:rsid w:val="00B93A3A"/>
    <w:rsid w:val="00B93DF9"/>
    <w:rsid w:val="00B94B58"/>
    <w:rsid w:val="00B951D7"/>
    <w:rsid w:val="00B952B9"/>
    <w:rsid w:val="00B9589E"/>
    <w:rsid w:val="00B95DB3"/>
    <w:rsid w:val="00B963A7"/>
    <w:rsid w:val="00B96945"/>
    <w:rsid w:val="00B97282"/>
    <w:rsid w:val="00B97B0A"/>
    <w:rsid w:val="00B97BD2"/>
    <w:rsid w:val="00BA050F"/>
    <w:rsid w:val="00BA0C5C"/>
    <w:rsid w:val="00BA175A"/>
    <w:rsid w:val="00BA194F"/>
    <w:rsid w:val="00BA2AA5"/>
    <w:rsid w:val="00BA3183"/>
    <w:rsid w:val="00BA3457"/>
    <w:rsid w:val="00BA3514"/>
    <w:rsid w:val="00BA395D"/>
    <w:rsid w:val="00BA3B17"/>
    <w:rsid w:val="00BA48D8"/>
    <w:rsid w:val="00BA4A66"/>
    <w:rsid w:val="00BA4E6B"/>
    <w:rsid w:val="00BA5EF1"/>
    <w:rsid w:val="00BA65F1"/>
    <w:rsid w:val="00BA78F3"/>
    <w:rsid w:val="00BB0887"/>
    <w:rsid w:val="00BB1581"/>
    <w:rsid w:val="00BB1590"/>
    <w:rsid w:val="00BB1600"/>
    <w:rsid w:val="00BB1A53"/>
    <w:rsid w:val="00BB41AE"/>
    <w:rsid w:val="00BB442C"/>
    <w:rsid w:val="00BB4433"/>
    <w:rsid w:val="00BB57A4"/>
    <w:rsid w:val="00BB5B06"/>
    <w:rsid w:val="00BB5EB5"/>
    <w:rsid w:val="00BB70BE"/>
    <w:rsid w:val="00BB76BE"/>
    <w:rsid w:val="00BB7CF3"/>
    <w:rsid w:val="00BC0DEE"/>
    <w:rsid w:val="00BC0F9F"/>
    <w:rsid w:val="00BC2C57"/>
    <w:rsid w:val="00BC2CA2"/>
    <w:rsid w:val="00BC37F5"/>
    <w:rsid w:val="00BC3BB0"/>
    <w:rsid w:val="00BC4184"/>
    <w:rsid w:val="00BC44BF"/>
    <w:rsid w:val="00BC572A"/>
    <w:rsid w:val="00BC64A4"/>
    <w:rsid w:val="00BC6683"/>
    <w:rsid w:val="00BC7B52"/>
    <w:rsid w:val="00BD15AC"/>
    <w:rsid w:val="00BD1D2A"/>
    <w:rsid w:val="00BD246A"/>
    <w:rsid w:val="00BD26B9"/>
    <w:rsid w:val="00BD2712"/>
    <w:rsid w:val="00BD27BB"/>
    <w:rsid w:val="00BD4B7F"/>
    <w:rsid w:val="00BD4FB5"/>
    <w:rsid w:val="00BD60F4"/>
    <w:rsid w:val="00BD62A0"/>
    <w:rsid w:val="00BD6986"/>
    <w:rsid w:val="00BD7917"/>
    <w:rsid w:val="00BD7BC2"/>
    <w:rsid w:val="00BD7F0F"/>
    <w:rsid w:val="00BD7F41"/>
    <w:rsid w:val="00BE07B2"/>
    <w:rsid w:val="00BE0F91"/>
    <w:rsid w:val="00BE16A8"/>
    <w:rsid w:val="00BE265E"/>
    <w:rsid w:val="00BE26D8"/>
    <w:rsid w:val="00BE2CAE"/>
    <w:rsid w:val="00BE2E4D"/>
    <w:rsid w:val="00BE3395"/>
    <w:rsid w:val="00BE38CB"/>
    <w:rsid w:val="00BE41BD"/>
    <w:rsid w:val="00BE4848"/>
    <w:rsid w:val="00BE4B0F"/>
    <w:rsid w:val="00BE4CAB"/>
    <w:rsid w:val="00BE5443"/>
    <w:rsid w:val="00BE5A89"/>
    <w:rsid w:val="00BE624F"/>
    <w:rsid w:val="00BE6922"/>
    <w:rsid w:val="00BE6C6F"/>
    <w:rsid w:val="00BE7C62"/>
    <w:rsid w:val="00BF00C2"/>
    <w:rsid w:val="00BF0203"/>
    <w:rsid w:val="00BF08D1"/>
    <w:rsid w:val="00BF1B34"/>
    <w:rsid w:val="00BF4568"/>
    <w:rsid w:val="00BF4C1D"/>
    <w:rsid w:val="00BF4D28"/>
    <w:rsid w:val="00BF4E22"/>
    <w:rsid w:val="00BF5074"/>
    <w:rsid w:val="00BF5203"/>
    <w:rsid w:val="00BF561F"/>
    <w:rsid w:val="00BF60D1"/>
    <w:rsid w:val="00BF64BC"/>
    <w:rsid w:val="00BF7436"/>
    <w:rsid w:val="00C00004"/>
    <w:rsid w:val="00C0196C"/>
    <w:rsid w:val="00C023B2"/>
    <w:rsid w:val="00C02E2C"/>
    <w:rsid w:val="00C03AB0"/>
    <w:rsid w:val="00C03E1A"/>
    <w:rsid w:val="00C05721"/>
    <w:rsid w:val="00C058DB"/>
    <w:rsid w:val="00C05CF6"/>
    <w:rsid w:val="00C05F2D"/>
    <w:rsid w:val="00C07BDE"/>
    <w:rsid w:val="00C10346"/>
    <w:rsid w:val="00C103C9"/>
    <w:rsid w:val="00C11299"/>
    <w:rsid w:val="00C114F4"/>
    <w:rsid w:val="00C12691"/>
    <w:rsid w:val="00C126A0"/>
    <w:rsid w:val="00C12B2A"/>
    <w:rsid w:val="00C12B85"/>
    <w:rsid w:val="00C12F26"/>
    <w:rsid w:val="00C13187"/>
    <w:rsid w:val="00C13338"/>
    <w:rsid w:val="00C13AE3"/>
    <w:rsid w:val="00C14891"/>
    <w:rsid w:val="00C14AF2"/>
    <w:rsid w:val="00C162DF"/>
    <w:rsid w:val="00C169D2"/>
    <w:rsid w:val="00C17B9A"/>
    <w:rsid w:val="00C17BD8"/>
    <w:rsid w:val="00C2030E"/>
    <w:rsid w:val="00C20CA7"/>
    <w:rsid w:val="00C20F00"/>
    <w:rsid w:val="00C216DC"/>
    <w:rsid w:val="00C21BFC"/>
    <w:rsid w:val="00C22A06"/>
    <w:rsid w:val="00C23CD2"/>
    <w:rsid w:val="00C24FCC"/>
    <w:rsid w:val="00C257A9"/>
    <w:rsid w:val="00C26979"/>
    <w:rsid w:val="00C30C98"/>
    <w:rsid w:val="00C30E85"/>
    <w:rsid w:val="00C312B5"/>
    <w:rsid w:val="00C31D91"/>
    <w:rsid w:val="00C32942"/>
    <w:rsid w:val="00C338F0"/>
    <w:rsid w:val="00C34351"/>
    <w:rsid w:val="00C345A3"/>
    <w:rsid w:val="00C3479C"/>
    <w:rsid w:val="00C354DC"/>
    <w:rsid w:val="00C35764"/>
    <w:rsid w:val="00C35D58"/>
    <w:rsid w:val="00C36DE2"/>
    <w:rsid w:val="00C37C8D"/>
    <w:rsid w:val="00C37D7B"/>
    <w:rsid w:val="00C406A2"/>
    <w:rsid w:val="00C40BF7"/>
    <w:rsid w:val="00C40E25"/>
    <w:rsid w:val="00C41DE5"/>
    <w:rsid w:val="00C42012"/>
    <w:rsid w:val="00C42547"/>
    <w:rsid w:val="00C42569"/>
    <w:rsid w:val="00C426E8"/>
    <w:rsid w:val="00C42F08"/>
    <w:rsid w:val="00C44E25"/>
    <w:rsid w:val="00C4509C"/>
    <w:rsid w:val="00C45772"/>
    <w:rsid w:val="00C45872"/>
    <w:rsid w:val="00C45C8C"/>
    <w:rsid w:val="00C46110"/>
    <w:rsid w:val="00C46B9A"/>
    <w:rsid w:val="00C4758A"/>
    <w:rsid w:val="00C47F50"/>
    <w:rsid w:val="00C501FD"/>
    <w:rsid w:val="00C502F6"/>
    <w:rsid w:val="00C509CE"/>
    <w:rsid w:val="00C548B0"/>
    <w:rsid w:val="00C5577B"/>
    <w:rsid w:val="00C55D2C"/>
    <w:rsid w:val="00C56330"/>
    <w:rsid w:val="00C56A09"/>
    <w:rsid w:val="00C575D3"/>
    <w:rsid w:val="00C57CEE"/>
    <w:rsid w:val="00C57DD3"/>
    <w:rsid w:val="00C60ED2"/>
    <w:rsid w:val="00C61AE2"/>
    <w:rsid w:val="00C62419"/>
    <w:rsid w:val="00C628DD"/>
    <w:rsid w:val="00C62E1C"/>
    <w:rsid w:val="00C6374F"/>
    <w:rsid w:val="00C653CA"/>
    <w:rsid w:val="00C65F1F"/>
    <w:rsid w:val="00C66133"/>
    <w:rsid w:val="00C6626E"/>
    <w:rsid w:val="00C668D8"/>
    <w:rsid w:val="00C66E0E"/>
    <w:rsid w:val="00C67CDF"/>
    <w:rsid w:val="00C71938"/>
    <w:rsid w:val="00C7291C"/>
    <w:rsid w:val="00C72B94"/>
    <w:rsid w:val="00C730BD"/>
    <w:rsid w:val="00C7381E"/>
    <w:rsid w:val="00C74741"/>
    <w:rsid w:val="00C747F2"/>
    <w:rsid w:val="00C74D4F"/>
    <w:rsid w:val="00C75BF1"/>
    <w:rsid w:val="00C77C8F"/>
    <w:rsid w:val="00C8061F"/>
    <w:rsid w:val="00C83946"/>
    <w:rsid w:val="00C843B2"/>
    <w:rsid w:val="00C84ED8"/>
    <w:rsid w:val="00C8552E"/>
    <w:rsid w:val="00C85F46"/>
    <w:rsid w:val="00C867AF"/>
    <w:rsid w:val="00C87090"/>
    <w:rsid w:val="00C875D7"/>
    <w:rsid w:val="00C87F62"/>
    <w:rsid w:val="00C904D6"/>
    <w:rsid w:val="00C90F02"/>
    <w:rsid w:val="00C90F22"/>
    <w:rsid w:val="00C9151E"/>
    <w:rsid w:val="00C91566"/>
    <w:rsid w:val="00C9161F"/>
    <w:rsid w:val="00C91EB1"/>
    <w:rsid w:val="00C92A96"/>
    <w:rsid w:val="00C9398F"/>
    <w:rsid w:val="00C9436F"/>
    <w:rsid w:val="00C94550"/>
    <w:rsid w:val="00C94790"/>
    <w:rsid w:val="00C952F9"/>
    <w:rsid w:val="00C95348"/>
    <w:rsid w:val="00C95406"/>
    <w:rsid w:val="00C955C3"/>
    <w:rsid w:val="00C96285"/>
    <w:rsid w:val="00C96364"/>
    <w:rsid w:val="00C963A4"/>
    <w:rsid w:val="00C96474"/>
    <w:rsid w:val="00C96845"/>
    <w:rsid w:val="00CA13B3"/>
    <w:rsid w:val="00CA182E"/>
    <w:rsid w:val="00CA2A67"/>
    <w:rsid w:val="00CA2D74"/>
    <w:rsid w:val="00CA373D"/>
    <w:rsid w:val="00CA39B1"/>
    <w:rsid w:val="00CA44DC"/>
    <w:rsid w:val="00CA4627"/>
    <w:rsid w:val="00CA4F76"/>
    <w:rsid w:val="00CA52C6"/>
    <w:rsid w:val="00CA53D0"/>
    <w:rsid w:val="00CA5726"/>
    <w:rsid w:val="00CA7B71"/>
    <w:rsid w:val="00CB12C5"/>
    <w:rsid w:val="00CB17F5"/>
    <w:rsid w:val="00CB19DB"/>
    <w:rsid w:val="00CB2F4D"/>
    <w:rsid w:val="00CB3CCC"/>
    <w:rsid w:val="00CB4990"/>
    <w:rsid w:val="00CB5FC8"/>
    <w:rsid w:val="00CB7172"/>
    <w:rsid w:val="00CB769F"/>
    <w:rsid w:val="00CB7D39"/>
    <w:rsid w:val="00CC0C09"/>
    <w:rsid w:val="00CC11A8"/>
    <w:rsid w:val="00CC1B30"/>
    <w:rsid w:val="00CC3CED"/>
    <w:rsid w:val="00CC448E"/>
    <w:rsid w:val="00CC6313"/>
    <w:rsid w:val="00CC6FC7"/>
    <w:rsid w:val="00CC7F35"/>
    <w:rsid w:val="00CD0147"/>
    <w:rsid w:val="00CD01EA"/>
    <w:rsid w:val="00CD08B2"/>
    <w:rsid w:val="00CD0D74"/>
    <w:rsid w:val="00CD1101"/>
    <w:rsid w:val="00CD11BC"/>
    <w:rsid w:val="00CD1230"/>
    <w:rsid w:val="00CD1A15"/>
    <w:rsid w:val="00CD1D33"/>
    <w:rsid w:val="00CD2036"/>
    <w:rsid w:val="00CD24E5"/>
    <w:rsid w:val="00CD2690"/>
    <w:rsid w:val="00CD3423"/>
    <w:rsid w:val="00CD34D2"/>
    <w:rsid w:val="00CD3686"/>
    <w:rsid w:val="00CD3798"/>
    <w:rsid w:val="00CD39E1"/>
    <w:rsid w:val="00CD446D"/>
    <w:rsid w:val="00CD4986"/>
    <w:rsid w:val="00CD4F25"/>
    <w:rsid w:val="00CD63B2"/>
    <w:rsid w:val="00CD654E"/>
    <w:rsid w:val="00CD65DB"/>
    <w:rsid w:val="00CD71AC"/>
    <w:rsid w:val="00CD7954"/>
    <w:rsid w:val="00CE0608"/>
    <w:rsid w:val="00CE0684"/>
    <w:rsid w:val="00CE0867"/>
    <w:rsid w:val="00CE0B9B"/>
    <w:rsid w:val="00CE11FA"/>
    <w:rsid w:val="00CE159B"/>
    <w:rsid w:val="00CE2416"/>
    <w:rsid w:val="00CE373D"/>
    <w:rsid w:val="00CE4137"/>
    <w:rsid w:val="00CE519B"/>
    <w:rsid w:val="00CE5E97"/>
    <w:rsid w:val="00CE71C0"/>
    <w:rsid w:val="00CE76F3"/>
    <w:rsid w:val="00CE7808"/>
    <w:rsid w:val="00CF007C"/>
    <w:rsid w:val="00CF0458"/>
    <w:rsid w:val="00CF0792"/>
    <w:rsid w:val="00CF2A22"/>
    <w:rsid w:val="00CF2A28"/>
    <w:rsid w:val="00CF32A5"/>
    <w:rsid w:val="00CF4BD0"/>
    <w:rsid w:val="00CF5CFF"/>
    <w:rsid w:val="00CF6783"/>
    <w:rsid w:val="00CF731A"/>
    <w:rsid w:val="00D00F16"/>
    <w:rsid w:val="00D00FD9"/>
    <w:rsid w:val="00D011BA"/>
    <w:rsid w:val="00D0141A"/>
    <w:rsid w:val="00D01ED0"/>
    <w:rsid w:val="00D04BED"/>
    <w:rsid w:val="00D04D60"/>
    <w:rsid w:val="00D05162"/>
    <w:rsid w:val="00D0596D"/>
    <w:rsid w:val="00D059A6"/>
    <w:rsid w:val="00D05B75"/>
    <w:rsid w:val="00D05C44"/>
    <w:rsid w:val="00D072DB"/>
    <w:rsid w:val="00D074AB"/>
    <w:rsid w:val="00D078A4"/>
    <w:rsid w:val="00D07944"/>
    <w:rsid w:val="00D07DE3"/>
    <w:rsid w:val="00D113BE"/>
    <w:rsid w:val="00D1147C"/>
    <w:rsid w:val="00D123C3"/>
    <w:rsid w:val="00D12C0B"/>
    <w:rsid w:val="00D12CF3"/>
    <w:rsid w:val="00D12ED4"/>
    <w:rsid w:val="00D13A00"/>
    <w:rsid w:val="00D159C5"/>
    <w:rsid w:val="00D164C0"/>
    <w:rsid w:val="00D176F8"/>
    <w:rsid w:val="00D210F4"/>
    <w:rsid w:val="00D21680"/>
    <w:rsid w:val="00D21884"/>
    <w:rsid w:val="00D219C4"/>
    <w:rsid w:val="00D21F93"/>
    <w:rsid w:val="00D22E3A"/>
    <w:rsid w:val="00D236AC"/>
    <w:rsid w:val="00D23CEC"/>
    <w:rsid w:val="00D23D61"/>
    <w:rsid w:val="00D23DAD"/>
    <w:rsid w:val="00D25340"/>
    <w:rsid w:val="00D26305"/>
    <w:rsid w:val="00D26F67"/>
    <w:rsid w:val="00D2715A"/>
    <w:rsid w:val="00D27666"/>
    <w:rsid w:val="00D27D0F"/>
    <w:rsid w:val="00D27E08"/>
    <w:rsid w:val="00D30030"/>
    <w:rsid w:val="00D309F3"/>
    <w:rsid w:val="00D32564"/>
    <w:rsid w:val="00D32658"/>
    <w:rsid w:val="00D3424F"/>
    <w:rsid w:val="00D342B7"/>
    <w:rsid w:val="00D346C1"/>
    <w:rsid w:val="00D34EC5"/>
    <w:rsid w:val="00D35449"/>
    <w:rsid w:val="00D35EF9"/>
    <w:rsid w:val="00D361AF"/>
    <w:rsid w:val="00D3731B"/>
    <w:rsid w:val="00D375EC"/>
    <w:rsid w:val="00D377E2"/>
    <w:rsid w:val="00D37C12"/>
    <w:rsid w:val="00D40AA6"/>
    <w:rsid w:val="00D41726"/>
    <w:rsid w:val="00D4182D"/>
    <w:rsid w:val="00D42770"/>
    <w:rsid w:val="00D42F19"/>
    <w:rsid w:val="00D43783"/>
    <w:rsid w:val="00D44371"/>
    <w:rsid w:val="00D468AF"/>
    <w:rsid w:val="00D46A57"/>
    <w:rsid w:val="00D47924"/>
    <w:rsid w:val="00D47931"/>
    <w:rsid w:val="00D47B06"/>
    <w:rsid w:val="00D5041F"/>
    <w:rsid w:val="00D51A94"/>
    <w:rsid w:val="00D51B99"/>
    <w:rsid w:val="00D51C4E"/>
    <w:rsid w:val="00D520E0"/>
    <w:rsid w:val="00D52772"/>
    <w:rsid w:val="00D53815"/>
    <w:rsid w:val="00D53BFE"/>
    <w:rsid w:val="00D5447E"/>
    <w:rsid w:val="00D544BB"/>
    <w:rsid w:val="00D54B6F"/>
    <w:rsid w:val="00D55210"/>
    <w:rsid w:val="00D56EA4"/>
    <w:rsid w:val="00D6028A"/>
    <w:rsid w:val="00D602EB"/>
    <w:rsid w:val="00D606C0"/>
    <w:rsid w:val="00D60B48"/>
    <w:rsid w:val="00D60BED"/>
    <w:rsid w:val="00D60EFC"/>
    <w:rsid w:val="00D614A4"/>
    <w:rsid w:val="00D61B38"/>
    <w:rsid w:val="00D61F20"/>
    <w:rsid w:val="00D61FD9"/>
    <w:rsid w:val="00D62261"/>
    <w:rsid w:val="00D633C9"/>
    <w:rsid w:val="00D63481"/>
    <w:rsid w:val="00D63869"/>
    <w:rsid w:val="00D63C37"/>
    <w:rsid w:val="00D64442"/>
    <w:rsid w:val="00D646F9"/>
    <w:rsid w:val="00D64BA7"/>
    <w:rsid w:val="00D6538B"/>
    <w:rsid w:val="00D656E6"/>
    <w:rsid w:val="00D6574E"/>
    <w:rsid w:val="00D6694D"/>
    <w:rsid w:val="00D66F23"/>
    <w:rsid w:val="00D67428"/>
    <w:rsid w:val="00D678F2"/>
    <w:rsid w:val="00D70847"/>
    <w:rsid w:val="00D72507"/>
    <w:rsid w:val="00D72F17"/>
    <w:rsid w:val="00D731B2"/>
    <w:rsid w:val="00D7324C"/>
    <w:rsid w:val="00D73C42"/>
    <w:rsid w:val="00D7433F"/>
    <w:rsid w:val="00D7463D"/>
    <w:rsid w:val="00D753C3"/>
    <w:rsid w:val="00D75754"/>
    <w:rsid w:val="00D75CF0"/>
    <w:rsid w:val="00D77F9D"/>
    <w:rsid w:val="00D80664"/>
    <w:rsid w:val="00D80AE6"/>
    <w:rsid w:val="00D80E3E"/>
    <w:rsid w:val="00D81BFD"/>
    <w:rsid w:val="00D81CA6"/>
    <w:rsid w:val="00D82A76"/>
    <w:rsid w:val="00D82A8F"/>
    <w:rsid w:val="00D82DC4"/>
    <w:rsid w:val="00D82E42"/>
    <w:rsid w:val="00D8322F"/>
    <w:rsid w:val="00D84027"/>
    <w:rsid w:val="00D84806"/>
    <w:rsid w:val="00D84A47"/>
    <w:rsid w:val="00D85486"/>
    <w:rsid w:val="00D8611D"/>
    <w:rsid w:val="00D865D1"/>
    <w:rsid w:val="00D86B56"/>
    <w:rsid w:val="00D872F5"/>
    <w:rsid w:val="00D875AA"/>
    <w:rsid w:val="00D879C3"/>
    <w:rsid w:val="00D9011D"/>
    <w:rsid w:val="00D90F53"/>
    <w:rsid w:val="00D91D94"/>
    <w:rsid w:val="00D91F98"/>
    <w:rsid w:val="00D92886"/>
    <w:rsid w:val="00D92D1C"/>
    <w:rsid w:val="00D942A8"/>
    <w:rsid w:val="00D9433C"/>
    <w:rsid w:val="00D9445A"/>
    <w:rsid w:val="00D95180"/>
    <w:rsid w:val="00D951FC"/>
    <w:rsid w:val="00D95DAB"/>
    <w:rsid w:val="00D96279"/>
    <w:rsid w:val="00D9689E"/>
    <w:rsid w:val="00D97406"/>
    <w:rsid w:val="00D9747E"/>
    <w:rsid w:val="00D97AE5"/>
    <w:rsid w:val="00D97BE3"/>
    <w:rsid w:val="00DA0A39"/>
    <w:rsid w:val="00DA0B07"/>
    <w:rsid w:val="00DA1AA3"/>
    <w:rsid w:val="00DA1DF8"/>
    <w:rsid w:val="00DA2EAD"/>
    <w:rsid w:val="00DA3059"/>
    <w:rsid w:val="00DA3A9A"/>
    <w:rsid w:val="00DA3AB4"/>
    <w:rsid w:val="00DA3E75"/>
    <w:rsid w:val="00DA419E"/>
    <w:rsid w:val="00DA45FC"/>
    <w:rsid w:val="00DA4691"/>
    <w:rsid w:val="00DA4D0B"/>
    <w:rsid w:val="00DA4F31"/>
    <w:rsid w:val="00DA62DA"/>
    <w:rsid w:val="00DA6599"/>
    <w:rsid w:val="00DA71D9"/>
    <w:rsid w:val="00DA7518"/>
    <w:rsid w:val="00DA7D5B"/>
    <w:rsid w:val="00DB0099"/>
    <w:rsid w:val="00DB180E"/>
    <w:rsid w:val="00DB1C05"/>
    <w:rsid w:val="00DB1EC6"/>
    <w:rsid w:val="00DB2555"/>
    <w:rsid w:val="00DB38EF"/>
    <w:rsid w:val="00DB491B"/>
    <w:rsid w:val="00DB53FA"/>
    <w:rsid w:val="00DB5407"/>
    <w:rsid w:val="00DB55BC"/>
    <w:rsid w:val="00DB5B0F"/>
    <w:rsid w:val="00DB6007"/>
    <w:rsid w:val="00DB6340"/>
    <w:rsid w:val="00DB6973"/>
    <w:rsid w:val="00DB70A4"/>
    <w:rsid w:val="00DB70D2"/>
    <w:rsid w:val="00DB78EC"/>
    <w:rsid w:val="00DC070B"/>
    <w:rsid w:val="00DC08C8"/>
    <w:rsid w:val="00DC0E11"/>
    <w:rsid w:val="00DC18FC"/>
    <w:rsid w:val="00DC2362"/>
    <w:rsid w:val="00DC268B"/>
    <w:rsid w:val="00DC2D6B"/>
    <w:rsid w:val="00DC3012"/>
    <w:rsid w:val="00DC3165"/>
    <w:rsid w:val="00DC3405"/>
    <w:rsid w:val="00DC381B"/>
    <w:rsid w:val="00DC3EC4"/>
    <w:rsid w:val="00DC43E9"/>
    <w:rsid w:val="00DC47D5"/>
    <w:rsid w:val="00DC51B5"/>
    <w:rsid w:val="00DC65F3"/>
    <w:rsid w:val="00DC6C78"/>
    <w:rsid w:val="00DC7275"/>
    <w:rsid w:val="00DD0A4E"/>
    <w:rsid w:val="00DD0CB6"/>
    <w:rsid w:val="00DD1C32"/>
    <w:rsid w:val="00DD22AC"/>
    <w:rsid w:val="00DD239D"/>
    <w:rsid w:val="00DD23C5"/>
    <w:rsid w:val="00DD273E"/>
    <w:rsid w:val="00DD3759"/>
    <w:rsid w:val="00DD46FF"/>
    <w:rsid w:val="00DD4DCF"/>
    <w:rsid w:val="00DD5974"/>
    <w:rsid w:val="00DD5F73"/>
    <w:rsid w:val="00DD66E5"/>
    <w:rsid w:val="00DD72F4"/>
    <w:rsid w:val="00DD7733"/>
    <w:rsid w:val="00DE047D"/>
    <w:rsid w:val="00DE071A"/>
    <w:rsid w:val="00DE13F3"/>
    <w:rsid w:val="00DE17B6"/>
    <w:rsid w:val="00DE1B10"/>
    <w:rsid w:val="00DE1DCE"/>
    <w:rsid w:val="00DE26A6"/>
    <w:rsid w:val="00DE3058"/>
    <w:rsid w:val="00DE3925"/>
    <w:rsid w:val="00DE3E24"/>
    <w:rsid w:val="00DE475A"/>
    <w:rsid w:val="00DE486A"/>
    <w:rsid w:val="00DE4EEC"/>
    <w:rsid w:val="00DE5327"/>
    <w:rsid w:val="00DE6EBD"/>
    <w:rsid w:val="00DE6EE4"/>
    <w:rsid w:val="00DE7E59"/>
    <w:rsid w:val="00DF0206"/>
    <w:rsid w:val="00DF046E"/>
    <w:rsid w:val="00DF0AF1"/>
    <w:rsid w:val="00DF18C0"/>
    <w:rsid w:val="00DF25F8"/>
    <w:rsid w:val="00DF2CD1"/>
    <w:rsid w:val="00DF2CE0"/>
    <w:rsid w:val="00DF44FE"/>
    <w:rsid w:val="00DF47EE"/>
    <w:rsid w:val="00DF4985"/>
    <w:rsid w:val="00DF4BF2"/>
    <w:rsid w:val="00DF50C2"/>
    <w:rsid w:val="00DF593B"/>
    <w:rsid w:val="00DF5B02"/>
    <w:rsid w:val="00DF6373"/>
    <w:rsid w:val="00DF706B"/>
    <w:rsid w:val="00DF73F1"/>
    <w:rsid w:val="00DF75B5"/>
    <w:rsid w:val="00DF7E68"/>
    <w:rsid w:val="00E004BA"/>
    <w:rsid w:val="00E0163D"/>
    <w:rsid w:val="00E01B41"/>
    <w:rsid w:val="00E025A6"/>
    <w:rsid w:val="00E02673"/>
    <w:rsid w:val="00E02A2C"/>
    <w:rsid w:val="00E03325"/>
    <w:rsid w:val="00E034F4"/>
    <w:rsid w:val="00E03589"/>
    <w:rsid w:val="00E03C40"/>
    <w:rsid w:val="00E03CA1"/>
    <w:rsid w:val="00E043C3"/>
    <w:rsid w:val="00E0469F"/>
    <w:rsid w:val="00E05F06"/>
    <w:rsid w:val="00E05F8A"/>
    <w:rsid w:val="00E06D52"/>
    <w:rsid w:val="00E07613"/>
    <w:rsid w:val="00E07679"/>
    <w:rsid w:val="00E103D6"/>
    <w:rsid w:val="00E10867"/>
    <w:rsid w:val="00E10A47"/>
    <w:rsid w:val="00E10E3A"/>
    <w:rsid w:val="00E1138D"/>
    <w:rsid w:val="00E1277F"/>
    <w:rsid w:val="00E12E90"/>
    <w:rsid w:val="00E12EC9"/>
    <w:rsid w:val="00E12FAE"/>
    <w:rsid w:val="00E132AB"/>
    <w:rsid w:val="00E13D97"/>
    <w:rsid w:val="00E14BEC"/>
    <w:rsid w:val="00E16153"/>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B23"/>
    <w:rsid w:val="00E309BA"/>
    <w:rsid w:val="00E30D88"/>
    <w:rsid w:val="00E30F12"/>
    <w:rsid w:val="00E312D8"/>
    <w:rsid w:val="00E31665"/>
    <w:rsid w:val="00E320CA"/>
    <w:rsid w:val="00E320D1"/>
    <w:rsid w:val="00E325AB"/>
    <w:rsid w:val="00E326A4"/>
    <w:rsid w:val="00E3358E"/>
    <w:rsid w:val="00E3447B"/>
    <w:rsid w:val="00E3456C"/>
    <w:rsid w:val="00E34E92"/>
    <w:rsid w:val="00E34E9E"/>
    <w:rsid w:val="00E350C6"/>
    <w:rsid w:val="00E3533B"/>
    <w:rsid w:val="00E3553C"/>
    <w:rsid w:val="00E35F5A"/>
    <w:rsid w:val="00E3633B"/>
    <w:rsid w:val="00E36590"/>
    <w:rsid w:val="00E367A4"/>
    <w:rsid w:val="00E36C51"/>
    <w:rsid w:val="00E36FE2"/>
    <w:rsid w:val="00E37E7D"/>
    <w:rsid w:val="00E40732"/>
    <w:rsid w:val="00E41763"/>
    <w:rsid w:val="00E42350"/>
    <w:rsid w:val="00E43024"/>
    <w:rsid w:val="00E431F5"/>
    <w:rsid w:val="00E443AE"/>
    <w:rsid w:val="00E44671"/>
    <w:rsid w:val="00E44D95"/>
    <w:rsid w:val="00E45166"/>
    <w:rsid w:val="00E46565"/>
    <w:rsid w:val="00E46F73"/>
    <w:rsid w:val="00E472BB"/>
    <w:rsid w:val="00E50124"/>
    <w:rsid w:val="00E502A0"/>
    <w:rsid w:val="00E50CCE"/>
    <w:rsid w:val="00E514EB"/>
    <w:rsid w:val="00E51F36"/>
    <w:rsid w:val="00E5209A"/>
    <w:rsid w:val="00E5238A"/>
    <w:rsid w:val="00E53665"/>
    <w:rsid w:val="00E53CD1"/>
    <w:rsid w:val="00E54537"/>
    <w:rsid w:val="00E55112"/>
    <w:rsid w:val="00E55663"/>
    <w:rsid w:val="00E556E2"/>
    <w:rsid w:val="00E579E1"/>
    <w:rsid w:val="00E60BCE"/>
    <w:rsid w:val="00E60CE0"/>
    <w:rsid w:val="00E61FDD"/>
    <w:rsid w:val="00E621CD"/>
    <w:rsid w:val="00E6358E"/>
    <w:rsid w:val="00E63B7D"/>
    <w:rsid w:val="00E64E15"/>
    <w:rsid w:val="00E65379"/>
    <w:rsid w:val="00E65D32"/>
    <w:rsid w:val="00E66D7D"/>
    <w:rsid w:val="00E67B65"/>
    <w:rsid w:val="00E701D7"/>
    <w:rsid w:val="00E70B8D"/>
    <w:rsid w:val="00E71470"/>
    <w:rsid w:val="00E72D23"/>
    <w:rsid w:val="00E75706"/>
    <w:rsid w:val="00E76B9A"/>
    <w:rsid w:val="00E76EF0"/>
    <w:rsid w:val="00E77F82"/>
    <w:rsid w:val="00E8000A"/>
    <w:rsid w:val="00E803BE"/>
    <w:rsid w:val="00E809E9"/>
    <w:rsid w:val="00E8109B"/>
    <w:rsid w:val="00E82712"/>
    <w:rsid w:val="00E830AB"/>
    <w:rsid w:val="00E8363A"/>
    <w:rsid w:val="00E8389E"/>
    <w:rsid w:val="00E84A02"/>
    <w:rsid w:val="00E84BC7"/>
    <w:rsid w:val="00E85582"/>
    <w:rsid w:val="00E858DB"/>
    <w:rsid w:val="00E860AE"/>
    <w:rsid w:val="00E86260"/>
    <w:rsid w:val="00E86BAE"/>
    <w:rsid w:val="00E879CC"/>
    <w:rsid w:val="00E9128A"/>
    <w:rsid w:val="00E918D2"/>
    <w:rsid w:val="00E92444"/>
    <w:rsid w:val="00E93148"/>
    <w:rsid w:val="00E93F9F"/>
    <w:rsid w:val="00E957B1"/>
    <w:rsid w:val="00E95C41"/>
    <w:rsid w:val="00E966D8"/>
    <w:rsid w:val="00E96E96"/>
    <w:rsid w:val="00E970B6"/>
    <w:rsid w:val="00E9786E"/>
    <w:rsid w:val="00E97BAC"/>
    <w:rsid w:val="00EA0819"/>
    <w:rsid w:val="00EA0838"/>
    <w:rsid w:val="00EA1592"/>
    <w:rsid w:val="00EA1756"/>
    <w:rsid w:val="00EA18E8"/>
    <w:rsid w:val="00EA1A4D"/>
    <w:rsid w:val="00EA21AE"/>
    <w:rsid w:val="00EA2AC9"/>
    <w:rsid w:val="00EA2B22"/>
    <w:rsid w:val="00EA3228"/>
    <w:rsid w:val="00EA3381"/>
    <w:rsid w:val="00EA38D4"/>
    <w:rsid w:val="00EA3EF0"/>
    <w:rsid w:val="00EA4465"/>
    <w:rsid w:val="00EA51D8"/>
    <w:rsid w:val="00EA6293"/>
    <w:rsid w:val="00EA6377"/>
    <w:rsid w:val="00EB29E6"/>
    <w:rsid w:val="00EB2DFC"/>
    <w:rsid w:val="00EB3D94"/>
    <w:rsid w:val="00EB4448"/>
    <w:rsid w:val="00EB4832"/>
    <w:rsid w:val="00EB51FD"/>
    <w:rsid w:val="00EB579A"/>
    <w:rsid w:val="00EB5DDF"/>
    <w:rsid w:val="00EB5F97"/>
    <w:rsid w:val="00EB6305"/>
    <w:rsid w:val="00EB6A33"/>
    <w:rsid w:val="00EB6D3F"/>
    <w:rsid w:val="00EB70F1"/>
    <w:rsid w:val="00EB77DB"/>
    <w:rsid w:val="00EC06E1"/>
    <w:rsid w:val="00EC2CEC"/>
    <w:rsid w:val="00EC331F"/>
    <w:rsid w:val="00EC3368"/>
    <w:rsid w:val="00EC43A5"/>
    <w:rsid w:val="00EC4831"/>
    <w:rsid w:val="00EC4F61"/>
    <w:rsid w:val="00EC5568"/>
    <w:rsid w:val="00EC6079"/>
    <w:rsid w:val="00EC6E84"/>
    <w:rsid w:val="00EC6F10"/>
    <w:rsid w:val="00EC6FEE"/>
    <w:rsid w:val="00EC7311"/>
    <w:rsid w:val="00ED13C8"/>
    <w:rsid w:val="00ED25DA"/>
    <w:rsid w:val="00ED284A"/>
    <w:rsid w:val="00ED2BAF"/>
    <w:rsid w:val="00ED362C"/>
    <w:rsid w:val="00ED3C5F"/>
    <w:rsid w:val="00ED4982"/>
    <w:rsid w:val="00ED4C08"/>
    <w:rsid w:val="00ED5FCA"/>
    <w:rsid w:val="00ED60CF"/>
    <w:rsid w:val="00ED757B"/>
    <w:rsid w:val="00EE0A78"/>
    <w:rsid w:val="00EE1061"/>
    <w:rsid w:val="00EE1B06"/>
    <w:rsid w:val="00EE29FA"/>
    <w:rsid w:val="00EE2B14"/>
    <w:rsid w:val="00EE4456"/>
    <w:rsid w:val="00EE48E6"/>
    <w:rsid w:val="00EE52D8"/>
    <w:rsid w:val="00EE67F5"/>
    <w:rsid w:val="00EE6DE2"/>
    <w:rsid w:val="00EE7CEC"/>
    <w:rsid w:val="00EF0AC1"/>
    <w:rsid w:val="00EF0F79"/>
    <w:rsid w:val="00EF1009"/>
    <w:rsid w:val="00EF17EC"/>
    <w:rsid w:val="00EF18C7"/>
    <w:rsid w:val="00EF191B"/>
    <w:rsid w:val="00EF25E5"/>
    <w:rsid w:val="00EF274C"/>
    <w:rsid w:val="00EF2FB8"/>
    <w:rsid w:val="00EF3352"/>
    <w:rsid w:val="00EF3C2F"/>
    <w:rsid w:val="00EF4348"/>
    <w:rsid w:val="00EF4B91"/>
    <w:rsid w:val="00EF5E2C"/>
    <w:rsid w:val="00EF651B"/>
    <w:rsid w:val="00EF6AAD"/>
    <w:rsid w:val="00EF7EDE"/>
    <w:rsid w:val="00F00A5E"/>
    <w:rsid w:val="00F00F0F"/>
    <w:rsid w:val="00F00FBC"/>
    <w:rsid w:val="00F01CD2"/>
    <w:rsid w:val="00F03875"/>
    <w:rsid w:val="00F03C5C"/>
    <w:rsid w:val="00F04094"/>
    <w:rsid w:val="00F04872"/>
    <w:rsid w:val="00F04C94"/>
    <w:rsid w:val="00F04F3F"/>
    <w:rsid w:val="00F0523F"/>
    <w:rsid w:val="00F054B9"/>
    <w:rsid w:val="00F05C88"/>
    <w:rsid w:val="00F06742"/>
    <w:rsid w:val="00F07352"/>
    <w:rsid w:val="00F1050B"/>
    <w:rsid w:val="00F10D67"/>
    <w:rsid w:val="00F11188"/>
    <w:rsid w:val="00F11519"/>
    <w:rsid w:val="00F11C43"/>
    <w:rsid w:val="00F11E7F"/>
    <w:rsid w:val="00F12253"/>
    <w:rsid w:val="00F129DD"/>
    <w:rsid w:val="00F1327D"/>
    <w:rsid w:val="00F14010"/>
    <w:rsid w:val="00F14831"/>
    <w:rsid w:val="00F1526A"/>
    <w:rsid w:val="00F1551F"/>
    <w:rsid w:val="00F1664F"/>
    <w:rsid w:val="00F16AF8"/>
    <w:rsid w:val="00F16C7E"/>
    <w:rsid w:val="00F16CE6"/>
    <w:rsid w:val="00F174F5"/>
    <w:rsid w:val="00F1776C"/>
    <w:rsid w:val="00F17BBC"/>
    <w:rsid w:val="00F17C28"/>
    <w:rsid w:val="00F206AA"/>
    <w:rsid w:val="00F20A1E"/>
    <w:rsid w:val="00F21951"/>
    <w:rsid w:val="00F230D7"/>
    <w:rsid w:val="00F23407"/>
    <w:rsid w:val="00F23652"/>
    <w:rsid w:val="00F237A2"/>
    <w:rsid w:val="00F24372"/>
    <w:rsid w:val="00F24620"/>
    <w:rsid w:val="00F249EF"/>
    <w:rsid w:val="00F25615"/>
    <w:rsid w:val="00F25B93"/>
    <w:rsid w:val="00F25C7F"/>
    <w:rsid w:val="00F26A4F"/>
    <w:rsid w:val="00F305E8"/>
    <w:rsid w:val="00F31455"/>
    <w:rsid w:val="00F3201A"/>
    <w:rsid w:val="00F325BF"/>
    <w:rsid w:val="00F32D04"/>
    <w:rsid w:val="00F33203"/>
    <w:rsid w:val="00F3378D"/>
    <w:rsid w:val="00F33A68"/>
    <w:rsid w:val="00F3432A"/>
    <w:rsid w:val="00F3515E"/>
    <w:rsid w:val="00F35441"/>
    <w:rsid w:val="00F358E3"/>
    <w:rsid w:val="00F35B4A"/>
    <w:rsid w:val="00F35FC0"/>
    <w:rsid w:val="00F36B2D"/>
    <w:rsid w:val="00F36BE3"/>
    <w:rsid w:val="00F36C0E"/>
    <w:rsid w:val="00F370FB"/>
    <w:rsid w:val="00F37336"/>
    <w:rsid w:val="00F37ED8"/>
    <w:rsid w:val="00F4030F"/>
    <w:rsid w:val="00F40F3D"/>
    <w:rsid w:val="00F41546"/>
    <w:rsid w:val="00F41C81"/>
    <w:rsid w:val="00F41C83"/>
    <w:rsid w:val="00F41D9F"/>
    <w:rsid w:val="00F41DF6"/>
    <w:rsid w:val="00F42696"/>
    <w:rsid w:val="00F4302C"/>
    <w:rsid w:val="00F43256"/>
    <w:rsid w:val="00F43C55"/>
    <w:rsid w:val="00F44003"/>
    <w:rsid w:val="00F441BE"/>
    <w:rsid w:val="00F44254"/>
    <w:rsid w:val="00F44259"/>
    <w:rsid w:val="00F44557"/>
    <w:rsid w:val="00F448BF"/>
    <w:rsid w:val="00F449AE"/>
    <w:rsid w:val="00F449F5"/>
    <w:rsid w:val="00F44B2F"/>
    <w:rsid w:val="00F44FFD"/>
    <w:rsid w:val="00F45995"/>
    <w:rsid w:val="00F45CE5"/>
    <w:rsid w:val="00F47F75"/>
    <w:rsid w:val="00F50CEF"/>
    <w:rsid w:val="00F50E18"/>
    <w:rsid w:val="00F50FF8"/>
    <w:rsid w:val="00F51AFD"/>
    <w:rsid w:val="00F52597"/>
    <w:rsid w:val="00F530A7"/>
    <w:rsid w:val="00F53A54"/>
    <w:rsid w:val="00F54C01"/>
    <w:rsid w:val="00F56705"/>
    <w:rsid w:val="00F56DD9"/>
    <w:rsid w:val="00F574A7"/>
    <w:rsid w:val="00F578F2"/>
    <w:rsid w:val="00F57D45"/>
    <w:rsid w:val="00F605A8"/>
    <w:rsid w:val="00F61DB8"/>
    <w:rsid w:val="00F61EAC"/>
    <w:rsid w:val="00F61F2C"/>
    <w:rsid w:val="00F621B3"/>
    <w:rsid w:val="00F62AA7"/>
    <w:rsid w:val="00F639FD"/>
    <w:rsid w:val="00F63C8C"/>
    <w:rsid w:val="00F641A6"/>
    <w:rsid w:val="00F645D4"/>
    <w:rsid w:val="00F67445"/>
    <w:rsid w:val="00F67716"/>
    <w:rsid w:val="00F677F0"/>
    <w:rsid w:val="00F7015F"/>
    <w:rsid w:val="00F70442"/>
    <w:rsid w:val="00F72183"/>
    <w:rsid w:val="00F729BE"/>
    <w:rsid w:val="00F72B7B"/>
    <w:rsid w:val="00F72D16"/>
    <w:rsid w:val="00F72DFF"/>
    <w:rsid w:val="00F73045"/>
    <w:rsid w:val="00F74229"/>
    <w:rsid w:val="00F74E09"/>
    <w:rsid w:val="00F75058"/>
    <w:rsid w:val="00F75220"/>
    <w:rsid w:val="00F7547A"/>
    <w:rsid w:val="00F75CBB"/>
    <w:rsid w:val="00F765C1"/>
    <w:rsid w:val="00F766E6"/>
    <w:rsid w:val="00F76728"/>
    <w:rsid w:val="00F76BAC"/>
    <w:rsid w:val="00F76D4A"/>
    <w:rsid w:val="00F76E4F"/>
    <w:rsid w:val="00F7792E"/>
    <w:rsid w:val="00F806B1"/>
    <w:rsid w:val="00F8109E"/>
    <w:rsid w:val="00F81D58"/>
    <w:rsid w:val="00F826C0"/>
    <w:rsid w:val="00F82824"/>
    <w:rsid w:val="00F831C3"/>
    <w:rsid w:val="00F8351A"/>
    <w:rsid w:val="00F83B61"/>
    <w:rsid w:val="00F840B1"/>
    <w:rsid w:val="00F84A38"/>
    <w:rsid w:val="00F84C7C"/>
    <w:rsid w:val="00F856A8"/>
    <w:rsid w:val="00F85946"/>
    <w:rsid w:val="00F8631A"/>
    <w:rsid w:val="00F866EF"/>
    <w:rsid w:val="00F8737C"/>
    <w:rsid w:val="00F87569"/>
    <w:rsid w:val="00F903E5"/>
    <w:rsid w:val="00F9058D"/>
    <w:rsid w:val="00F9117F"/>
    <w:rsid w:val="00F915A1"/>
    <w:rsid w:val="00F9196C"/>
    <w:rsid w:val="00F91BE6"/>
    <w:rsid w:val="00F91D6D"/>
    <w:rsid w:val="00F92B3A"/>
    <w:rsid w:val="00F93920"/>
    <w:rsid w:val="00F952D5"/>
    <w:rsid w:val="00F953D1"/>
    <w:rsid w:val="00F95AC5"/>
    <w:rsid w:val="00F9625F"/>
    <w:rsid w:val="00F96D76"/>
    <w:rsid w:val="00F970B6"/>
    <w:rsid w:val="00FA0CC1"/>
    <w:rsid w:val="00FA1FFE"/>
    <w:rsid w:val="00FA2DBA"/>
    <w:rsid w:val="00FA4473"/>
    <w:rsid w:val="00FA5589"/>
    <w:rsid w:val="00FA60D7"/>
    <w:rsid w:val="00FA75E9"/>
    <w:rsid w:val="00FB09F7"/>
    <w:rsid w:val="00FB10ED"/>
    <w:rsid w:val="00FB182B"/>
    <w:rsid w:val="00FB2A1E"/>
    <w:rsid w:val="00FB2C64"/>
    <w:rsid w:val="00FB3972"/>
    <w:rsid w:val="00FB4A26"/>
    <w:rsid w:val="00FB54DC"/>
    <w:rsid w:val="00FB5978"/>
    <w:rsid w:val="00FB6C9C"/>
    <w:rsid w:val="00FB6E35"/>
    <w:rsid w:val="00FB6F78"/>
    <w:rsid w:val="00FB7749"/>
    <w:rsid w:val="00FC1902"/>
    <w:rsid w:val="00FC2315"/>
    <w:rsid w:val="00FC2D4C"/>
    <w:rsid w:val="00FC35B4"/>
    <w:rsid w:val="00FC3D63"/>
    <w:rsid w:val="00FC4167"/>
    <w:rsid w:val="00FC482A"/>
    <w:rsid w:val="00FC5418"/>
    <w:rsid w:val="00FC5A17"/>
    <w:rsid w:val="00FC60B9"/>
    <w:rsid w:val="00FC6BDD"/>
    <w:rsid w:val="00FC76F0"/>
    <w:rsid w:val="00FD028A"/>
    <w:rsid w:val="00FD0A8C"/>
    <w:rsid w:val="00FD0C0D"/>
    <w:rsid w:val="00FD0CE0"/>
    <w:rsid w:val="00FD6653"/>
    <w:rsid w:val="00FD7920"/>
    <w:rsid w:val="00FE0532"/>
    <w:rsid w:val="00FE10D1"/>
    <w:rsid w:val="00FE1210"/>
    <w:rsid w:val="00FE1424"/>
    <w:rsid w:val="00FE2203"/>
    <w:rsid w:val="00FE245F"/>
    <w:rsid w:val="00FE3099"/>
    <w:rsid w:val="00FE452D"/>
    <w:rsid w:val="00FE5371"/>
    <w:rsid w:val="00FE5583"/>
    <w:rsid w:val="00FE6064"/>
    <w:rsid w:val="00FE60EB"/>
    <w:rsid w:val="00FE6491"/>
    <w:rsid w:val="00FE6497"/>
    <w:rsid w:val="00FE68EB"/>
    <w:rsid w:val="00FE780C"/>
    <w:rsid w:val="00FE7959"/>
    <w:rsid w:val="00FF0F80"/>
    <w:rsid w:val="00FF13CC"/>
    <w:rsid w:val="00FF15D8"/>
    <w:rsid w:val="00FF2072"/>
    <w:rsid w:val="00FF2CFD"/>
    <w:rsid w:val="00FF2FDD"/>
    <w:rsid w:val="00FF3119"/>
    <w:rsid w:val="00FF31C3"/>
    <w:rsid w:val="00FF3886"/>
    <w:rsid w:val="00FF4393"/>
    <w:rsid w:val="00FF4DD4"/>
    <w:rsid w:val="00FF50FF"/>
    <w:rsid w:val="00FF5847"/>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F0458"/>
    <w:pPr>
      <w:widowControl w:val="0"/>
      <w:jc w:val="both"/>
    </w:pPr>
  </w:style>
  <w:style w:type="paragraph" w:styleId="1">
    <w:name w:val="heading 1"/>
    <w:basedOn w:val="a1"/>
    <w:next w:val="a2"/>
    <w:link w:val="11"/>
    <w:autoRedefine/>
    <w:uiPriority w:val="9"/>
    <w:qFormat/>
    <w:rsid w:val="007A5286"/>
    <w:pPr>
      <w:keepNext/>
      <w:numPr>
        <w:numId w:val="39"/>
      </w:numPr>
      <w:outlineLvl w:val="0"/>
    </w:pPr>
    <w:rPr>
      <w:rFonts w:ascii="Times New Roman" w:eastAsiaTheme="minorHAnsi" w:hAnsi="Times New Roman" w:cs="Times New Roman"/>
      <w:b/>
      <w:sz w:val="28"/>
    </w:rPr>
  </w:style>
  <w:style w:type="paragraph" w:styleId="20">
    <w:name w:val="heading 2"/>
    <w:basedOn w:val="a1"/>
    <w:next w:val="a2"/>
    <w:link w:val="22"/>
    <w:uiPriority w:val="9"/>
    <w:unhideWhenUsed/>
    <w:qFormat/>
    <w:rsid w:val="008939D3"/>
    <w:pPr>
      <w:keepNext/>
      <w:numPr>
        <w:ilvl w:val="1"/>
        <w:numId w:val="39"/>
      </w:numPr>
      <w:outlineLvl w:val="1"/>
    </w:pPr>
    <w:rPr>
      <w:rFonts w:ascii="Times New Roman" w:hAnsi="Times New Roman" w:cstheme="majorBidi"/>
      <w:b/>
      <w:sz w:val="24"/>
    </w:rPr>
  </w:style>
  <w:style w:type="paragraph" w:styleId="3">
    <w:name w:val="heading 3"/>
    <w:basedOn w:val="a1"/>
    <w:next w:val="a2"/>
    <w:link w:val="30"/>
    <w:uiPriority w:val="9"/>
    <w:unhideWhenUsed/>
    <w:qFormat/>
    <w:rsid w:val="002A56BC"/>
    <w:pPr>
      <w:keepNext/>
      <w:numPr>
        <w:ilvl w:val="2"/>
        <w:numId w:val="39"/>
      </w:numPr>
      <w:outlineLvl w:val="2"/>
    </w:pPr>
    <w:rPr>
      <w:rFonts w:ascii="Times New Roman" w:eastAsia="游明朝" w:hAnsi="Times New Roman" w:cstheme="majorBidi"/>
      <w:b/>
      <w:sz w:val="24"/>
    </w:rPr>
  </w:style>
  <w:style w:type="paragraph" w:styleId="4">
    <w:name w:val="heading 4"/>
    <w:aliases w:val="タイトル"/>
    <w:basedOn w:val="a1"/>
    <w:next w:val="a1"/>
    <w:link w:val="40"/>
    <w:uiPriority w:val="9"/>
    <w:unhideWhenUsed/>
    <w:qFormat/>
    <w:rsid w:val="001B06A7"/>
    <w:pPr>
      <w:keepNext/>
      <w:jc w:val="center"/>
      <w:outlineLvl w:val="3"/>
    </w:pPr>
    <w:rPr>
      <w:rFonts w:ascii="Times New Roman" w:hAnsi="Times New Roman"/>
      <w:b/>
      <w:bCs/>
      <w:sz w:val="32"/>
    </w:rPr>
  </w:style>
  <w:style w:type="paragraph" w:styleId="5">
    <w:name w:val="heading 5"/>
    <w:aliases w:val="Appendix"/>
    <w:basedOn w:val="1"/>
    <w:next w:val="a2"/>
    <w:link w:val="50"/>
    <w:uiPriority w:val="9"/>
    <w:unhideWhenUsed/>
    <w:qFormat/>
    <w:rsid w:val="00863F97"/>
    <w:pPr>
      <w:numPr>
        <w:numId w:val="29"/>
      </w:numPr>
      <w:ind w:left="1219" w:hanging="1219"/>
      <w:outlineLvl w:val="4"/>
    </w:pPr>
    <w:rPr>
      <w:rFonts w:eastAsia="游明朝"/>
      <w:sz w:val="24"/>
    </w:rPr>
  </w:style>
  <w:style w:type="paragraph" w:styleId="6">
    <w:name w:val="heading 6"/>
    <w:basedOn w:val="a1"/>
    <w:next w:val="a1"/>
    <w:link w:val="60"/>
    <w:uiPriority w:val="9"/>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3">
    <w:name w:val="段落2"/>
    <w:basedOn w:val="a6"/>
    <w:next w:val="a6"/>
    <w:link w:val="24"/>
    <w:autoRedefine/>
    <w:rsid w:val="00350DC9"/>
    <w:rPr>
      <w:sz w:val="24"/>
    </w:rPr>
  </w:style>
  <w:style w:type="character" w:customStyle="1" w:styleId="24">
    <w:name w:val="段落2 (文字)"/>
    <w:basedOn w:val="a7"/>
    <w:link w:val="23"/>
    <w:rsid w:val="0048323B"/>
    <w:rPr>
      <w:sz w:val="24"/>
    </w:rPr>
  </w:style>
  <w:style w:type="numbering" w:customStyle="1" w:styleId="10">
    <w:name w:val="スタイル1"/>
    <w:uiPriority w:val="99"/>
    <w:rsid w:val="00EC6E84"/>
    <w:pPr>
      <w:numPr>
        <w:numId w:val="1"/>
      </w:numPr>
    </w:pPr>
  </w:style>
  <w:style w:type="numbering" w:customStyle="1" w:styleId="2">
    <w:name w:val="スタイル2"/>
    <w:uiPriority w:val="99"/>
    <w:rsid w:val="008939D3"/>
    <w:pPr>
      <w:numPr>
        <w:numId w:val="2"/>
      </w:numPr>
    </w:pPr>
  </w:style>
  <w:style w:type="numbering" w:customStyle="1" w:styleId="a">
    <w:name w:val="スタイル３"/>
    <w:uiPriority w:val="99"/>
    <w:rsid w:val="008939D3"/>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2">
    <w:name w:val="見出し 2 (文字)"/>
    <w:basedOn w:val="a3"/>
    <w:link w:val="20"/>
    <w:uiPriority w:val="9"/>
    <w:rsid w:val="00611473"/>
    <w:rPr>
      <w:rFonts w:ascii="Times New Roman" w:hAnsi="Times New Roman" w:cstheme="majorBidi"/>
      <w:b/>
      <w:sz w:val="24"/>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
    <w:uiPriority w:val="9"/>
    <w:rsid w:val="007A5286"/>
    <w:rPr>
      <w:rFonts w:ascii="Times New Roman" w:eastAsiaTheme="minorHAnsi" w:hAnsi="Times New Roman" w:cs="Times New Roman"/>
      <w:b/>
      <w:sz w:val="28"/>
    </w:rPr>
  </w:style>
  <w:style w:type="paragraph" w:styleId="a8">
    <w:name w:val="List Paragraph"/>
    <w:basedOn w:val="a1"/>
    <w:uiPriority w:val="1"/>
    <w:rsid w:val="0081321E"/>
    <w:pPr>
      <w:ind w:leftChars="400" w:left="840"/>
    </w:pPr>
  </w:style>
  <w:style w:type="character" w:customStyle="1" w:styleId="30">
    <w:name w:val="見出し 3 (文字)"/>
    <w:basedOn w:val="a3"/>
    <w:link w:val="3"/>
    <w:uiPriority w:val="9"/>
    <w:rsid w:val="002A56BC"/>
    <w:rPr>
      <w:rFonts w:ascii="Times New Roman" w:eastAsia="游明朝" w:hAnsi="Times New Roman" w:cstheme="majorBidi"/>
      <w:b/>
      <w:sz w:val="24"/>
    </w:rPr>
  </w:style>
  <w:style w:type="character" w:customStyle="1" w:styleId="40">
    <w:name w:val="見出し 4 (文字)"/>
    <w:aliases w:val="タイトル (文字)"/>
    <w:basedOn w:val="a3"/>
    <w:link w:val="4"/>
    <w:uiPriority w:val="9"/>
    <w:rsid w:val="001B06A7"/>
    <w:rPr>
      <w:rFonts w:ascii="Times New Roman" w:hAnsi="Times New Roman"/>
      <w:b/>
      <w:bCs/>
      <w:sz w:val="32"/>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aliases w:val="Appendix (文字)"/>
    <w:basedOn w:val="a3"/>
    <w:link w:val="5"/>
    <w:uiPriority w:val="9"/>
    <w:rsid w:val="00863F97"/>
    <w:rPr>
      <w:rFonts w:ascii="Times New Roman" w:eastAsia="游明朝" w:hAnsi="Times New Roman" w:cs="Times New Roman"/>
      <w:b/>
      <w:sz w:val="24"/>
    </w:rPr>
  </w:style>
  <w:style w:type="character" w:customStyle="1" w:styleId="60">
    <w:name w:val="見出し 6 (文字)"/>
    <w:basedOn w:val="a3"/>
    <w:link w:val="6"/>
    <w:uiPriority w:val="9"/>
    <w:rsid w:val="00862A91"/>
    <w:rPr>
      <w:b/>
      <w:bCs/>
      <w:szCs w:val="24"/>
    </w:rPr>
  </w:style>
  <w:style w:type="character" w:styleId="aff">
    <w:name w:val="Strong"/>
    <w:basedOn w:val="a3"/>
    <w:uiPriority w:val="22"/>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unhideWhenUsed/>
    <w:rsid w:val="0029554D"/>
    <w:pPr>
      <w:ind w:firstLineChars="100" w:firstLine="210"/>
    </w:pPr>
  </w:style>
  <w:style w:type="character" w:customStyle="1" w:styleId="aff1">
    <w:name w:val="本文字下げ (文字)"/>
    <w:basedOn w:val="a7"/>
    <w:link w:val="a2"/>
    <w:uiPriority w:val="99"/>
    <w:rsid w:val="0029554D"/>
    <w:rPr>
      <w:szCs w:val="24"/>
    </w:rPr>
  </w:style>
  <w:style w:type="character" w:styleId="aff2">
    <w:name w:val="Subtle Reference"/>
    <w:basedOn w:val="a3"/>
    <w:uiPriority w:val="31"/>
    <w:rsid w:val="008939D3"/>
    <w:rPr>
      <w:smallCaps/>
      <w:color w:val="5A5A5A" w:themeColor="text1" w:themeTint="A5"/>
    </w:rPr>
  </w:style>
  <w:style w:type="paragraph" w:styleId="aff3">
    <w:name w:val="Body Text Indent"/>
    <w:basedOn w:val="a1"/>
    <w:link w:val="aff4"/>
    <w:uiPriority w:val="99"/>
    <w:semiHidden/>
    <w:unhideWhenUsed/>
    <w:rsid w:val="00F07352"/>
    <w:pPr>
      <w:ind w:leftChars="400" w:left="851"/>
    </w:pPr>
  </w:style>
  <w:style w:type="character" w:customStyle="1" w:styleId="aff4">
    <w:name w:val="本文インデント (文字)"/>
    <w:basedOn w:val="a3"/>
    <w:link w:val="aff3"/>
    <w:uiPriority w:val="99"/>
    <w:semiHidden/>
    <w:rsid w:val="00F07352"/>
    <w:rPr>
      <w:szCs w:val="24"/>
    </w:rPr>
  </w:style>
  <w:style w:type="character" w:styleId="25">
    <w:name w:val="Intense Reference"/>
    <w:basedOn w:val="a3"/>
    <w:uiPriority w:val="32"/>
    <w:qFormat/>
    <w:rsid w:val="008939D3"/>
    <w:rPr>
      <w:b/>
      <w:bCs/>
      <w:smallCaps/>
      <w:color w:val="4472C4" w:themeColor="accent1"/>
      <w:spacing w:val="5"/>
    </w:rPr>
  </w:style>
  <w:style w:type="numbering" w:customStyle="1" w:styleId="21">
    <w:name w:val="見出し2"/>
    <w:uiPriority w:val="99"/>
    <w:rsid w:val="008939D3"/>
    <w:pPr>
      <w:numPr>
        <w:numId w:val="34"/>
      </w:numPr>
    </w:pPr>
  </w:style>
  <w:style w:type="paragraph" w:styleId="26">
    <w:name w:val="Body Text First Indent 2"/>
    <w:basedOn w:val="aff3"/>
    <w:link w:val="27"/>
    <w:uiPriority w:val="99"/>
    <w:semiHidden/>
    <w:unhideWhenUsed/>
    <w:rsid w:val="00B97282"/>
    <w:pPr>
      <w:ind w:firstLineChars="100" w:firstLine="210"/>
    </w:pPr>
  </w:style>
  <w:style w:type="character" w:customStyle="1" w:styleId="27">
    <w:name w:val="本文字下げ 2 (文字)"/>
    <w:basedOn w:val="aff4"/>
    <w:link w:val="26"/>
    <w:uiPriority w:val="99"/>
    <w:semiHidden/>
    <w:rsid w:val="00B9728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6</Pages>
  <Words>630</Words>
  <Characters>3593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180</cp:revision>
  <dcterms:created xsi:type="dcterms:W3CDTF">2022-05-07T05:50:00Z</dcterms:created>
  <dcterms:modified xsi:type="dcterms:W3CDTF">2022-05-22T14:10:00Z</dcterms:modified>
</cp:coreProperties>
</file>