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rPr>
        <w:t>W-CERT: Women-Centric Cyber Emergency Response &amp; Threat-Analysis Framework</w:t>
      </w:r>
    </w:p>
    <w:p>
      <w:r>
        <w:t>Detailed Executive Summary &amp; Technical Architecture Documentation</w:t>
        <w:br/>
        <w:t>Capstone Project — April 2026</w:t>
        <w:br/>
      </w:r>
    </w:p>
    <w:p>
      <w:pPr>
        <w:pStyle w:val="Heading1"/>
      </w:pPr>
      <w:r>
        <w:rPr>
          <w:color w:val="006699"/>
        </w:rPr>
        <w:t>1. Technical Stack &amp; Architecture</w:t>
      </w:r>
    </w:p>
    <w:p>
      <w:pPr>
        <w:pStyle w:val="Heading2"/>
      </w:pPr>
      <w:r>
        <w:rPr>
          <w:color w:val="006699"/>
        </w:rPr>
        <w:t>1.1 Frontend (Presentation Layer)</w:t>
      </w:r>
    </w:p>
    <w:p>
      <w:r>
        <w:rPr>
          <w:b w:val="0"/>
          <w:sz w:val="22"/>
        </w:rPr>
        <w:t>• Framework: React 18 built with Vite for optimized Hot Module Replacement (HMR) and fast production builds.</w:t>
      </w:r>
    </w:p>
    <w:p>
      <w:r>
        <w:rPr>
          <w:b w:val="0"/>
          <w:sz w:val="22"/>
        </w:rPr>
        <w:t>• Styling: Tailwind CSS configured with a custom dark-mode "Cyber" theme, utilizing deep blacks, vibrant neon accents (cyan, orange, red), and glassmorphism effects for a modern forensic look.</w:t>
      </w:r>
    </w:p>
    <w:p>
      <w:r>
        <w:rPr>
          <w:b w:val="0"/>
          <w:sz w:val="22"/>
        </w:rPr>
        <w:t>• Routing &amp; State: React Router v6 handles client-side routing. Role-based Protected Routes prevent unauthorized access to Analyst/Admin dashboards.</w:t>
      </w:r>
    </w:p>
    <w:p>
      <w:r>
        <w:rPr>
          <w:b w:val="0"/>
          <w:sz w:val="22"/>
        </w:rPr>
        <w:t>• Data Visualization: Chart.js via react-chartjs-2. Implements Doughnut charts for severity distribution and Bar charts for attack type analysis based on real-time backend statistics.</w:t>
      </w:r>
    </w:p>
    <w:p>
      <w:r>
        <w:rPr>
          <w:b w:val="0"/>
          <w:sz w:val="22"/>
        </w:rPr>
        <w:t>• HTTP Client: Axios configured with global request/response interceptors to automatically attach JWT Bearer tokens and handle 401 Unauthorized expirations seamlessly.</w:t>
      </w:r>
    </w:p>
    <w:p>
      <w:pPr>
        <w:pStyle w:val="Heading2"/>
      </w:pPr>
      <w:r>
        <w:rPr>
          <w:color w:val="006699"/>
        </w:rPr>
        <w:t>1.2 Backend (Application &amp; Logic Layer)</w:t>
      </w:r>
    </w:p>
    <w:p>
      <w:r>
        <w:rPr>
          <w:b w:val="0"/>
          <w:sz w:val="22"/>
        </w:rPr>
        <w:t>• Framework: Python Flask 3.0 configured with Flask-CORS for secure cross-origin requests from the Vercel frontend.</w:t>
      </w:r>
    </w:p>
    <w:p>
      <w:r>
        <w:rPr>
          <w:b w:val="0"/>
          <w:sz w:val="22"/>
        </w:rPr>
        <w:t>• Authentication: Flask-JWT-Extended handling both Access and Refresh tokens for session lifecycle management.</w:t>
      </w:r>
    </w:p>
    <w:p>
      <w:r>
        <w:rPr>
          <w:b w:val="0"/>
          <w:sz w:val="22"/>
        </w:rPr>
        <w:t>• AI &amp; RAG Engine: Google Gemini 1.5 Flash (via google-genai SDK). Implements a multimodal Vision AI pipeline to cross-reference victim descriptions with uploaded evidentiary images (screenshots, PDFs). Also implements a lightweight Retrieval-Augmented Generation (RAG) system that injects similar historical cases into the AI prompt context.</w:t>
      </w:r>
    </w:p>
    <w:p>
      <w:r>
        <w:rPr>
          <w:b w:val="0"/>
          <w:sz w:val="22"/>
        </w:rPr>
        <w:t>• Production Server: Gunicorn 21.2 serving the WSGI application.</w:t>
      </w:r>
    </w:p>
    <w:p>
      <w:pPr>
        <w:pStyle w:val="Heading2"/>
      </w:pPr>
      <w:r>
        <w:rPr>
          <w:color w:val="006699"/>
        </w:rPr>
        <w:t>1.3 Database &amp; Storage (Data Layer)</w:t>
      </w:r>
    </w:p>
    <w:p>
      <w:r>
        <w:rPr>
          <w:b w:val="0"/>
          <w:sz w:val="22"/>
        </w:rPr>
        <w:t>• Serverless Database: Google Sheets serves as a serverless NoSQL database via the gspread library and Google Service Accounts. A custom in-memory caching mechanism with a 60-second TTL prevents Google API rate limits (HTTP 429).</w:t>
      </w:r>
    </w:p>
    <w:p>
      <w:r>
        <w:rPr>
          <w:b w:val="0"/>
          <w:sz w:val="22"/>
        </w:rPr>
        <w:t>• Schema Breakdown:</w:t>
      </w:r>
    </w:p>
    <w:p>
      <w:r>
        <w:rPr>
          <w:b w:val="0"/>
          <w:sz w:val="22"/>
        </w:rPr>
        <w:t xml:space="preserve">    - Incidents: 23 columns storing encrypted PII, AI-generated reasoning, threat scores, IPC sections, and encrypted state locations for dynamic jurisdictional routing.</w:t>
      </w:r>
    </w:p>
    <w:p>
      <w:r>
        <w:rPr>
          <w:b w:val="0"/>
          <w:sz w:val="22"/>
        </w:rPr>
        <w:t xml:space="preserve">    - Users: Stores hashed passwords and Role-Based Access Control (RBAC) definitions.</w:t>
      </w:r>
    </w:p>
    <w:p>
      <w:r>
        <w:rPr>
          <w:b w:val="0"/>
          <w:sz w:val="22"/>
        </w:rPr>
        <w:t xml:space="preserve">    - Evidence_Metadata: Tracks file hashes, MIME types, storage paths, and uploader IDs.</w:t>
      </w:r>
    </w:p>
    <w:p>
      <w:r>
        <w:rPr>
          <w:b w:val="0"/>
          <w:sz w:val="22"/>
        </w:rPr>
        <w:t xml:space="preserve">    - Escalations: Maps incidents to target Indian State Cyber Crime authorities.</w:t>
      </w:r>
    </w:p>
    <w:p>
      <w:r>
        <w:rPr>
          <w:b w:val="0"/>
          <w:sz w:val="22"/>
        </w:rPr>
        <w:t xml:space="preserve">    - Audit_Log: An append-only ledger for all system interactions.</w:t>
      </w:r>
    </w:p>
    <w:p>
      <w:pPr>
        <w:pStyle w:val="Heading1"/>
      </w:pPr>
      <w:r>
        <w:rPr>
          <w:color w:val="006699"/>
        </w:rPr>
        <w:t>2. Security, Hashing &amp; Encryption</w:t>
      </w:r>
    </w:p>
    <w:p>
      <w:pPr>
        <w:pStyle w:val="Heading2"/>
      </w:pPr>
      <w:r>
        <w:rPr>
          <w:color w:val="006699"/>
        </w:rPr>
        <w:t>2.1 Encryption at Rest (AES-128-CBC)</w:t>
      </w:r>
    </w:p>
    <w:p>
      <w:r>
        <w:rPr>
          <w:b w:val="0"/>
          <w:sz w:val="22"/>
        </w:rPr>
        <w:t>All Personally Identifiable Information (PII) — specifically victim names, contact details, and geolocation data — is encrypted before database insertion using the cryptography library's Fernet implementation (AES-128-CBC with HMAC-SHA256 authentication). The decryption key is injected strictly via environment variables.</w:t>
      </w:r>
    </w:p>
    <w:p>
      <w:pPr>
        <w:pStyle w:val="Heading2"/>
      </w:pPr>
      <w:r>
        <w:rPr>
          <w:color w:val="006699"/>
        </w:rPr>
        <w:t>2.2 Forensic SHA-256 Hashing</w:t>
      </w:r>
    </w:p>
    <w:p>
      <w:r>
        <w:rPr>
          <w:b w:val="0"/>
          <w:sz w:val="22"/>
        </w:rPr>
        <w:t>To ensure legal admissibility, the platform implements forensic hashing:</w:t>
      </w:r>
    </w:p>
    <w:p>
      <w:r>
        <w:rPr>
          <w:b w:val="0"/>
          <w:sz w:val="22"/>
        </w:rPr>
        <w:t>• Content Hashing: Every incident description is hashed (SHA-256) at submission. Any subsequent tampering with the database record will trigger an integrity mismatch.</w:t>
      </w:r>
    </w:p>
    <w:p>
      <w:r>
        <w:rPr>
          <w:b w:val="0"/>
          <w:sz w:val="22"/>
        </w:rPr>
        <w:t>• Evidence Hashing: Uploaded files are hashed as raw bytes in memory (or chunked via 8192-byte blocks for large files). The hash serves as the immutable digital fingerprint of the evidence.</w:t>
      </w:r>
    </w:p>
    <w:p>
      <w:pPr>
        <w:pStyle w:val="Heading2"/>
      </w:pPr>
      <w:r>
        <w:rPr>
          <w:color w:val="006699"/>
        </w:rPr>
        <w:t>2.3 Chain of Custody &amp; Audit Logging</w:t>
      </w:r>
    </w:p>
    <w:p>
      <w:r>
        <w:rPr>
          <w:b w:val="0"/>
          <w:sz w:val="22"/>
        </w:rPr>
        <w:t>An append-only Chain of Custody ledger records every access to evidence (UPLOAD, VIEW, DOWNLOAD, VERIFY, INTEGRITY_CHECK). Simultaneously, an Audit Log tracks all system-level actions (LOGIN, STATUS_UPDATED, ESCALATION_CREATED, USER_ROLE_CHANGED). Both logs capture User ID, IP Address (including X-Forwarded-For proxy support), and exact timestamps.</w:t>
      </w:r>
    </w:p>
    <w:p>
      <w:pPr>
        <w:pStyle w:val="Heading2"/>
      </w:pPr>
      <w:r>
        <w:rPr>
          <w:color w:val="006699"/>
        </w:rPr>
        <w:t>2.4 Authentication &amp; RBAC</w:t>
      </w:r>
    </w:p>
    <w:p>
      <w:r>
        <w:rPr>
          <w:b w:val="0"/>
          <w:sz w:val="22"/>
        </w:rPr>
        <w:t>Passwords use Werkzeug's PBKDF2-HMAC-SHA256 hashing with random salting. Access is controlled via JWTs containing Role claims: USER (submit reports), ANALYST (triage/investigate), and ADMIN (full system access). The @role_required decorator enforces endpoint security.</w:t>
      </w:r>
    </w:p>
    <w:p>
      <w:pPr>
        <w:pStyle w:val="Heading1"/>
      </w:pPr>
      <w:r>
        <w:rPr>
          <w:color w:val="006699"/>
        </w:rPr>
        <w:t>3. Key Libraries &amp; Dependencies</w:t>
      </w:r>
    </w:p>
    <w:tbl>
      <w:tblPr>
        <w:tblStyle w:val="TableGrid"/>
        <w:tblW w:type="auto" w:w="0"/>
        <w:tblLook w:firstColumn="1" w:firstRow="1" w:lastColumn="0" w:lastRow="0" w:noHBand="0" w:noVBand="1" w:val="04A0"/>
      </w:tblPr>
      <w:tblGrid>
        <w:gridCol w:w="2880"/>
        <w:gridCol w:w="2880"/>
        <w:gridCol w:w="2880"/>
      </w:tblGrid>
      <w:tr>
        <w:tc>
          <w:tcPr>
            <w:tcW w:type="dxa" w:w="2880"/>
          </w:tcPr>
          <w:p>
            <w:r>
              <w:t>Library</w:t>
            </w:r>
          </w:p>
        </w:tc>
        <w:tc>
          <w:tcPr>
            <w:tcW w:type="dxa" w:w="2880"/>
          </w:tcPr>
          <w:p>
            <w:r>
              <w:t>Version</w:t>
            </w:r>
          </w:p>
        </w:tc>
        <w:tc>
          <w:tcPr>
            <w:tcW w:type="dxa" w:w="2880"/>
          </w:tcPr>
          <w:p>
            <w:r>
              <w:t>Critical Purpose</w:t>
            </w:r>
          </w:p>
        </w:tc>
      </w:tr>
      <w:tr>
        <w:tc>
          <w:tcPr>
            <w:tcW w:type="dxa" w:w="2880"/>
          </w:tcPr>
          <w:p>
            <w:r>
              <w:t>Flask / Werkzeug</w:t>
            </w:r>
          </w:p>
        </w:tc>
        <w:tc>
          <w:tcPr>
            <w:tcW w:type="dxa" w:w="2880"/>
          </w:tcPr>
          <w:p>
            <w:r>
              <w:t>3.0.x</w:t>
            </w:r>
          </w:p>
        </w:tc>
        <w:tc>
          <w:tcPr>
            <w:tcW w:type="dxa" w:w="2880"/>
          </w:tcPr>
          <w:p>
            <w:r>
              <w:t>REST API framework &amp; PBKDF2 hashing</w:t>
            </w:r>
          </w:p>
        </w:tc>
      </w:tr>
      <w:tr>
        <w:tc>
          <w:tcPr>
            <w:tcW w:type="dxa" w:w="2880"/>
          </w:tcPr>
          <w:p>
            <w:r>
              <w:t>Flask-JWT-Extended</w:t>
            </w:r>
          </w:p>
        </w:tc>
        <w:tc>
          <w:tcPr>
            <w:tcW w:type="dxa" w:w="2880"/>
          </w:tcPr>
          <w:p>
            <w:r>
              <w:t>4.6.0</w:t>
            </w:r>
          </w:p>
        </w:tc>
        <w:tc>
          <w:tcPr>
            <w:tcW w:type="dxa" w:w="2880"/>
          </w:tcPr>
          <w:p>
            <w:r>
              <w:t>Access/Refresh Token lifecycle &amp; RBAC</w:t>
            </w:r>
          </w:p>
        </w:tc>
      </w:tr>
      <w:tr>
        <w:tc>
          <w:tcPr>
            <w:tcW w:type="dxa" w:w="2880"/>
          </w:tcPr>
          <w:p>
            <w:r>
              <w:t>gspread / oauth2client</w:t>
            </w:r>
          </w:p>
        </w:tc>
        <w:tc>
          <w:tcPr>
            <w:tcW w:type="dxa" w:w="2880"/>
          </w:tcPr>
          <w:p>
            <w:r>
              <w:t>6.0.0</w:t>
            </w:r>
          </w:p>
        </w:tc>
        <w:tc>
          <w:tcPr>
            <w:tcW w:type="dxa" w:w="2880"/>
          </w:tcPr>
          <w:p>
            <w:r>
              <w:t>Google Sheets interaction and authentication</w:t>
            </w:r>
          </w:p>
        </w:tc>
      </w:tr>
      <w:tr>
        <w:tc>
          <w:tcPr>
            <w:tcW w:type="dxa" w:w="2880"/>
          </w:tcPr>
          <w:p>
            <w:r>
              <w:t>cryptography</w:t>
            </w:r>
          </w:p>
        </w:tc>
        <w:tc>
          <w:tcPr>
            <w:tcW w:type="dxa" w:w="2880"/>
          </w:tcPr>
          <w:p>
            <w:r>
              <w:t>41.0.7</w:t>
            </w:r>
          </w:p>
        </w:tc>
        <w:tc>
          <w:tcPr>
            <w:tcW w:type="dxa" w:w="2880"/>
          </w:tcPr>
          <w:p>
            <w:r>
              <w:t>Fernet AES encryption for PII protection</w:t>
            </w:r>
          </w:p>
        </w:tc>
      </w:tr>
      <w:tr>
        <w:tc>
          <w:tcPr>
            <w:tcW w:type="dxa" w:w="2880"/>
          </w:tcPr>
          <w:p>
            <w:r>
              <w:t>google-generativeai</w:t>
            </w:r>
          </w:p>
        </w:tc>
        <w:tc>
          <w:tcPr>
            <w:tcW w:type="dxa" w:w="2880"/>
          </w:tcPr>
          <w:p>
            <w:r>
              <w:t>0.8.0</w:t>
            </w:r>
          </w:p>
        </w:tc>
        <w:tc>
          <w:tcPr>
            <w:tcW w:type="dxa" w:w="2880"/>
          </w:tcPr>
          <w:p>
            <w:r>
              <w:t>Gemini 1.5 Flash Vision AI integration</w:t>
            </w:r>
          </w:p>
        </w:tc>
      </w:tr>
      <w:tr>
        <w:tc>
          <w:tcPr>
            <w:tcW w:type="dxa" w:w="2880"/>
          </w:tcPr>
          <w:p>
            <w:r>
              <w:t>gunicorn</w:t>
            </w:r>
          </w:p>
        </w:tc>
        <w:tc>
          <w:tcPr>
            <w:tcW w:type="dxa" w:w="2880"/>
          </w:tcPr>
          <w:p>
            <w:r>
              <w:t>21.2.0</w:t>
            </w:r>
          </w:p>
        </w:tc>
        <w:tc>
          <w:tcPr>
            <w:tcW w:type="dxa" w:w="2880"/>
          </w:tcPr>
          <w:p>
            <w:r>
              <w:t>Production WSGI serving on Render.com</w:t>
            </w:r>
          </w:p>
        </w:tc>
      </w:tr>
      <w:tr>
        <w:tc>
          <w:tcPr>
            <w:tcW w:type="dxa" w:w="2880"/>
          </w:tcPr>
          <w:p>
            <w:r>
              <w:t>React / Vite</w:t>
            </w:r>
          </w:p>
        </w:tc>
        <w:tc>
          <w:tcPr>
            <w:tcW w:type="dxa" w:w="2880"/>
          </w:tcPr>
          <w:p>
            <w:r>
              <w:t>18 / 5</w:t>
            </w:r>
          </w:p>
        </w:tc>
        <w:tc>
          <w:tcPr>
            <w:tcW w:type="dxa" w:w="2880"/>
          </w:tcPr>
          <w:p>
            <w:r>
              <w:t>Component-based UI and HMR build tooling</w:t>
            </w:r>
          </w:p>
        </w:tc>
      </w:tr>
      <w:tr>
        <w:tc>
          <w:tcPr>
            <w:tcW w:type="dxa" w:w="2880"/>
          </w:tcPr>
          <w:p>
            <w:r>
              <w:t>Tailwind CSS</w:t>
            </w:r>
          </w:p>
        </w:tc>
        <w:tc>
          <w:tcPr>
            <w:tcW w:type="dxa" w:w="2880"/>
          </w:tcPr>
          <w:p>
            <w:r>
              <w:t>3.x</w:t>
            </w:r>
          </w:p>
        </w:tc>
        <w:tc>
          <w:tcPr>
            <w:tcW w:type="dxa" w:w="2880"/>
          </w:tcPr>
          <w:p>
            <w:r>
              <w:t>Utility-first styling for cyber aesthetics</w:t>
            </w:r>
          </w:p>
        </w:tc>
      </w:tr>
    </w:tbl>
    <w:p>
      <w:pPr>
        <w:pStyle w:val="Heading1"/>
      </w:pPr>
      <w:r>
        <w:rPr>
          <w:color w:val="006699"/>
        </w:rPr>
        <w:t>4. Deployment Architecture</w:t>
      </w:r>
    </w:p>
    <w:p>
      <w:pPr>
        <w:pStyle w:val="Heading2"/>
      </w:pPr>
      <w:r>
        <w:rPr>
          <w:color w:val="006699"/>
        </w:rPr>
        <w:t>4.1 Frontend — Vercel (Edge Network)</w:t>
      </w:r>
    </w:p>
    <w:p>
      <w:r>
        <w:rPr>
          <w:b w:val="0"/>
          <w:sz w:val="22"/>
        </w:rPr>
        <w:t>The frontend is hosted on Vercel, leveraging its global CDN and serverless edge architecture for sub-100ms load times. The application is built dynamically, picking up the production VITE_API_URL environment variable to communicate with the Render backend.</w:t>
      </w:r>
    </w:p>
    <w:p>
      <w:pPr>
        <w:pStyle w:val="Heading2"/>
      </w:pPr>
      <w:r>
        <w:rPr>
          <w:color w:val="006699"/>
        </w:rPr>
        <w:t>4.2 Backend — Render.com (Persistent Web Service)</w:t>
      </w:r>
    </w:p>
    <w:p>
      <w:r>
        <w:rPr>
          <w:b w:val="0"/>
          <w:sz w:val="22"/>
        </w:rPr>
        <w:t>Crucially, the Flask backend is deployed on Render as a persistent web service rather than a serverless function. Serverless architectures (like AWS Lambda or Vercel Functions) terminate after each request, which would destroy the W-CERT in-memory Google Sheets cache and immediately trigger Google API Rate Limit bans (HTTP 429). Render keeps the process alive continuously, maintaining the cache and WebSocket connections.</w:t>
      </w:r>
    </w:p>
    <w:p>
      <w:pPr>
        <w:pStyle w:val="Heading2"/>
      </w:pPr>
      <w:r>
        <w:rPr>
          <w:color w:val="006699"/>
        </w:rPr>
        <w:t>4.3 Database Configurations</w:t>
      </w:r>
    </w:p>
    <w:p>
      <w:r>
        <w:rPr>
          <w:b w:val="0"/>
          <w:sz w:val="22"/>
        </w:rPr>
        <w:t>Instead of uploading sensitive JSON credential files to servers, the Google Service Account JSON is injected securely as the SERVICE_ACCOUNT_JSON environment variable. The application parses this at runtime to authenticate with the Google Sheets API.</w:t>
      </w:r>
    </w:p>
    <w:p>
      <w:pPr>
        <w:pStyle w:val="Heading1"/>
      </w:pPr>
      <w:r>
        <w:rPr>
          <w:color w:val="006699"/>
        </w:rPr>
        <w:t>5. Application Interface — Detailed Breakdown</w:t>
      </w:r>
    </w:p>
    <w:p>
      <w:r>
        <w:rPr>
          <w:b w:val="0"/>
          <w:sz w:val="22"/>
        </w:rPr>
        <w:t>• Report Incident: A dynamic multi-step form for victims. It silently queries ipapi.co to determine the victim's state (e.g., Karnataka) for future law enforcement routing. This data is encrypted. Victims can upload multiple evidence files, which are instantly hashed.</w:t>
      </w:r>
    </w:p>
    <w:p>
      <w:r>
        <w:rPr>
          <w:b w:val="0"/>
          <w:sz w:val="22"/>
        </w:rPr>
        <w:t>• Dashboard Overview: Features four live KPI cards (Total, Critical, Resolved, Escalated). Uses Chart.js to map Severity Distribution (Doughnut) and Attack Types (Bar chart).</w:t>
      </w:r>
    </w:p>
    <w:p>
      <w:r>
        <w:rPr>
          <w:b w:val="0"/>
          <w:sz w:val="22"/>
        </w:rPr>
        <w:t>• Incidents List: A searchable, paginated table of cases with color-coded severity badges.</w:t>
      </w:r>
    </w:p>
    <w:p>
      <w:r>
        <w:rPr>
          <w:b w:val="0"/>
          <w:sz w:val="22"/>
        </w:rPr>
        <w:t>• Incident Detail (Forensic View): The core of the platform. Displays:</w:t>
        <w:br/>
        <w:t xml:space="preserve">  - Explainable AI (XAI) Reasoning</w:t>
        <w:br/>
        <w:t xml:space="preserve">  - Score Breakdown (Evidence Match out of 40, Threat Indicators out of 30, Urgency out of 20, Vulnerability out of 10)</w:t>
        <w:br/>
        <w:t xml:space="preserve">  - Relevant Indian Penal Code (IPC) and IT Act sections</w:t>
        <w:br/>
        <w:t xml:space="preserve">  - Evidence Gaps (what the analyst should ask the victim for)</w:t>
        <w:br/>
        <w:t xml:space="preserve">  - Immutable Evidence Files with SHA-256 hashes</w:t>
        <w:br/>
        <w:t xml:space="preserve">  - Encrypted PII Vault (click-to-decrypt)</w:t>
      </w:r>
    </w:p>
    <w:p>
      <w:r>
        <w:rPr>
          <w:b w:val="0"/>
          <w:sz w:val="22"/>
        </w:rPr>
        <w:t>• Escalations: Shows cases routed to specific Indian State authorities (e.g., "Karnataka CID Cyber Crime"). Contains a custom Modal that dynamically injects correct nodal emails and phone numbers based on the victim's decrypted state.</w:t>
      </w:r>
    </w:p>
    <w:p>
      <w:r>
        <w:rPr>
          <w:b w:val="0"/>
          <w:sz w:val="22"/>
        </w:rPr>
        <w:t>• User Management: Admin-only view to modify RBAC roles.</w:t>
      </w:r>
    </w:p>
    <w:p>
      <w:r>
        <w:rPr>
          <w:b w:val="0"/>
          <w:sz w:val="22"/>
        </w:rPr>
        <w:t>• Audit Logs: Admin-only view of the complete, tamper-proof system ledger.</w:t>
      </w:r>
    </w:p>
    <w:p>
      <w:pPr>
        <w:pStyle w:val="Heading1"/>
      </w:pPr>
      <w:r>
        <w:rPr>
          <w:color w:val="006699"/>
        </w:rPr>
        <w:t>6. Detailed Algorithmic Workflows</w:t>
      </w:r>
    </w:p>
    <w:p>
      <w:pPr>
        <w:pStyle w:val="Heading2"/>
      </w:pPr>
      <w:r>
        <w:rPr>
          <w:color w:val="006699"/>
        </w:rPr>
        <w:t>6.1 The 4-Step Forensic AI Framework</w:t>
      </w:r>
    </w:p>
    <w:p>
      <w:r>
        <w:rPr>
          <w:b w:val="0"/>
          <w:sz w:val="22"/>
        </w:rPr>
        <w:t>When a report is submitted, the Gemini Multimodal Vision AI executes a strict 4-step framework:</w:t>
      </w:r>
    </w:p>
    <w:p>
      <w:r>
        <w:rPr>
          <w:b w:val="0"/>
          <w:sz w:val="22"/>
        </w:rPr>
        <w:t>1. Evidence Authenticity: Cross-references the written description against uploaded images/PDFs. Penalizes scores if severe claims lack evidence.</w:t>
      </w:r>
    </w:p>
    <w:p>
      <w:r>
        <w:rPr>
          <w:b w:val="0"/>
          <w:sz w:val="22"/>
        </w:rPr>
        <w:t>2. Threat Vector Classification: Categorizes the attack (e.g., Sextortion, Phishing, Deepfake Threat).</w:t>
      </w:r>
    </w:p>
    <w:p>
      <w:r>
        <w:rPr>
          <w:b w:val="0"/>
          <w:sz w:val="22"/>
        </w:rPr>
        <w:t>3. Victim Risk Assessment: Classifies the victim's physical/digital danger as IMMEDIATE, ACTIVE, SUBSIDED, or HISTORICAL.</w:t>
      </w:r>
    </w:p>
    <w:p>
      <w:r>
        <w:rPr>
          <w:b w:val="0"/>
          <w:sz w:val="22"/>
        </w:rPr>
        <w:t>4. Evidence Gaps: Identifies missing forensic artifacts (e.g., "Need original message headers" or "Need UPI transaction ID").</w:t>
      </w:r>
    </w:p>
    <w:p>
      <w:pPr>
        <w:pStyle w:val="Heading2"/>
      </w:pPr>
      <w:r>
        <w:rPr>
          <w:color w:val="006699"/>
        </w:rPr>
        <w:t>6.2 Rule-Based Heuristic Fallback Engine</w:t>
      </w:r>
    </w:p>
    <w:p>
      <w:r>
        <w:rPr>
          <w:b w:val="0"/>
          <w:sz w:val="22"/>
        </w:rPr>
        <w:t>If the Google Gemini API hits a rate limit (HTTP 429 Resource Exhausted), the system implements an automatic retry mechanism with exponential backoff (40s, 80s). If all retries fail, it falls back to a custom Rule-Based Engine.</w:t>
      </w:r>
    </w:p>
    <w:p>
      <w:r>
        <w:rPr>
          <w:b w:val="0"/>
          <w:sz w:val="22"/>
        </w:rPr>
        <w:t>This fallback engine uses Weighted Keyword Matching across threat dictionaries. Crucially, it includes Negation Guards (e.g., ignoring "hacked" if preceded by "wasn't" or "didn't"). It assigns base scores mapped to specific IPC sections without failing the user request.</w:t>
      </w:r>
    </w:p>
    <w:p>
      <w:pPr>
        <w:pStyle w:val="Heading2"/>
      </w:pPr>
      <w:r>
        <w:rPr>
          <w:color w:val="006699"/>
        </w:rPr>
        <w:t>6.3 Evidence Processing Pipeline</w:t>
      </w:r>
    </w:p>
    <w:p>
      <w:r>
        <w:rPr>
          <w:b w:val="0"/>
          <w:sz w:val="22"/>
        </w:rPr>
        <w:t>File uploaded -&gt; Extension and size validation -&gt; Read into memory -&gt; SHA-256 hash generated -&gt; File saved securely using the hash as the filename -&gt; Metadata stored in database -&gt; Chain of Custody (COC_UPLOAD) audit entry created.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