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Clinical Decision Making and Pattern Recognition in Health Care:</w:t>
      </w:r>
    </w:p>
    <w:p>
      <w:pPr>
        <w:jc w:val="center"/>
      </w:pPr>
      <w:r>
        <w:rPr>
          <w:b/>
          <w:sz w:val="28"/>
        </w:rPr>
        <w:t>Agentic Generative AI for Payment Integrity</w:t>
      </w:r>
    </w:p>
    <w:p/>
    <w:p>
      <w:pPr>
        <w:jc w:val="center"/>
      </w:pPr>
      <w:r>
        <w:rPr>
          <w:sz w:val="24"/>
        </w:rPr>
        <w:t>Nishit Pankajkumar Patel</w:t>
      </w:r>
    </w:p>
    <w:p>
      <w:pPr>
        <w:jc w:val="center"/>
      </w:pPr>
      <w:r>
        <w:rPr>
          <w:sz w:val="24"/>
        </w:rPr>
        <w:t>Arizona State University</w:t>
      </w:r>
    </w:p>
    <w:p/>
    <w:p>
      <w:pPr>
        <w:pStyle w:val="Heading1"/>
      </w:pPr>
      <w:r>
        <w:t>Introduction</w:t>
      </w:r>
    </w:p>
    <w:p>
      <w:r>
        <w:t>Clinical decision-making in healthcare payment operations has traditionally relied on manual review processes and static rule-based systems. As healthcare expenditure in the United States surpasses $4.5 trillion annually, with an estimated 3–10% lost to fraud, waste, and abuse (FWA), the need for intelligent automation has never been more pressing (National Health Care Anti-Fraud Association, 2024). This report examines how emerging technologies—specifically chain reasoning, agentic generative AI, and pattern recognition methods including classification, anomaly detection, and time-series analysis—are transforming clinical decision-making across treatment, payment, and operations (TPO) domains.</w:t>
      </w:r>
    </w:p>
    <w:p>
      <w:pPr>
        <w:pStyle w:val="Heading1"/>
      </w:pPr>
      <w:r>
        <w:t>Defining the Concept</w:t>
      </w:r>
    </w:p>
    <w:p>
      <w:r>
        <w:t>Clinical decision-making powered by AI encompasses a spectrum of technologies that augment human judgment in healthcare operations. Chain reasoning refers to multi-step logical inference where each analytical step builds upon prior findings, mimicking the sequential reasoning process of clinical experts. Agentic generative AI extends this concept by deploying autonomous AI agents that can decompose complex problems, retrieve relevant context, execute analysis steps, and synthesize findings—all while maintaining transparency through explainable reasoning chains.</w:t>
      </w:r>
    </w:p>
    <w:p>
      <w:r>
        <w:t>In the payment integrity context, these technologies enable automated claim adjudication pipelines where an AI agent can: (1) extract clinical context from claim data, (2) validate procedure-diagnosis alignment against medical coding guidelines, (3) detect statistical anomalies using unsupervised machine learning, (4) assess medical necessity through clinical reasoning, and (5) generate human-readable audit narratives supporting the final decision.</w:t>
      </w:r>
    </w:p>
    <w:p>
      <w:pPr>
        <w:pStyle w:val="Heading1"/>
      </w:pPr>
      <w:r>
        <w:t>Relevant Trends</w:t>
      </w:r>
    </w:p>
    <w:p>
      <w:r>
        <w:rPr>
          <w:b/>
        </w:rPr>
        <w:t xml:space="preserve">Hybrid AI Architectures. </w:t>
      </w:r>
      <w:r>
        <w:t>The industry is moving toward multi-layered systems that combine deterministic rules (for speed and compliance), unsupervised machine learning (for detecting novel patterns), and large language models (for contextual reasoning). This hybrid approach addresses the limitations of any single method: rules alone miss novel fraud schemes, ML alone lacks explainability, and LLMs alone are too slow and costly for high-volume processing (McKinsey &amp; Company, 2024).</w:t>
      </w:r>
    </w:p>
    <w:p>
      <w:r>
        <w:rPr>
          <w:b/>
        </w:rPr>
        <w:t xml:space="preserve">Explainable AI in Healthcare. </w:t>
      </w:r>
      <w:r>
        <w:t>Regulatory requirements including CMS guidelines and OIG audit standards demand that automated decisions be explainable and auditable. Technologies like SHAP values and chain-of-thought prompting enable AI systems to provide transparent reasoning that satisfies both clinical and legal scrutiny (Lundberg &amp; Lee, 2017).</w:t>
      </w:r>
    </w:p>
    <w:p>
      <w:r>
        <w:rPr>
          <w:b/>
        </w:rPr>
        <w:t xml:space="preserve">Agentic Workflows. </w:t>
      </w:r>
      <w:r>
        <w:t>The emergence of AI agent frameworks—where LLMs orchestrate multi-step analytical processes—represents a paradigm shift from single-inference AI to autonomous decision pipelines. Companies like Cotiviti are positioned to leverage agentic architectures for complex claims that require cross-referencing clinical guidelines, billing patterns, and patient history (Anthropic, 2025).</w:t>
      </w:r>
    </w:p>
    <w:p>
      <w:r>
        <w:rPr>
          <w:b/>
        </w:rPr>
        <w:t xml:space="preserve">Real-Time Anomaly Detection. </w:t>
      </w:r>
      <w:r>
        <w:t>Time-series anomaly detection methods, including Isolation Forest and autoencoders, are being deployed at the point of claim submission to flag outliers before payment, reducing pay-and-chase recovery costs by up to 60% compared to retrospective audit (Deloitte, 2024).</w:t>
      </w:r>
    </w:p>
    <w:p>
      <w:r>
        <w:rPr>
          <w:b/>
        </w:rPr>
        <w:t xml:space="preserve">Healthcare Data Interoperability. </w:t>
      </w:r>
      <w:r>
        <w:t>The adoption of FHIR-based standards and cloud-native data platforms is enabling real-time data exchange between payers and providers. This interoperability creates opportunities for AI agents to access richer clinical context at the point of decision, improving the accuracy of automated claims adjudication and prior authorization workflows (HL7 International, 2024).</w:t>
      </w:r>
    </w:p>
    <w:p>
      <w:pPr>
        <w:pStyle w:val="Heading1"/>
      </w:pPr>
      <w:r>
        <w:t>AI Governance Considerations</w:t>
      </w:r>
    </w:p>
    <w:p>
      <w:r>
        <w:t>As autonomous AI agents are deployed in healthcare decision-making, governance frameworks must ensure safety, fairness, and accountability. Key governance principles for agentic AI in healthcare payment operations include:</w:t>
      </w:r>
    </w:p>
    <w:p>
      <w:pPr>
        <w:pStyle w:val="ListBullet"/>
      </w:pPr>
      <w:r>
        <w:rPr>
          <w:b/>
        </w:rPr>
        <w:t>Auditability:</w:t>
      </w:r>
      <w:r>
        <w:t xml:space="preserve"> Every automated decision must maintain a complete reasoning trail accessible to human reviewers, regulators, and appeals processes.</w:t>
      </w:r>
    </w:p>
    <w:p>
      <w:pPr>
        <w:pStyle w:val="ListBullet"/>
      </w:pPr>
      <w:r>
        <w:rPr>
          <w:b/>
        </w:rPr>
        <w:t>Human-in-the-Loop Oversight:</w:t>
      </w:r>
      <w:r>
        <w:t xml:space="preserve"> AI agents should augment clinical expertise rather than replace it. Denial decisions should require human confirmation before enforcement.</w:t>
      </w:r>
    </w:p>
    <w:p>
      <w:pPr>
        <w:pStyle w:val="ListBullet"/>
      </w:pPr>
      <w:r>
        <w:rPr>
          <w:b/>
        </w:rPr>
        <w:t>Bias Monitoring:</w:t>
      </w:r>
      <w:r>
        <w:t xml:space="preserve"> Continuous monitoring for disparate impact across patient demographics, provider types, and geographic regions ensures equitable treatment.</w:t>
      </w:r>
    </w:p>
    <w:p>
      <w:pPr>
        <w:pStyle w:val="ListBullet"/>
      </w:pPr>
      <w:r>
        <w:rPr>
          <w:b/>
        </w:rPr>
        <w:t>Confidence-Based Routing:</w:t>
      </w:r>
      <w:r>
        <w:t xml:space="preserve"> Claims where the AI's confidence falls below defined thresholds should automatically escalate to human review rather than defaulting to denial.</w:t>
      </w:r>
    </w:p>
    <w:p>
      <w:pPr>
        <w:pStyle w:val="Heading1"/>
      </w:pPr>
      <w:r>
        <w:t>Opportunities</w:t>
      </w:r>
    </w:p>
    <w:p>
      <w:pPr>
        <w:pStyle w:val="ListBullet"/>
      </w:pPr>
      <w:r>
        <w:rPr>
          <w:b/>
        </w:rPr>
        <w:t>Pre-Payment Review Automation:</w:t>
      </w:r>
      <w:r>
        <w:t xml:space="preserve"> Deploying agentic AI at the point of claim submission can prevent fraudulent or wasteful payments before they occur, shifting from costly pay-and-chase models to real-time prevention.</w:t>
      </w:r>
    </w:p>
    <w:p>
      <w:pPr>
        <w:pStyle w:val="ListBullet"/>
      </w:pPr>
      <w:r>
        <w:rPr>
          <w:b/>
        </w:rPr>
        <w:t>Scalable Clinical Expertise:</w:t>
      </w:r>
      <w:r>
        <w:t xml:space="preserve"> Chain-reasoning AI agents can encode the decision logic of experienced clinical auditors, making expert-level review available for every claim rather than only the random sample currently reviewed manually.</w:t>
      </w:r>
    </w:p>
    <w:p>
      <w:pPr>
        <w:pStyle w:val="ListBullet"/>
      </w:pPr>
      <w:r>
        <w:rPr>
          <w:b/>
        </w:rPr>
        <w:t>Novel Pattern Discovery:</w:t>
      </w:r>
      <w:r>
        <w:t xml:space="preserve"> Unsupervised anomaly detection continuously identifies emerging fraud schemes without requiring labeled training data, providing adaptive protection against evolving threats.</w:t>
      </w:r>
    </w:p>
    <w:p>
      <w:pPr>
        <w:pStyle w:val="ListBullet"/>
      </w:pPr>
      <w:r>
        <w:rPr>
          <w:b/>
        </w:rPr>
        <w:t>Operational Efficiency:</w:t>
      </w:r>
      <w:r>
        <w:t xml:space="preserve"> Automating routine claims allows human auditors to focus on complex cases requiring nuanced clinical judgment, improving both throughput and job satisfaction.</w:t>
      </w:r>
    </w:p>
    <w:p>
      <w:pPr>
        <w:pStyle w:val="Heading1"/>
      </w:pPr>
      <w:r>
        <w:t>Threats</w:t>
      </w:r>
    </w:p>
    <w:p>
      <w:pPr>
        <w:pStyle w:val="ListBullet"/>
      </w:pPr>
      <w:r>
        <w:rPr>
          <w:b/>
        </w:rPr>
        <w:t>Hallucination and Reliability:</w:t>
      </w:r>
      <w:r>
        <w:t xml:space="preserve"> LLMs can generate plausible but incorrect clinical reasoning, necessitating robust validation layers and human-in-the-loop oversight.</w:t>
      </w:r>
    </w:p>
    <w:p>
      <w:pPr>
        <w:pStyle w:val="ListBullet"/>
      </w:pPr>
      <w:r>
        <w:rPr>
          <w:b/>
        </w:rPr>
        <w:t>Regulatory Uncertainty:</w:t>
      </w:r>
      <w:r>
        <w:t xml:space="preserve"> The regulatory framework for AI-driven healthcare decisions is evolving, creating compliance risk for early adopters.</w:t>
      </w:r>
    </w:p>
    <w:p>
      <w:pPr>
        <w:pStyle w:val="ListBullet"/>
      </w:pPr>
      <w:r>
        <w:rPr>
          <w:b/>
        </w:rPr>
        <w:t>Adversarial Adaptation:</w:t>
      </w:r>
      <w:r>
        <w:t xml:space="preserve"> Sophisticated billing entities may learn to structure claims to avoid AI detection, requiring continuous model retraining.</w:t>
      </w:r>
    </w:p>
    <w:p>
      <w:pPr>
        <w:pStyle w:val="ListBullet"/>
      </w:pPr>
      <w:r>
        <w:rPr>
          <w:b/>
        </w:rPr>
        <w:t>Data Privacy:</w:t>
      </w:r>
      <w:r>
        <w:t xml:space="preserve"> Processing protected health information through cloud-based AI systems requires stringent HIPAA-compliant security controls.</w:t>
      </w:r>
    </w:p>
    <w:p>
      <w:pPr>
        <w:pStyle w:val="Heading1"/>
      </w:pPr>
      <w:r>
        <w:t>Strategic Recommendations for Cotiviti</w:t>
      </w:r>
    </w:p>
    <w:p>
      <w:r>
        <w:rPr>
          <w:b/>
        </w:rPr>
        <w:t>1. Invest in Hybrid Decision Pipelines:</w:t>
      </w:r>
      <w:r>
        <w:t xml:space="preserve"> Deploy multi-layer architectures combining rules engines (for compliance and speed), RAG-based knowledge retrieval (for grounded decisions), unsupervised ML (for anomaly detection), and GenAI (for autonomous reasoning). This maximizes coverage while maintaining explainability required for healthcare operations.</w:t>
      </w:r>
    </w:p>
    <w:p>
      <w:r>
        <w:rPr>
          <w:b/>
        </w:rPr>
        <w:t>2. Develop Agentic Audit Frameworks:</w:t>
      </w:r>
      <w:r>
        <w:t xml:space="preserve"> Build AI agent systems that autonomously conduct end-to-end claim reviews—from data extraction through clinical reasoning to narrative generation—while maintaining complete audit trails for regulatory compliance.</w:t>
      </w:r>
    </w:p>
    <w:p>
      <w:r>
        <w:rPr>
          <w:b/>
        </w:rPr>
        <w:t>3. Prioritize Explainability-First AI:</w:t>
      </w:r>
      <w:r>
        <w:t xml:space="preserve"> Ensure all automated decisions include human-readable reasoning chains and feature attribution scores, positioning Cotiviti as a trusted partner in an increasingly regulated AI landscape.</w:t>
      </w:r>
    </w:p>
    <w:p>
      <w:r>
        <w:rPr>
          <w:b/>
        </w:rPr>
        <w:t>4. Establish Continuous Learning Pipelines:</w:t>
      </w:r>
      <w:r>
        <w:t xml:space="preserve"> Implement feedback loops where human auditor decisions retrain anomaly detection models, ensuring the system adapts to emerging billing patterns and maintains detection effectiveness over time.</w:t>
      </w:r>
    </w:p>
    <w:p>
      <w:r>
        <w:br w:type="page"/>
      </w:r>
    </w:p>
    <w:p>
      <w:pPr>
        <w:pStyle w:val="Heading1"/>
      </w:pPr>
      <w:r>
        <w:t>References</w:t>
      </w:r>
    </w:p>
    <w:p>
      <w:pPr>
        <w:ind w:left="720" w:hanging="720"/>
      </w:pPr>
      <w:r>
        <w:t>Anthropic. (2025). Building effective agents: Chain-of-thought reasoning in production systems. Anthropic Research.</w:t>
      </w:r>
    </w:p>
    <w:p>
      <w:pPr>
        <w:ind w:left="720" w:hanging="720"/>
      </w:pPr>
      <w:r>
        <w:t>Centers for Medicare &amp; Medicaid Services. (2024). National health expenditure data: Historical. CMS.gov.</w:t>
      </w:r>
    </w:p>
    <w:p>
      <w:pPr>
        <w:ind w:left="720" w:hanging="720"/>
      </w:pPr>
      <w:r>
        <w:t>Deloitte. (2024). Predictive analytics in healthcare payment integrity: From retrospective to real-time. Deloitte Insights.</w:t>
      </w:r>
    </w:p>
    <w:p>
      <w:pPr>
        <w:ind w:left="720" w:hanging="720"/>
      </w:pPr>
      <w:r>
        <w:t>Lundberg, S. M., &amp; Lee, S. I. (2017). A unified approach to interpreting model predictions. Advances in Neural Information Processing Systems, 30, 4765–4774.</w:t>
      </w:r>
    </w:p>
    <w:p>
      <w:pPr>
        <w:ind w:left="720" w:hanging="720"/>
      </w:pPr>
      <w:r>
        <w:t>McKinsey &amp; Company. (2024). The economics of generative AI in healthcare operations. McKinsey Digital.</w:t>
      </w:r>
    </w:p>
    <w:p>
      <w:pPr>
        <w:ind w:left="720" w:hanging="720"/>
      </w:pPr>
      <w:r>
        <w:t>National Health Care Anti-Fraud Association. (2024). The challenge of health care fraud. NHCAA Consumer Info.</w:t>
      </w:r>
    </w:p>
    <w:p>
      <w:pPr>
        <w:ind w:left="720" w:hanging="720"/>
      </w:pPr>
      <w:r>
        <w:t>Obermeyer, Z., &amp; Emanuel, E. J. (2016). Predicting the future—Big data, machine learning, and clinical medicine. New England Journal of Medicine, 375(13), 1216–1219.</w:t>
      </w:r>
    </w:p>
    <w:p>
      <w:pPr>
        <w:ind w:left="720" w:hanging="720"/>
      </w:pPr>
      <w:r>
        <w:t>Rajkomar, A., Dean, J., &amp; Kohane, I. (2019). Machine learning in medicine. New England Journal of Medicine, 380(14), 1347–1358.</w:t>
      </w:r>
    </w:p>
    <w:p>
      <w:pPr>
        <w:ind w:left="720" w:hanging="720"/>
      </w:pPr>
      <w:r>
        <w:t>HL7 International. (2024). FHIR Release 5: Fast Healthcare Interoperability Resources specification. HL7.org.</w:t>
      </w:r>
    </w:p>
    <w:p>
      <w:pPr>
        <w:ind w:left="720" w:hanging="720"/>
      </w:pPr>
      <w:r>
        <w:t>World Health Organization. (2024). Artificial intelligence for health: Opportunities, challenges, and ethical considerations. WHO Technical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