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line="264" w:lineRule="auto"/>
      </w:pPr>
      <w:r>
        <w:rPr>
          <w:rFonts w:ascii="Calibri" w:hAnsi="Calibri"/>
          <w:b/>
          <w:color w:val="2E74B5"/>
          <w:sz w:val="20"/>
        </w:rPr>
        <w:t>MASTERCARD INNOVATION CHALLENGE 2026</w:t>
      </w:r>
    </w:p>
    <w:p>
      <w:pPr>
        <w:spacing w:before="0" w:after="120" w:line="264" w:lineRule="auto"/>
      </w:pPr>
      <w:r>
        <w:rPr>
          <w:rFonts w:ascii="Calibri" w:hAnsi="Calibri"/>
          <w:b/>
          <w:color w:val="0B2545"/>
          <w:sz w:val="52"/>
        </w:rPr>
        <w:t>VishGym</w:t>
      </w:r>
    </w:p>
    <w:p>
      <w:pPr>
        <w:spacing w:before="0" w:after="320" w:line="264" w:lineRule="auto"/>
      </w:pPr>
      <w:r>
        <w:rPr>
          <w:rFonts w:ascii="Calibri" w:hAnsi="Calibri"/>
          <w:color w:val="5B6573"/>
          <w:sz w:val="28"/>
        </w:rPr>
        <w:t>Multimodal Red/Blue Self-Play Arena for Payment-Fraud Defense</w:t>
      </w:r>
    </w:p>
    <w:tbl>
      <w:tblPr>
        <w:tblStyle w:val="TableGrid"/>
        <w:tblW w:type="dxa" w:w="9360"/>
        <w:jc w:val="left"/>
        <w:tblLayout w:type="fixed"/>
        <w:tblLook w:firstColumn="1" w:firstRow="1" w:lastColumn="0" w:lastRow="0" w:noHBand="0" w:noVBand="1" w:val="04A0"/>
        <w:tblInd w:w="120" w:type="dxa"/>
      </w:tblPr>
      <w:tblGrid>
        <w:gridCol w:w="2160"/>
        <w:gridCol w:w="5040"/>
        <w:gridCol w:w="2160"/>
      </w:tblGrid>
      <w:tr>
        <w:tc>
          <w:tcPr>
            <w:tcW w:type="dxa" w:w="2160"/>
            <w:vAlign w:val="center"/>
            <w:tcMar>
              <w:top w:w="80" w:type="dxa"/>
              <w:start w:w="120" w:type="dxa"/>
              <w:bottom w:w="80" w:type="dxa"/>
              <w:end w:w="120" w:type="dxa"/>
            </w:tcMar>
            <w:shd w:fill="E8EEF5"/>
          </w:tcPr>
          <w:p>
            <w:pPr>
              <w:spacing w:before="0" w:after="0" w:line="240" w:lineRule="auto"/>
            </w:pPr>
            <w:r>
              <w:rPr>
                <w:rFonts w:ascii="Calibri" w:hAnsi="Calibri"/>
                <w:b/>
                <w:color w:val="0B2545"/>
                <w:sz w:val="20"/>
              </w:rPr>
              <w:t>Prepared for</w:t>
            </w:r>
          </w:p>
        </w:tc>
        <w:tc>
          <w:tcPr>
            <w:tcW w:type="dxa" w:w="5040"/>
            <w:vAlign w:val="center"/>
            <w:tcMar>
              <w:top w:w="80" w:type="dxa"/>
              <w:start w:w="120" w:type="dxa"/>
              <w:bottom w:w="80" w:type="dxa"/>
              <w:end w:w="120" w:type="dxa"/>
            </w:tcMar>
            <w:shd w:fill="E8EEF5"/>
          </w:tcPr>
          <w:p>
            <w:pPr>
              <w:spacing w:before="0" w:after="0" w:line="240" w:lineRule="auto"/>
            </w:pPr>
            <w:r>
              <w:rPr>
                <w:rFonts w:ascii="Calibri" w:hAnsi="Calibri"/>
                <w:b/>
                <w:color w:val="0B2545"/>
                <w:sz w:val="20"/>
              </w:rPr>
              <w:t>Prototype focus</w:t>
            </w:r>
          </w:p>
        </w:tc>
        <w:tc>
          <w:tcPr>
            <w:tcW w:type="dxa" w:w="2160"/>
            <w:vAlign w:val="center"/>
            <w:tcMar>
              <w:top w:w="80" w:type="dxa"/>
              <w:start w:w="120" w:type="dxa"/>
              <w:bottom w:w="80" w:type="dxa"/>
              <w:end w:w="120" w:type="dxa"/>
            </w:tcMar>
            <w:shd w:fill="E8EEF5"/>
          </w:tcPr>
          <w:p>
            <w:pPr>
              <w:spacing w:before="0" w:after="0" w:line="240" w:lineRule="auto"/>
            </w:pPr>
            <w:r>
              <w:rPr>
                <w:rFonts w:ascii="Calibri" w:hAnsi="Calibri"/>
                <w:b/>
                <w:color w:val="0B2545"/>
                <w:sz w:val="20"/>
              </w:rPr>
              <w:t>Status</w:t>
            </w:r>
          </w:p>
        </w:tc>
      </w:tr>
      <w:tr>
        <w:tc>
          <w:tcPr>
            <w:tcW w:type="dxa" w:w="2160"/>
          </w:tcPr>
          <w:p>
            <w:pPr>
              <w:spacing w:before="0" w:after="0" w:line="264" w:lineRule="auto"/>
            </w:pPr>
            <w:r>
              <w:rPr>
                <w:rFonts w:ascii="Calibri" w:hAnsi="Calibri"/>
                <w:color w:val="000000"/>
                <w:sz w:val="21"/>
              </w:rPr>
              <w:t>Mastercard Innovation Challenge 2026</w:t>
            </w:r>
          </w:p>
        </w:tc>
        <w:tc>
          <w:tcPr>
            <w:tcW w:type="dxa" w:w="5040"/>
          </w:tcPr>
          <w:p>
            <w:pPr>
              <w:spacing w:before="0" w:after="0" w:line="264" w:lineRule="auto"/>
            </w:pPr>
            <w:r>
              <w:rPr>
                <w:rFonts w:ascii="Calibri" w:hAnsi="Calibri"/>
                <w:color w:val="000000"/>
                <w:sz w:val="21"/>
              </w:rPr>
              <w:t>Closed-loop AI defense lab for synthetic UPI social-engineering simulations</w:t>
            </w:r>
          </w:p>
        </w:tc>
        <w:tc>
          <w:tcPr>
            <w:tcW w:type="dxa" w:w="2160"/>
          </w:tcPr>
          <w:p>
            <w:pPr>
              <w:spacing w:before="0" w:after="0" w:line="264" w:lineRule="auto"/>
            </w:pPr>
            <w:r>
              <w:rPr>
                <w:rFonts w:ascii="Calibri" w:hAnsi="Calibri"/>
                <w:color w:val="000000"/>
                <w:sz w:val="21"/>
              </w:rPr>
              <w:t>Runnable local scaffold; GPU training integration ready</w:t>
            </w:r>
          </w:p>
        </w:tc>
      </w:tr>
    </w:tbl>
    <w:p>
      <w:pPr>
        <w:spacing w:after="40"/>
      </w:pPr>
    </w:p>
    <w:p>
      <w:pPr>
        <w:pStyle w:val="Heading1"/>
        <w:spacing w:before="320" w:after="160" w:line="264" w:lineRule="auto"/>
      </w:pPr>
      <w:r>
        <w:rPr>
          <w:rFonts w:ascii="Calibri" w:hAnsi="Calibri"/>
          <w:b/>
          <w:color w:val="2E74B5"/>
          <w:sz w:val="32"/>
        </w:rPr>
        <w:t>1. Executive summary</w:t>
      </w:r>
    </w:p>
    <w:p>
      <w:pPr>
        <w:spacing w:before="0" w:after="120" w:line="264" w:lineRule="auto"/>
      </w:pPr>
      <w:r>
        <w:rPr>
          <w:rFonts w:ascii="Calibri" w:hAnsi="Calibri"/>
          <w:color w:val="000000"/>
          <w:sz w:val="22"/>
        </w:rPr>
        <w:t>VishGym is a closed, synthetic training arena that lets a Red agent and a Blue agent learn from each other without exposing real people or infrastructure to risk. The Red agent initiates fictional payment-fraud scenarios; the Blue agent uses only virtual tools to verify, refuse, report, or escalate. A fixed hybrid judge scores the complete episode and supplies delayed reward for alternating policy improvement.</w:t>
      </w:r>
    </w:p>
    <w:p>
      <w:pPr>
        <w:spacing w:before="0" w:after="120" w:line="264" w:lineRule="auto"/>
      </w:pPr>
      <w:r>
        <w:rPr>
          <w:rFonts w:ascii="Calibri" w:hAnsi="Calibri"/>
          <w:color w:val="000000"/>
          <w:sz w:val="22"/>
        </w:rPr>
        <w:t>The prototype is designed to satisfy the identify, generate, and defend loop: it maps a broad attack catalogue, creates repeatable multimodal simulations, and measures defensive policy performance against historical attacker checkpoints.</w:t>
      </w:r>
    </w:p>
    <w:p>
      <w:pPr>
        <w:pStyle w:val="Heading1"/>
        <w:spacing w:before="320" w:after="160" w:line="264" w:lineRule="auto"/>
      </w:pPr>
      <w:r>
        <w:rPr>
          <w:rFonts w:ascii="Calibri" w:hAnsi="Calibri"/>
          <w:b/>
          <w:color w:val="2E74B5"/>
          <w:sz w:val="32"/>
        </w:rPr>
        <w:t>2. Problem and innovation</w:t>
      </w:r>
    </w:p>
    <w:tbl>
      <w:tblPr>
        <w:tblStyle w:val="TableGrid"/>
        <w:tblW w:type="dxa" w:w="9360"/>
        <w:jc w:val="left"/>
        <w:tblLayout w:type="fixed"/>
        <w:tblLook w:firstColumn="1" w:firstRow="1" w:lastColumn="0" w:lastRow="0" w:noHBand="0" w:noVBand="1" w:val="04A0"/>
        <w:tblInd w:w="120" w:type="dxa"/>
      </w:tblPr>
      <w:tblGrid>
        <w:gridCol w:w="2340"/>
        <w:gridCol w:w="7020"/>
      </w:tblGrid>
      <w:tr>
        <w:tc>
          <w:tcPr>
            <w:tcW w:type="dxa" w:w="2340"/>
            <w:vAlign w:val="center"/>
            <w:tcMar>
              <w:top w:w="80" w:type="dxa"/>
              <w:start w:w="120" w:type="dxa"/>
              <w:bottom w:w="80" w:type="dxa"/>
              <w:end w:w="120" w:type="dxa"/>
            </w:tcMar>
            <w:shd w:fill="E8EEF5"/>
          </w:tcPr>
          <w:p>
            <w:pPr>
              <w:spacing w:before="0" w:after="0" w:line="240" w:lineRule="auto"/>
            </w:pPr>
            <w:r>
              <w:rPr>
                <w:rFonts w:ascii="Calibri" w:hAnsi="Calibri"/>
                <w:b/>
                <w:color w:val="0B2545"/>
                <w:sz w:val="20"/>
              </w:rPr>
              <w:t>Challenge pillar</w:t>
            </w:r>
          </w:p>
        </w:tc>
        <w:tc>
          <w:tcPr>
            <w:tcW w:type="dxa" w:w="7020"/>
            <w:vAlign w:val="center"/>
            <w:tcMar>
              <w:top w:w="80" w:type="dxa"/>
              <w:start w:w="120" w:type="dxa"/>
              <w:bottom w:w="80" w:type="dxa"/>
              <w:end w:w="120" w:type="dxa"/>
            </w:tcMar>
            <w:shd w:fill="E8EEF5"/>
          </w:tcPr>
          <w:p>
            <w:pPr>
              <w:spacing w:before="0" w:after="0" w:line="240" w:lineRule="auto"/>
            </w:pPr>
            <w:r>
              <w:rPr>
                <w:rFonts w:ascii="Calibri" w:hAnsi="Calibri"/>
                <w:b/>
                <w:color w:val="0B2545"/>
                <w:sz w:val="20"/>
              </w:rPr>
              <w:t>VishGym response</w:t>
            </w:r>
          </w:p>
        </w:tc>
      </w:tr>
      <w:tr>
        <w:tc>
          <w:tcPr>
            <w:tcW w:type="dxa" w:w="2340"/>
          </w:tcPr>
          <w:p>
            <w:pPr>
              <w:spacing w:before="0" w:after="0" w:line="264" w:lineRule="auto"/>
            </w:pPr>
            <w:r>
              <w:rPr>
                <w:rFonts w:ascii="Calibri" w:hAnsi="Calibri"/>
                <w:color w:val="000000"/>
                <w:sz w:val="21"/>
              </w:rPr>
              <w:t>Identify</w:t>
            </w:r>
          </w:p>
        </w:tc>
        <w:tc>
          <w:tcPr>
            <w:tcW w:type="dxa" w:w="7020"/>
          </w:tcPr>
          <w:p>
            <w:pPr>
              <w:spacing w:before="0" w:after="0" w:line="264" w:lineRule="auto"/>
            </w:pPr>
            <w:r>
              <w:rPr>
                <w:rFonts w:ascii="Calibri" w:hAnsi="Calibri"/>
                <w:color w:val="000000"/>
                <w:sz w:val="21"/>
              </w:rPr>
              <w:t>Nine high-level synthetic payment-fraud archetypes spanning voice, SMS, WhatsApp, support, invoice, refund, and cross-channel surfaces.</w:t>
            </w:r>
          </w:p>
        </w:tc>
      </w:tr>
      <w:tr>
        <w:tc>
          <w:tcPr>
            <w:tcW w:type="dxa" w:w="2340"/>
          </w:tcPr>
          <w:p>
            <w:pPr>
              <w:spacing w:before="0" w:after="0" w:line="264" w:lineRule="auto"/>
            </w:pPr>
            <w:r>
              <w:rPr>
                <w:rFonts w:ascii="Calibri" w:hAnsi="Calibri"/>
                <w:color w:val="000000"/>
                <w:sz w:val="21"/>
              </w:rPr>
              <w:t>Generate</w:t>
            </w:r>
          </w:p>
        </w:tc>
        <w:tc>
          <w:tcPr>
            <w:tcW w:type="dxa" w:w="7020"/>
          </w:tcPr>
          <w:p>
            <w:pPr>
              <w:spacing w:before="0" w:after="0" w:line="264" w:lineRule="auto"/>
            </w:pPr>
            <w:r>
              <w:rPr>
                <w:rFonts w:ascii="Calibri" w:hAnsi="Calibri"/>
                <w:color w:val="000000"/>
                <w:sz w:val="21"/>
              </w:rPr>
              <w:t>Two role-specific agents produce audio-first, tool-using scenarios inside a fully isolated container.</w:t>
            </w:r>
          </w:p>
        </w:tc>
      </w:tr>
      <w:tr>
        <w:tc>
          <w:tcPr>
            <w:tcW w:type="dxa" w:w="2340"/>
          </w:tcPr>
          <w:p>
            <w:pPr>
              <w:spacing w:before="0" w:after="0" w:line="264" w:lineRule="auto"/>
            </w:pPr>
            <w:r>
              <w:rPr>
                <w:rFonts w:ascii="Calibri" w:hAnsi="Calibri"/>
                <w:color w:val="000000"/>
                <w:sz w:val="21"/>
              </w:rPr>
              <w:t>Defend</w:t>
            </w:r>
          </w:p>
        </w:tc>
        <w:tc>
          <w:tcPr>
            <w:tcW w:type="dxa" w:w="7020"/>
          </w:tcPr>
          <w:p>
            <w:pPr>
              <w:spacing w:before="0" w:after="0" w:line="264" w:lineRule="auto"/>
            </w:pPr>
            <w:r>
              <w:rPr>
                <w:rFonts w:ascii="Calibri" w:hAnsi="Calibri"/>
                <w:color w:val="000000"/>
                <w:sz w:val="21"/>
              </w:rPr>
              <w:t>A Blue policy learns to choose safe actions while a fixed judge measures fraud decisions, false blocks, and simulated compromise outcomes.</w:t>
            </w:r>
          </w:p>
        </w:tc>
      </w:tr>
    </w:tbl>
    <w:p>
      <w:pPr>
        <w:spacing w:after="40"/>
      </w:pPr>
    </w:p>
    <w:p>
      <w:pPr>
        <w:pStyle w:val="Heading1"/>
        <w:spacing w:before="320" w:after="160" w:line="264" w:lineRule="auto"/>
      </w:pPr>
      <w:r>
        <w:rPr>
          <w:rFonts w:ascii="Calibri" w:hAnsi="Calibri"/>
          <w:b/>
          <w:color w:val="2E74B5"/>
          <w:sz w:val="32"/>
        </w:rPr>
        <w:t>3. Closed synthetic architecture</w:t>
      </w:r>
    </w:p>
    <w:p>
      <w:pPr>
        <w:spacing w:before="0" w:after="120" w:line="264" w:lineRule="auto"/>
      </w:pPr>
      <w:r>
        <w:rPr>
          <w:rFonts w:ascii="Calibri" w:hAnsi="Calibri"/>
          <w:color w:val="000000"/>
          <w:sz w:val="22"/>
        </w:rPr>
        <w:t>The environment implements OpenEnv-style reset, step, and state semantics. Each episode creates new fictional personas, pseudo-identifiers, a virtual INR wallet, synthetic inbox records, sandbox-only pages, fixed search results, audio turns, and an immutable tool ledger.</w:t>
      </w:r>
    </w:p>
    <w:p>
      <w:pPr>
        <w:pStyle w:val="ListBullet"/>
        <w:spacing w:before="0" w:after="80" w:line="280" w:lineRule="auto"/>
        <w:ind w:left="461" w:hanging="259"/>
      </w:pPr>
      <w:r>
        <w:rPr>
          <w:rFonts w:ascii="Calibri" w:hAnsi="Calibri"/>
          <w:color w:val="000000"/>
          <w:sz w:val="22"/>
        </w:rPr>
        <w:t>Red and Blue use separate QLoRA adapters over a shared Gemma 4 E2B multimodal base model.</w:t>
      </w:r>
    </w:p>
    <w:p>
      <w:pPr>
        <w:pStyle w:val="ListBullet"/>
        <w:spacing w:before="0" w:after="80" w:line="280" w:lineRule="auto"/>
        <w:ind w:left="461" w:hanging="259"/>
      </w:pPr>
      <w:r>
        <w:rPr>
          <w:rFonts w:ascii="Calibri" w:hAnsi="Calibri"/>
          <w:color w:val="000000"/>
          <w:sz w:val="22"/>
        </w:rPr>
        <w:t>Conversation is audio-only for the opponent. The hidden transcript is retained solely for audit and the reward judge.</w:t>
      </w:r>
    </w:p>
    <w:p>
      <w:pPr>
        <w:pStyle w:val="ListBullet"/>
        <w:spacing w:before="0" w:after="80" w:line="280" w:lineRule="auto"/>
        <w:ind w:left="461" w:hanging="259"/>
      </w:pPr>
      <w:r>
        <w:rPr>
          <w:rFonts w:ascii="Calibri" w:hAnsi="Calibri"/>
          <w:color w:val="000000"/>
          <w:sz w:val="22"/>
        </w:rPr>
        <w:t>Qwen3-TTS CustomVoice renders English turns using built-in, non-identifiable speakers and style instructions. The public runtime accepts no reference audio.</w:t>
      </w:r>
    </w:p>
    <w:p>
      <w:pPr>
        <w:pStyle w:val="ListBullet"/>
        <w:spacing w:before="0" w:after="80" w:line="280" w:lineRule="auto"/>
        <w:ind w:left="461" w:hanging="259"/>
      </w:pPr>
      <w:r>
        <w:rPr>
          <w:rFonts w:ascii="Calibri" w:hAnsi="Calibri"/>
          <w:color w:val="000000"/>
          <w:sz w:val="22"/>
        </w:rPr>
        <w:t>The fixed judge combines deterministic ledger rules with a bounded contextual review, preventing reward drift or unreviewed judge training.</w:t>
      </w:r>
    </w:p>
    <w:p>
      <w:pPr>
        <w:pStyle w:val="Heading1"/>
        <w:spacing w:before="320" w:after="160" w:line="264" w:lineRule="auto"/>
      </w:pPr>
      <w:r>
        <w:rPr>
          <w:rFonts w:ascii="Calibri" w:hAnsi="Calibri"/>
          <w:b/>
          <w:color w:val="2E74B5"/>
          <w:sz w:val="32"/>
        </w:rPr>
        <w:t>4. Sandbox tools and boundaries</w:t>
      </w:r>
    </w:p>
    <w:tbl>
      <w:tblPr>
        <w:tblStyle w:val="TableGrid"/>
        <w:tblW w:type="dxa" w:w="9360"/>
        <w:jc w:val="left"/>
        <w:tblLayout w:type="fixed"/>
        <w:tblLook w:firstColumn="1" w:firstRow="1" w:lastColumn="0" w:lastRow="0" w:noHBand="0" w:noVBand="1" w:val="04A0"/>
        <w:tblInd w:w="120" w:type="dxa"/>
      </w:tblPr>
      <w:tblGrid>
        <w:gridCol w:w="1260"/>
        <w:gridCol w:w="4680"/>
        <w:gridCol w:w="3420"/>
      </w:tblGrid>
      <w:tr>
        <w:tc>
          <w:tcPr>
            <w:tcW w:type="dxa" w:w="1260"/>
            <w:vAlign w:val="center"/>
            <w:tcMar>
              <w:top w:w="80" w:type="dxa"/>
              <w:start w:w="120" w:type="dxa"/>
              <w:bottom w:w="80" w:type="dxa"/>
              <w:end w:w="120" w:type="dxa"/>
            </w:tcMar>
            <w:shd w:fill="E8EEF5"/>
          </w:tcPr>
          <w:p>
            <w:pPr>
              <w:spacing w:before="0" w:after="0" w:line="240" w:lineRule="auto"/>
            </w:pPr>
            <w:r>
              <w:rPr>
                <w:rFonts w:ascii="Calibri" w:hAnsi="Calibri"/>
                <w:b/>
                <w:color w:val="0B2545"/>
                <w:sz w:val="20"/>
              </w:rPr>
              <w:t>Role</w:t>
            </w:r>
          </w:p>
        </w:tc>
        <w:tc>
          <w:tcPr>
            <w:tcW w:type="dxa" w:w="4680"/>
            <w:vAlign w:val="center"/>
            <w:tcMar>
              <w:top w:w="80" w:type="dxa"/>
              <w:start w:w="120" w:type="dxa"/>
              <w:bottom w:w="80" w:type="dxa"/>
              <w:end w:w="120" w:type="dxa"/>
            </w:tcMar>
            <w:shd w:fill="E8EEF5"/>
          </w:tcPr>
          <w:p>
            <w:pPr>
              <w:spacing w:before="0" w:after="0" w:line="240" w:lineRule="auto"/>
            </w:pPr>
            <w:r>
              <w:rPr>
                <w:rFonts w:ascii="Calibri" w:hAnsi="Calibri"/>
                <w:b/>
                <w:color w:val="0B2545"/>
                <w:sz w:val="20"/>
              </w:rPr>
              <w:t>Synthetic tools</w:t>
            </w:r>
          </w:p>
        </w:tc>
        <w:tc>
          <w:tcPr>
            <w:tcW w:type="dxa" w:w="3420"/>
            <w:vAlign w:val="center"/>
            <w:tcMar>
              <w:top w:w="80" w:type="dxa"/>
              <w:start w:w="120" w:type="dxa"/>
              <w:bottom w:w="80" w:type="dxa"/>
              <w:end w:w="120" w:type="dxa"/>
            </w:tcMar>
            <w:shd w:fill="E8EEF5"/>
          </w:tcPr>
          <w:p>
            <w:pPr>
              <w:spacing w:before="0" w:after="0" w:line="240" w:lineRule="auto"/>
            </w:pPr>
            <w:r>
              <w:rPr>
                <w:rFonts w:ascii="Calibri" w:hAnsi="Calibri"/>
                <w:b/>
                <w:color w:val="0B2545"/>
                <w:sz w:val="20"/>
              </w:rPr>
              <w:t>Hard boundary</w:t>
            </w:r>
          </w:p>
        </w:tc>
      </w:tr>
      <w:tr>
        <w:tc>
          <w:tcPr>
            <w:tcW w:type="dxa" w:w="1260"/>
          </w:tcPr>
          <w:p>
            <w:pPr>
              <w:spacing w:before="0" w:after="0" w:line="264" w:lineRule="auto"/>
            </w:pPr>
            <w:r>
              <w:rPr>
                <w:rFonts w:ascii="Calibri" w:hAnsi="Calibri"/>
                <w:color w:val="000000"/>
                <w:sz w:val="21"/>
              </w:rPr>
              <w:t>Blue</w:t>
            </w:r>
          </w:p>
        </w:tc>
        <w:tc>
          <w:tcPr>
            <w:tcW w:type="dxa" w:w="4680"/>
          </w:tcPr>
          <w:p>
            <w:pPr>
              <w:spacing w:before="0" w:after="0" w:line="264" w:lineRule="auto"/>
            </w:pPr>
            <w:r>
              <w:rPr>
                <w:rFonts w:ascii="Calibri" w:hAnsi="Calibri"/>
                <w:color w:val="000000"/>
                <w:sz w:val="21"/>
              </w:rPr>
              <w:t>Inbox read/report/block; virtual wallet balance/pay/decline; pseudo-credential view; sandbox browser; fixed-corpus search.</w:t>
            </w:r>
          </w:p>
        </w:tc>
        <w:tc>
          <w:tcPr>
            <w:tcW w:type="dxa" w:w="3420"/>
          </w:tcPr>
          <w:p>
            <w:pPr>
              <w:spacing w:before="0" w:after="0" w:line="264" w:lineRule="auto"/>
            </w:pPr>
            <w:r>
              <w:rPr>
                <w:rFonts w:ascii="Calibri" w:hAnsi="Calibri"/>
                <w:color w:val="000000"/>
                <w:sz w:val="21"/>
              </w:rPr>
              <w:t>No external accounts, recipients, URLs, uploads, or payments.</w:t>
            </w:r>
          </w:p>
        </w:tc>
      </w:tr>
      <w:tr>
        <w:tc>
          <w:tcPr>
            <w:tcW w:type="dxa" w:w="1260"/>
          </w:tcPr>
          <w:p>
            <w:pPr>
              <w:spacing w:before="0" w:after="0" w:line="264" w:lineRule="auto"/>
            </w:pPr>
            <w:r>
              <w:rPr>
                <w:rFonts w:ascii="Calibri" w:hAnsi="Calibri"/>
                <w:color w:val="000000"/>
                <w:sz w:val="21"/>
              </w:rPr>
              <w:t>Red</w:t>
            </w:r>
          </w:p>
        </w:tc>
        <w:tc>
          <w:tcPr>
            <w:tcW w:type="dxa" w:w="4680"/>
          </w:tcPr>
          <w:p>
            <w:pPr>
              <w:spacing w:before="0" w:after="0" w:line="264" w:lineRule="auto"/>
            </w:pPr>
            <w:r>
              <w:rPr>
                <w:rFonts w:ascii="Calibri" w:hAnsi="Calibri"/>
                <w:color w:val="000000"/>
                <w:sz w:val="21"/>
              </w:rPr>
              <w:t>Synthetic message send; local portal-template creation; fixed-corpus search.</w:t>
            </w:r>
          </w:p>
        </w:tc>
        <w:tc>
          <w:tcPr>
            <w:tcW w:type="dxa" w:w="3420"/>
          </w:tcPr>
          <w:p>
            <w:pPr>
              <w:spacing w:before="0" w:after="0" w:line="264" w:lineRule="auto"/>
            </w:pPr>
            <w:r>
              <w:rPr>
                <w:rFonts w:ascii="Calibri" w:hAnsi="Calibri"/>
                <w:color w:val="000000"/>
                <w:sz w:val="21"/>
              </w:rPr>
              <w:t>No outbound messaging, exposed portals, or real web search.</w:t>
            </w:r>
          </w:p>
        </w:tc>
      </w:tr>
      <w:tr>
        <w:tc>
          <w:tcPr>
            <w:tcW w:type="dxa" w:w="1260"/>
          </w:tcPr>
          <w:p>
            <w:pPr>
              <w:spacing w:before="0" w:after="0" w:line="264" w:lineRule="auto"/>
            </w:pPr>
            <w:r>
              <w:rPr>
                <w:rFonts w:ascii="Calibri" w:hAnsi="Calibri"/>
                <w:color w:val="000000"/>
                <w:sz w:val="21"/>
              </w:rPr>
              <w:t>Judge</w:t>
            </w:r>
          </w:p>
        </w:tc>
        <w:tc>
          <w:tcPr>
            <w:tcW w:type="dxa" w:w="4680"/>
          </w:tcPr>
          <w:p>
            <w:pPr>
              <w:spacing w:before="0" w:after="0" w:line="264" w:lineRule="auto"/>
            </w:pPr>
            <w:r>
              <w:rPr>
                <w:rFonts w:ascii="Calibri" w:hAnsi="Calibri"/>
                <w:color w:val="000000"/>
                <w:sz w:val="21"/>
              </w:rPr>
              <w:t>Read-only access to audio, hidden transcript, and action ledger after episode completion.</w:t>
            </w:r>
          </w:p>
        </w:tc>
        <w:tc>
          <w:tcPr>
            <w:tcW w:type="dxa" w:w="3420"/>
          </w:tcPr>
          <w:p>
            <w:pPr>
              <w:spacing w:before="0" w:after="0" w:line="264" w:lineRule="auto"/>
            </w:pPr>
            <w:r>
              <w:rPr>
                <w:rFonts w:ascii="Calibri" w:hAnsi="Calibri"/>
                <w:color w:val="000000"/>
                <w:sz w:val="21"/>
              </w:rPr>
              <w:t>Cannot take actions or change its own scoring policy.</w:t>
            </w:r>
          </w:p>
        </w:tc>
      </w:tr>
    </w:tbl>
    <w:p>
      <w:pPr>
        <w:spacing w:after="40"/>
      </w:pPr>
    </w:p>
    <w:p>
      <w:pPr>
        <w:pStyle w:val="Heading1"/>
        <w:spacing w:before="320" w:after="160" w:line="264" w:lineRule="auto"/>
      </w:pPr>
      <w:r>
        <w:rPr>
          <w:rFonts w:ascii="Calibri" w:hAnsi="Calibri"/>
          <w:b/>
          <w:color w:val="2E74B5"/>
          <w:sz w:val="32"/>
        </w:rPr>
        <w:t>5. Live demonstration scenarios</w:t>
      </w:r>
    </w:p>
    <w:p>
      <w:pPr>
        <w:pStyle w:val="ListBullet"/>
        <w:spacing w:before="0" w:after="80" w:line="280" w:lineRule="auto"/>
        <w:ind w:left="461" w:hanging="259"/>
      </w:pPr>
      <w:r>
        <w:rPr>
          <w:rFonts w:ascii="Calibri" w:hAnsi="Calibri"/>
          <w:color w:val="000000"/>
          <w:sz w:val="22"/>
        </w:rPr>
        <w:t>Synthetic vishing followed by a virtual UPI collect request.</w:t>
      </w:r>
    </w:p>
    <w:p>
      <w:pPr>
        <w:pStyle w:val="ListBullet"/>
        <w:spacing w:before="0" w:after="80" w:line="280" w:lineRule="auto"/>
        <w:ind w:left="461" w:hanging="259"/>
      </w:pPr>
      <w:r>
        <w:rPr>
          <w:rFonts w:ascii="Calibri" w:hAnsi="Calibri"/>
          <w:color w:val="000000"/>
          <w:sz w:val="22"/>
        </w:rPr>
        <w:t>Synthetic SMS payment-link impersonation in a sandbox-only browser flow.</w:t>
      </w:r>
    </w:p>
    <w:p>
      <w:pPr>
        <w:pStyle w:val="ListBullet"/>
        <w:spacing w:before="0" w:after="80" w:line="280" w:lineRule="auto"/>
        <w:ind w:left="461" w:hanging="259"/>
      </w:pPr>
      <w:r>
        <w:rPr>
          <w:rFonts w:ascii="Calibri" w:hAnsi="Calibri"/>
          <w:color w:val="000000"/>
          <w:sz w:val="22"/>
        </w:rPr>
        <w:t>Synthetic WhatsApp beneficiary or invoice-change impersonation.</w:t>
      </w:r>
    </w:p>
    <w:p>
      <w:pPr>
        <w:spacing w:before="0" w:after="120" w:line="264" w:lineRule="auto"/>
      </w:pPr>
      <w:r>
        <w:rPr>
          <w:rFonts w:ascii="Calibri" w:hAnsi="Calibri"/>
          <w:color w:val="000000"/>
          <w:sz w:val="22"/>
        </w:rPr>
        <w:t>Six additional catalogue cards support breadth without claiming unimplemented live flows. All scenario language, identifiers, and pages are fictional and labelled as simulation content.</w:t>
      </w:r>
    </w:p>
    <w:p>
      <w:pPr>
        <w:pStyle w:val="Heading1"/>
        <w:spacing w:before="320" w:after="160" w:line="264" w:lineRule="auto"/>
      </w:pPr>
      <w:r>
        <w:rPr>
          <w:rFonts w:ascii="Calibri" w:hAnsi="Calibri"/>
          <w:b/>
          <w:color w:val="2E74B5"/>
          <w:sz w:val="32"/>
        </w:rPr>
        <w:t>6. Rewards and learning loop</w:t>
      </w:r>
    </w:p>
    <w:p>
      <w:pPr>
        <w:spacing w:before="0" w:after="120" w:line="264" w:lineRule="auto"/>
      </w:pPr>
      <w:r>
        <w:rPr>
          <w:rFonts w:ascii="Calibri" w:hAnsi="Calibri"/>
          <w:color w:val="000000"/>
          <w:sz w:val="22"/>
        </w:rPr>
        <w:t>Rewards are delayed until the terminal episode. Deterministic rules govern virtual payment, pseudo-credential exposure, reporting, blocking, and invalid actions. The judge provides only a small contextual adjustment. Blue is rewarded for correct safe behavior and penalized for unsafe virtual actions or unnecessary blocks. Red receives simulated reward only for sandbox-contained outcomes and loses reward for invalid or boundary-violating actions.</w:t>
      </w:r>
    </w:p>
    <w:p>
      <w:pPr>
        <w:pStyle w:val="ListBullet"/>
        <w:spacing w:before="0" w:after="80" w:line="280" w:lineRule="auto"/>
        <w:ind w:left="461" w:hanging="259"/>
      </w:pPr>
      <w:r>
        <w:rPr>
          <w:rFonts w:ascii="Calibri" w:hAnsi="Calibri"/>
          <w:color w:val="000000"/>
          <w:sz w:val="22"/>
        </w:rPr>
        <w:t>Warm start: synthetic tool-use traces validate schemas and sandbox behavior.</w:t>
      </w:r>
    </w:p>
    <w:p>
      <w:pPr>
        <w:pStyle w:val="ListBullet"/>
        <w:spacing w:before="0" w:after="80" w:line="280" w:lineRule="auto"/>
        <w:ind w:left="461" w:hanging="259"/>
      </w:pPr>
      <w:r>
        <w:rPr>
          <w:rFonts w:ascii="Calibri" w:hAnsi="Calibri"/>
          <w:color w:val="000000"/>
          <w:sz w:val="22"/>
        </w:rPr>
        <w:t>Red update: QLoRA/GRPO against frozen Blue, gated by held-out scenarios and historical Blue checkpoints.</w:t>
      </w:r>
    </w:p>
    <w:p>
      <w:pPr>
        <w:pStyle w:val="ListBullet"/>
        <w:spacing w:before="0" w:after="80" w:line="280" w:lineRule="auto"/>
        <w:ind w:left="461" w:hanging="259"/>
      </w:pPr>
      <w:r>
        <w:rPr>
          <w:rFonts w:ascii="Calibri" w:hAnsi="Calibri"/>
          <w:color w:val="000000"/>
          <w:sz w:val="22"/>
        </w:rPr>
        <w:t>Blue update: QLoRA/GRPO against reviewed Red, gated by F1 &gt;= 0.80 and legitimate false-block rate &lt;= 10%.</w:t>
      </w:r>
    </w:p>
    <w:p>
      <w:pPr>
        <w:pStyle w:val="ListBullet"/>
        <w:spacing w:before="0" w:after="80" w:line="280" w:lineRule="auto"/>
        <w:ind w:left="461" w:hanging="259"/>
      </w:pPr>
      <w:r>
        <w:rPr>
          <w:rFonts w:ascii="Calibri" w:hAnsi="Calibri"/>
          <w:color w:val="000000"/>
          <w:sz w:val="22"/>
        </w:rPr>
        <w:t>Release: human review of metrics, seeds, data revision, and model manifest; no automatic promotion.</w:t>
      </w:r>
    </w:p>
    <w:p>
      <w:r>
        <w:br w:type="page"/>
      </w:r>
    </w:p>
    <w:p>
      <w:pPr>
        <w:pStyle w:val="Heading1"/>
        <w:spacing w:before="320" w:after="160" w:line="264" w:lineRule="auto"/>
      </w:pPr>
      <w:r>
        <w:rPr>
          <w:rFonts w:ascii="Calibri" w:hAnsi="Calibri"/>
          <w:b/>
          <w:color w:val="2E74B5"/>
          <w:sz w:val="32"/>
        </w:rPr>
        <w:t>7. Training, reproducibility, and deployment</w:t>
      </w:r>
    </w:p>
    <w:p>
      <w:pPr>
        <w:spacing w:before="0" w:after="120" w:line="264" w:lineRule="auto"/>
      </w:pPr>
      <w:r>
        <w:rPr>
          <w:rFonts w:ascii="Calibri" w:hAnsi="Calibri"/>
          <w:color w:val="000000"/>
          <w:sz w:val="22"/>
        </w:rPr>
        <w:t>Google Colab MCP is the intended training operator surface. The accompanying notebook pulls the repository, validates a deterministic local rollout, and records the required alternating-QloRA/GRPO workflow. Candidate adapters, synthetic datasets, metrics, seeds, and reviewer decisions are versioned as artifacts before promotion.</w:t>
      </w:r>
    </w:p>
    <w:p>
      <w:pPr>
        <w:spacing w:before="0" w:after="120" w:line="264" w:lineRule="auto"/>
      </w:pPr>
      <w:r>
        <w:rPr>
          <w:rFonts w:ascii="Calibri" w:hAnsi="Calibri"/>
          <w:color w:val="000000"/>
          <w:sz w:val="22"/>
        </w:rPr>
        <w:t>The prototype deploys as a Hugging Face GPU Docker Space: Streamlit provides the judge-facing UI, FastAPI exposes the simulator and model manifest, and Nginx routes both through port 7860. Runtime audio and simulation data are held in memory or ephemeral storage and expire after 60 minutes.</w:t>
      </w:r>
    </w:p>
    <w:p>
      <w:pPr>
        <w:pStyle w:val="Heading1"/>
        <w:spacing w:before="320" w:after="160" w:line="264" w:lineRule="auto"/>
      </w:pPr>
      <w:r>
        <w:rPr>
          <w:rFonts w:ascii="Calibri" w:hAnsi="Calibri"/>
          <w:b/>
          <w:color w:val="2E74B5"/>
          <w:sz w:val="32"/>
        </w:rPr>
        <w:t>8. Evaluation plan</w:t>
      </w:r>
    </w:p>
    <w:p>
      <w:pPr>
        <w:pStyle w:val="ListBullet"/>
        <w:spacing w:before="0" w:after="80" w:line="280" w:lineRule="auto"/>
        <w:ind w:left="461" w:hanging="259"/>
      </w:pPr>
      <w:r>
        <w:rPr>
          <w:rFonts w:ascii="Calibri" w:hAnsi="Calibri"/>
          <w:color w:val="000000"/>
          <w:sz w:val="22"/>
        </w:rPr>
        <w:t>Hold out persona pairs, built-in timbres, scenario combinations, temperature values, noise, and latency settings.</w:t>
      </w:r>
    </w:p>
    <w:p>
      <w:pPr>
        <w:pStyle w:val="ListBullet"/>
        <w:spacing w:before="0" w:after="80" w:line="280" w:lineRule="auto"/>
        <w:ind w:left="461" w:hanging="259"/>
      </w:pPr>
      <w:r>
        <w:rPr>
          <w:rFonts w:ascii="Calibri" w:hAnsi="Calibri"/>
          <w:color w:val="000000"/>
          <w:sz w:val="22"/>
        </w:rPr>
        <w:t>Report Blue fraud-decision F1, legitimate false-block rate, simulated compromise rate, valid tool-call rate, and gains over the initial Blue adapter.</w:t>
      </w:r>
    </w:p>
    <w:p>
      <w:pPr>
        <w:pStyle w:val="ListBullet"/>
        <w:spacing w:before="0" w:after="80" w:line="280" w:lineRule="auto"/>
        <w:ind w:left="461" w:hanging="259"/>
      </w:pPr>
      <w:r>
        <w:rPr>
          <w:rFonts w:ascii="Calibri" w:hAnsi="Calibri"/>
          <w:color w:val="000000"/>
          <w:sz w:val="22"/>
        </w:rPr>
        <w:t>Compare promoted Blue versions against frozen historical Red checkpoints to detect overfitting to a single attacker policy.</w:t>
      </w:r>
    </w:p>
    <w:p>
      <w:pPr>
        <w:pStyle w:val="ListBullet"/>
        <w:spacing w:before="0" w:after="80" w:line="280" w:lineRule="auto"/>
        <w:ind w:left="461" w:hanging="259"/>
      </w:pPr>
      <w:r>
        <w:rPr>
          <w:rFonts w:ascii="Calibri" w:hAnsi="Calibri"/>
          <w:color w:val="000000"/>
          <w:sz w:val="22"/>
        </w:rPr>
        <w:t>Run integration checks for invalid tool calls, non-sandbox URL attempts, inference timeouts, audio failures, and expired simulation records.</w:t>
      </w:r>
    </w:p>
    <w:p>
      <w:pPr>
        <w:pStyle w:val="Heading1"/>
        <w:spacing w:before="320" w:after="160" w:line="264" w:lineRule="auto"/>
      </w:pPr>
      <w:r>
        <w:rPr>
          <w:rFonts w:ascii="Calibri" w:hAnsi="Calibri"/>
          <w:b/>
          <w:color w:val="2E74B5"/>
          <w:sz w:val="32"/>
        </w:rPr>
        <w:t>9. Real-world feasibility and safeguards</w:t>
      </w:r>
    </w:p>
    <w:p>
      <w:pPr>
        <w:spacing w:before="0" w:after="120" w:line="264" w:lineRule="auto"/>
      </w:pPr>
      <w:r>
        <w:rPr>
          <w:rFonts w:ascii="Calibri" w:hAnsi="Calibri"/>
          <w:color w:val="000000"/>
          <w:sz w:val="22"/>
        </w:rPr>
        <w:t>VishGym is a training and evaluation environment, not a customer-facing fraud engine. In a production payment system, the Blue policy would become one risk signal alongside transaction controls, verified device and account signals, customer confirmation, and human escalation. It does not authorize or block real payments on its own.</w:t>
      </w:r>
    </w:p>
    <w:p>
      <w:pPr>
        <w:spacing w:before="0" w:after="120" w:line="264" w:lineRule="auto"/>
      </w:pPr>
      <w:r>
        <w:rPr>
          <w:rFonts w:ascii="Calibri" w:hAnsi="Calibri"/>
          <w:color w:val="000000"/>
          <w:sz w:val="22"/>
        </w:rPr>
        <w:t>The project deliberately forbids real-person voice retrieval, voice uploads, real identifiers, external browsing, live mailboxes, real payment rails, exposed portals, and automatic adapter publication. These constraints make the prototype suitable for defensive research while preserving a realistic closed-loop learning objective.</w:t>
      </w:r>
    </w:p>
    <w:p>
      <w:pPr>
        <w:pStyle w:val="Heading1"/>
        <w:spacing w:before="320" w:after="160" w:line="264" w:lineRule="auto"/>
      </w:pPr>
      <w:r>
        <w:rPr>
          <w:rFonts w:ascii="Calibri" w:hAnsi="Calibri"/>
          <w:b/>
          <w:color w:val="2E74B5"/>
          <w:sz w:val="32"/>
        </w:rPr>
        <w:t>10. Submission artifacts</w:t>
      </w:r>
    </w:p>
    <w:p>
      <w:pPr>
        <w:pStyle w:val="ListBullet"/>
        <w:spacing w:before="0" w:after="80" w:line="280" w:lineRule="auto"/>
        <w:ind w:left="461" w:hanging="259"/>
      </w:pPr>
      <w:r>
        <w:rPr>
          <w:rFonts w:ascii="Calibri" w:hAnsi="Calibri"/>
          <w:color w:val="000000"/>
          <w:sz w:val="22"/>
        </w:rPr>
        <w:t>Runnable GitHub repository with environment, simulated tools, API, Streamlit UI, Docker deployment configuration, and unit tests.</w:t>
      </w:r>
    </w:p>
    <w:p>
      <w:pPr>
        <w:pStyle w:val="ListBullet"/>
        <w:spacing w:before="0" w:after="80" w:line="280" w:lineRule="auto"/>
        <w:ind w:left="461" w:hanging="259"/>
      </w:pPr>
      <w:r>
        <w:rPr>
          <w:rFonts w:ascii="Calibri" w:hAnsi="Calibri"/>
          <w:color w:val="000000"/>
          <w:sz w:val="22"/>
        </w:rPr>
        <w:t>Colab notebook for reviewed training runs through the Google Colab MCP bridge.</w:t>
      </w:r>
    </w:p>
    <w:p>
      <w:pPr>
        <w:pStyle w:val="ListBullet"/>
        <w:spacing w:before="0" w:after="80" w:line="280" w:lineRule="auto"/>
        <w:ind w:left="461" w:hanging="259"/>
      </w:pPr>
      <w:r>
        <w:rPr>
          <w:rFonts w:ascii="Calibri" w:hAnsi="Calibri"/>
          <w:color w:val="000000"/>
          <w:sz w:val="22"/>
        </w:rPr>
        <w:t>Hosted Hugging Face Docker Space using approved GPU access and private deployment secrets.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64" w:lineRule="auto"/>
      <w:jc w:val="center"/>
    </w:pPr>
    <w:r>
      <w:rPr>
        <w:rFonts w:ascii="Calibri" w:hAnsi="Calibri"/>
        <w:color w:val="5B6573"/>
        <w:sz w:val="16"/>
      </w:rPr>
      <w:t>Synthetic-only demonstration. No real payments, identities, contacts, sites, or voices.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64" w:lineRule="auto"/>
      <w:jc w:val="right"/>
    </w:pPr>
    <w:r>
      <w:rPr>
        <w:rFonts w:ascii="Calibri" w:hAnsi="Calibri"/>
        <w:b/>
        <w:color w:val="5B6573"/>
        <w:sz w:val="17"/>
      </w:rPr>
      <w:t>VISHGYM | CLOSED SYNTHETIC RESEARCH PROTOTYPE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VishGym Solution Walkthrough</dc:title>
  <dc:subject>Closed synthetic multimodal red/blue self-play arena</dc:subject>
  <dc:creator>VishGym</dc:creator>
  <cp:keywords/>
  <dc:description>generated by python-docx</dc:description>
  <cp:lastModifiedBy/>
  <cp:revision>1</cp:revision>
  <dcterms:created xsi:type="dcterms:W3CDTF">2013-12-23T23:15:00Z</dcterms:created>
  <dcterms:modified xsi:type="dcterms:W3CDTF">2013-12-23T23:15:00Z</dcterms:modified>
  <cp:category/>
</cp:coreProperties>
</file>