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60" w:line="276"/>
        <w:jc w:val="center"/>
      </w:pPr>
      <w:r>
        <w:rPr>
          <w:rFonts w:ascii="Calibri" w:cs="Calibri" w:eastAsia="Calibri" w:hAnsi="Calibri"/>
          <w:b/>
          <w:bCs/>
          <w:color w:val="5A6B78"/>
          <w:sz w:val="22"/>
          <w:szCs w:val="22"/>
        </w:rPr>
        <w:t xml:space="preserve">UNIVERSIDADE MUNICIPAL DE SÃO CAETANO DO SUL</w:t>
      </w:r>
    </w:p>
    <w:p>
      <w:pPr>
        <w:spacing w:after="700" w:line="276"/>
        <w:jc w:val="center"/>
      </w:pPr>
      <w:r>
        <w:rPr>
          <w:rFonts w:ascii="Calibri" w:cs="Calibri" w:eastAsia="Calibri" w:hAnsi="Calibri"/>
          <w:color w:val="5A6B78"/>
          <w:sz w:val="22"/>
          <w:szCs w:val="22"/>
        </w:rPr>
        <w:t xml:space="preserve">Bacharelado em Ciência da Computação  ·  Revisão para o ENADE 2026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B07514"/>
          <w:sz w:val="24"/>
          <w:szCs w:val="24"/>
        </w:rPr>
        <w:t xml:space="preserve">CADERNO DE QUESTÕES</w:t>
      </w:r>
    </w:p>
    <w:p>
      <w:pPr>
        <w:spacing w:after="200"/>
        <w:jc w:val="center"/>
      </w:pPr>
      <w:r>
        <w:rPr>
          <w:rFonts w:ascii="Cambria" w:cs="Cambria" w:eastAsia="Cambria" w:hAnsi="Cambria"/>
          <w:b/>
          <w:bCs/>
          <w:color w:val="1B2A38"/>
          <w:sz w:val="56"/>
          <w:szCs w:val="56"/>
        </w:rPr>
        <w:t xml:space="preserve">Sistemas Operacionais</w:t>
      </w:r>
    </w:p>
    <w:p>
      <w:pPr>
        <w:spacing w:after="900" w:line="276"/>
        <w:jc w:val="center"/>
      </w:pPr>
      <w:r>
        <w:rPr>
          <w:rFonts w:ascii="Calibri" w:cs="Calibri" w:eastAsia="Calibri" w:hAnsi="Calibri"/>
          <w:color w:val="2E7D8F"/>
          <w:sz w:val="26"/>
          <w:szCs w:val="26"/>
        </w:rPr>
        <w:t xml:space="preserve">Questões objetivas no padrão ENADE — Tema 6</w:t>
      </w:r>
    </w:p>
    <w:p>
      <w:pPr>
        <w:spacing w:after="100" w:line="276"/>
        <w:jc w:val="center"/>
      </w:pPr>
      <w:r>
        <w:rPr>
          <w:rFonts w:ascii="Calibri" w:cs="Calibri" w:eastAsia="Calibri" w:hAnsi="Calibri"/>
          <w:b/>
          <w:bCs/>
          <w:color w:val="1B2A38"/>
          <w:sz w:val="24"/>
          <w:szCs w:val="24"/>
        </w:rPr>
        <w:t xml:space="preserve">Squad 6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color w:val="5A6B78"/>
          <w:sz w:val="22"/>
          <w:szCs w:val="22"/>
        </w:rPr>
        <w:t xml:space="preserve">Jorge Orselli Mutran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color w:val="5A6B78"/>
          <w:sz w:val="22"/>
          <w:szCs w:val="22"/>
        </w:rPr>
        <w:t xml:space="preserve">Kaick Kenithi Nishiya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color w:val="5A6B78"/>
          <w:sz w:val="22"/>
          <w:szCs w:val="22"/>
        </w:rPr>
        <w:t xml:space="preserve">Lucas Koiti Zotovici Kobayashi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color w:val="5A6B78"/>
          <w:sz w:val="22"/>
          <w:szCs w:val="22"/>
        </w:rPr>
        <w:t xml:space="preserve">Lucas Secanho do Prado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color w:val="5A6B78"/>
          <w:sz w:val="22"/>
          <w:szCs w:val="22"/>
        </w:rPr>
        <w:t xml:space="preserve">Matheus Pestilli Rodrigues João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mbria" w:cs="Cambria" w:eastAsia="Cambria" w:hAnsi="Cambria"/>
          <w:b/>
          <w:bCs/>
          <w:color w:val="1B2A38"/>
          <w:sz w:val="32"/>
          <w:szCs w:val="32"/>
        </w:rPr>
        <w:t xml:space="preserve">Apresentação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B2A38"/>
          <w:sz w:val="22"/>
          <w:szCs w:val="22"/>
        </w:rPr>
        <w:t xml:space="preserve">Este caderno reúne 12 questões objetivas elaboradas no padrão do Exame Nacional de Desempenho dos Estudantes para o tema Sistemas Operacionais. As questões foram construídas a partir da Matriz de Referência do tema e cobrem os nove tópicos previstos, distribuídas pelos três níveis de complexidade da Taxonomia de Bloom — fundamentação científica, construção de diagnósticos e proposição de soluções — e pelos dez tipos de questão das três categorias descritas no material de estrutura de questões.</w:t>
      </w:r>
    </w:p>
    <w:p>
      <w:pPr>
        <w:spacing w:after="260" w:line="276"/>
        <w:jc w:val="both"/>
      </w:pPr>
      <w:r>
        <w:rPr>
          <w:rFonts w:ascii="Calibri" w:cs="Calibri" w:eastAsia="Calibri" w:hAnsi="Calibri"/>
          <w:color w:val="1B2A38"/>
          <w:sz w:val="22"/>
          <w:szCs w:val="22"/>
        </w:rPr>
        <w:t xml:space="preserve">Cada questão é composta por situação-problema, dados de suporte (quando aplicável), comando e alternativas de resposta, sendo uma correta e as demais distratores plausíveis. O gabarito comentado, com a justificativa de cada alternativa e as referências bibliográficas que fundamentam as questões, encontra-se em documento separado.</w:t>
      </w:r>
    </w:p>
    <w:p>
      <w:pPr>
        <w:pStyle w:val="Heading2"/>
        <w:spacing w:after="140" w:before="260"/>
      </w:pPr>
      <w:r>
        <w:rPr>
          <w:rFonts w:ascii="Cambria" w:cs="Cambria" w:eastAsia="Cambria" w:hAnsi="Cambria"/>
          <w:b/>
          <w:bCs/>
          <w:color w:val="2E7D8F"/>
          <w:sz w:val="26"/>
          <w:szCs w:val="26"/>
        </w:rPr>
        <w:t xml:space="preserve">Quadro de cobertura da Matriz de Referência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500"/>
        <w:gridCol w:w="3179"/>
        <w:gridCol w:w="2400"/>
      </w:tblGrid>
      <w:tr>
        <w:trPr>
          <w:tblHeader/>
        </w:trPr>
        <w:tc>
          <w:tcPr>
            <w:tcW w:type="dxa" w:w="560"/>
            <w:shd w:fill="1B2A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</w:t>
            </w:r>
          </w:p>
        </w:tc>
        <w:tc>
          <w:tcPr>
            <w:tcW w:type="dxa" w:w="3500"/>
            <w:shd w:fill="1B2A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Tópico da matriz</w:t>
            </w:r>
          </w:p>
        </w:tc>
        <w:tc>
          <w:tcPr>
            <w:tcW w:type="dxa" w:w="3179"/>
            <w:shd w:fill="1B2A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 de questão</w:t>
            </w:r>
          </w:p>
        </w:tc>
        <w:tc>
          <w:tcPr>
            <w:tcW w:type="dxa" w:w="2400"/>
            <w:shd w:fill="1B2A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Domínio cognitivo</w:t>
            </w:r>
          </w:p>
        </w:tc>
      </w:tr>
      <w:tr>
        <w:trPr>
          <w:tblHeader w:val="false"/>
        </w:trPr>
        <w:tc>
          <w:tcPr>
            <w:tcW w:type="dxa" w:w="5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1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T1 · Visão geral dos SO, máquina de níveis e softwares tradutores</w:t>
            </w:r>
          </w:p>
        </w:tc>
        <w:tc>
          <w:tcPr>
            <w:tcW w:type="dxa" w:w="3179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Questão de Lacunas (CAT 1)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Conhecimento</w:t>
            </w:r>
          </w:p>
        </w:tc>
      </w:tr>
      <w:tr>
        <w:trPr>
          <w:tblHeader w:val="false"/>
        </w:trPr>
        <w:tc>
          <w:tcPr>
            <w:tcW w:type="dxa" w:w="560"/>
            <w:shd w:fill="F2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2</w:t>
            </w:r>
          </w:p>
        </w:tc>
        <w:tc>
          <w:tcPr>
            <w:tcW w:type="dxa" w:w="3500"/>
            <w:shd w:fill="F2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T2 · Modos de acesso, interrupções, exceções e chamadas de sistema</w:t>
            </w:r>
          </w:p>
        </w:tc>
        <w:tc>
          <w:tcPr>
            <w:tcW w:type="dxa" w:w="3179"/>
            <w:shd w:fill="F2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Questão de Alternativas Constantes — V/F (CAT 2)</w:t>
            </w:r>
          </w:p>
        </w:tc>
        <w:tc>
          <w:tcPr>
            <w:tcW w:type="dxa" w:w="2400"/>
            <w:shd w:fill="F2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Análise</w:t>
            </w:r>
          </w:p>
        </w:tc>
      </w:tr>
      <w:tr>
        <w:trPr>
          <w:tblHeader w:val="false"/>
        </w:trPr>
        <w:tc>
          <w:tcPr>
            <w:tcW w:type="dxa" w:w="5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3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T3 · Arquiteturas de núcleo, boot, carregadores de kernel e virtualização</w:t>
            </w:r>
          </w:p>
        </w:tc>
        <w:tc>
          <w:tcPr>
            <w:tcW w:type="dxa" w:w="3179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Questão de Ordenação (CAT 3)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Aplicação</w:t>
            </w:r>
          </w:p>
        </w:tc>
      </w:tr>
      <w:tr>
        <w:trPr>
          <w:tblHeader w:val="false"/>
        </w:trPr>
        <w:tc>
          <w:tcPr>
            <w:tcW w:type="dxa" w:w="560"/>
            <w:shd w:fill="F2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4</w:t>
            </w:r>
          </w:p>
        </w:tc>
        <w:tc>
          <w:tcPr>
            <w:tcW w:type="dxa" w:w="3500"/>
            <w:shd w:fill="F2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T4 · Processos e threads: PCB, contextos, estados e transições</w:t>
            </w:r>
          </w:p>
        </w:tc>
        <w:tc>
          <w:tcPr>
            <w:tcW w:type="dxa" w:w="3179"/>
            <w:shd w:fill="F2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Questão de Afirmativa Incompleta (CAT 1)</w:t>
            </w:r>
          </w:p>
        </w:tc>
        <w:tc>
          <w:tcPr>
            <w:tcW w:type="dxa" w:w="2400"/>
            <w:shd w:fill="F2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Conhecimento</w:t>
            </w:r>
          </w:p>
        </w:tc>
      </w:tr>
      <w:tr>
        <w:trPr>
          <w:tblHeader w:val="false"/>
        </w:trPr>
        <w:tc>
          <w:tcPr>
            <w:tcW w:type="dxa" w:w="5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5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T4 · Concorrência, exclusão mútua, semáforos e deadlock</w:t>
            </w:r>
          </w:p>
        </w:tc>
        <w:tc>
          <w:tcPr>
            <w:tcW w:type="dxa" w:w="3179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Questão de Asserção-Razão (CAT 3)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Análise</w:t>
            </w:r>
          </w:p>
        </w:tc>
      </w:tr>
      <w:tr>
        <w:trPr>
          <w:tblHeader w:val="false"/>
        </w:trPr>
        <w:tc>
          <w:tcPr>
            <w:tcW w:type="dxa" w:w="560"/>
            <w:shd w:fill="F2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6</w:t>
            </w:r>
          </w:p>
        </w:tc>
        <w:tc>
          <w:tcPr>
            <w:tcW w:type="dxa" w:w="3500"/>
            <w:shd w:fill="F2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T5 · Compartilhamento do processador e algoritmos de escalonamento</w:t>
            </w:r>
          </w:p>
        </w:tc>
        <w:tc>
          <w:tcPr>
            <w:tcW w:type="dxa" w:w="3179"/>
            <w:shd w:fill="F2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Questão de Interpretação (CAT 1)</w:t>
            </w:r>
          </w:p>
        </w:tc>
        <w:tc>
          <w:tcPr>
            <w:tcW w:type="dxa" w:w="2400"/>
            <w:shd w:fill="F2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Aplicação</w:t>
            </w:r>
          </w:p>
        </w:tc>
      </w:tr>
      <w:tr>
        <w:trPr>
          <w:tblHeader w:val="false"/>
        </w:trPr>
        <w:tc>
          <w:tcPr>
            <w:tcW w:type="dxa" w:w="5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7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T6 · Memória principal: alocação contígua, particionamento e fragmentação</w:t>
            </w:r>
          </w:p>
        </w:tc>
        <w:tc>
          <w:tcPr>
            <w:tcW w:type="dxa" w:w="3179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Questão de Resposta Única (CAT 1)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Conhecimento</w:t>
            </w:r>
          </w:p>
        </w:tc>
      </w:tr>
      <w:tr>
        <w:trPr>
          <w:tblHeader w:val="false"/>
        </w:trPr>
        <w:tc>
          <w:tcPr>
            <w:tcW w:type="dxa" w:w="560"/>
            <w:shd w:fill="F2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8</w:t>
            </w:r>
          </w:p>
        </w:tc>
        <w:tc>
          <w:tcPr>
            <w:tcW w:type="dxa" w:w="3500"/>
            <w:shd w:fill="F2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T7 · Memória virtual: políticas de substituição de páginas</w:t>
            </w:r>
          </w:p>
        </w:tc>
        <w:tc>
          <w:tcPr>
            <w:tcW w:type="dxa" w:w="3179"/>
            <w:shd w:fill="F2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Questão de Resposta Única com cálculo aplicado (CAT 1)</w:t>
            </w:r>
          </w:p>
        </w:tc>
        <w:tc>
          <w:tcPr>
            <w:tcW w:type="dxa" w:w="2400"/>
            <w:shd w:fill="F2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Aplicação</w:t>
            </w:r>
          </w:p>
        </w:tc>
      </w:tr>
      <w:tr>
        <w:trPr>
          <w:tblHeader w:val="false"/>
        </w:trPr>
        <w:tc>
          <w:tcPr>
            <w:tcW w:type="dxa" w:w="5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9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T7 · Working set, TLB, thrashing e políticas de alocação de quadros</w:t>
            </w:r>
          </w:p>
        </w:tc>
        <w:tc>
          <w:tcPr>
            <w:tcW w:type="dxa" w:w="3179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Questão de Afirmativas Múltiplas (CAT 2)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Análise</w:t>
            </w:r>
          </w:p>
        </w:tc>
      </w:tr>
      <w:tr>
        <w:trPr>
          <w:tblHeader w:val="false"/>
        </w:trPr>
        <w:tc>
          <w:tcPr>
            <w:tcW w:type="dxa" w:w="560"/>
            <w:shd w:fill="F2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10</w:t>
            </w:r>
          </w:p>
        </w:tc>
        <w:tc>
          <w:tcPr>
            <w:tcW w:type="dxa" w:w="3500"/>
            <w:shd w:fill="F2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T8 · Sistemas de arquivos: métodos de alocação em disco</w:t>
            </w:r>
          </w:p>
        </w:tc>
        <w:tc>
          <w:tcPr>
            <w:tcW w:type="dxa" w:w="3179"/>
            <w:shd w:fill="F2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Questão de Associação de Colunas (CAT 2)</w:t>
            </w:r>
          </w:p>
        </w:tc>
        <w:tc>
          <w:tcPr>
            <w:tcW w:type="dxa" w:w="2400"/>
            <w:shd w:fill="F2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Conhecimento</w:t>
            </w:r>
          </w:p>
        </w:tc>
      </w:tr>
      <w:tr>
        <w:trPr>
          <w:tblHeader w:val="false"/>
        </w:trPr>
        <w:tc>
          <w:tcPr>
            <w:tcW w:type="dxa" w:w="5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11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T8 · Projeto de solução de armazenamento, journaling e espaços livres</w:t>
            </w:r>
          </w:p>
        </w:tc>
        <w:tc>
          <w:tcPr>
            <w:tcW w:type="dxa" w:w="3179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Questão de Afirmativas Múltiplas (CAT 2)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Aplicação</w:t>
            </w:r>
          </w:p>
        </w:tc>
      </w:tr>
      <w:tr>
        <w:trPr>
          <w:tblHeader w:val="false"/>
        </w:trPr>
        <w:tc>
          <w:tcPr>
            <w:tcW w:type="dxa" w:w="560"/>
            <w:shd w:fill="F2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12</w:t>
            </w:r>
          </w:p>
        </w:tc>
        <w:tc>
          <w:tcPr>
            <w:tcW w:type="dxa" w:w="3500"/>
            <w:shd w:fill="F2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T9 · Gerência de E/S, DMA, spooling, cache e proteção de recursos</w:t>
            </w:r>
          </w:p>
        </w:tc>
        <w:tc>
          <w:tcPr>
            <w:tcW w:type="dxa" w:w="3179"/>
            <w:shd w:fill="F2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Questão de Afirmativa Negativa (CAT 1)</w:t>
            </w:r>
          </w:p>
        </w:tc>
        <w:tc>
          <w:tcPr>
            <w:tcW w:type="dxa" w:w="2400"/>
            <w:shd w:fill="F2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A38"/>
                <w:sz w:val="17"/>
                <w:szCs w:val="17"/>
              </w:rPr>
              <w:t xml:space="preserve">Compreensão</w:t>
            </w:r>
          </w:p>
        </w:tc>
      </w:tr>
    </w:tbl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shd w:fill="1B2A3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QUESTÃO 1   ·   Questão de Lacunas (CAT 1)</w:t>
            </w:r>
          </w:p>
        </w:tc>
      </w:tr>
    </w:tbl>
    <w:p>
      <w:pPr>
        <w:spacing w:after="180" w:line="276"/>
        <w:jc w:val="both"/>
      </w:pPr>
      <w:r>
        <w:rPr>
          <w:rFonts w:ascii="Calibri" w:cs="Calibri" w:eastAsia="Calibri" w:hAnsi="Calibri"/>
          <w:color w:val="5A6B78"/>
          <w:sz w:val="18"/>
          <w:szCs w:val="18"/>
        </w:rPr>
        <w:t xml:space="preserve">Tópico 1 — Visão geral dos SO, máquina de níveis e softwares tradutores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B2A38"/>
          <w:sz w:val="22"/>
          <w:szCs w:val="22"/>
        </w:rPr>
        <w:t xml:space="preserve">Uma fabricante de equipamentos médicos está integrando novos analistas ao time de software embarcado. No treinamento inicial, o arquiteto do produto apresenta o computador como uma máquina de níveis: cada camada oferece uma interface mais conveniente que a camada imediatamente inferior, e o sistema operacional ocupa a posição central dessa organização, cumprindo dois papéis complementares. Em seguida, ele explica como o código escrito pela equipe chega a ser executado pelo processador, passando pelos programas utilitários de tradução.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B2A38"/>
          <w:sz w:val="22"/>
          <w:szCs w:val="22"/>
        </w:rPr>
        <w:t xml:space="preserve">Considerando a organização do computador em máquina de níveis e as categorias de softwares tradutores, assinale a alternativa que preenche corretamente as lacunas do texto a seguir.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color w:val="1B2A38"/>
          <w:sz w:val="22"/>
          <w:szCs w:val="22"/>
        </w:rPr>
        <w:t xml:space="preserve">Ao ocultar do programador os detalhes do hardware e oferecer abstrações como arquivos, processos e chamadas de sistema, o sistema operacional atua como __________. Ao arbitrar o uso da CPU, da memória e dos dispositivos entre múltiplos programas e usuários concorrentes, ele atua como __________. Entre os programas utilitários, aquele que traduz um programa escrito em linguagem simbólica de montagem para a linguagem de máquina é o __________, enquanto aquele que traduz e executa o código-fonte comando a comando, sem gerar previamente um módulo objeto completo, é o __________.</w:t>
      </w:r>
    </w:p>
    <w:p>
      <w:pPr>
        <w:spacing w:after="40" w:line="276"/>
        <w:jc w:val="both"/>
      </w:pPr>
      <w:r>
        <w:rPr>
          <w:rFonts w:ascii="Calibri" w:cs="Calibri" w:eastAsia="Calibri" w:hAnsi="Calibri"/>
          <w:color w:val="1B2A38"/>
          <w:sz w:val="22"/>
          <w:szCs w:val="22"/>
        </w:rPr>
        <w:t xml:space="preserve"/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gerenciador de recursos / máquina estendida / compilador / montador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máquina estendida / gerenciador de recursos / compilador / ligador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máquina estendida / gerenciador de recursos / montador / interpretador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gerenciador de recursos / máquina estendida / montador / compilador</w:t>
      </w:r>
    </w:p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shd w:fill="1B2A3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QUESTÃO 2   ·   Questão de Alternativas Constantes — V/F (CAT 2)</w:t>
            </w:r>
          </w:p>
        </w:tc>
      </w:tr>
    </w:tbl>
    <w:p>
      <w:pPr>
        <w:spacing w:after="180" w:line="276"/>
        <w:jc w:val="both"/>
      </w:pPr>
      <w:r>
        <w:rPr>
          <w:rFonts w:ascii="Calibri" w:cs="Calibri" w:eastAsia="Calibri" w:hAnsi="Calibri"/>
          <w:color w:val="5A6B78"/>
          <w:sz w:val="18"/>
          <w:szCs w:val="18"/>
        </w:rPr>
        <w:t xml:space="preserve">Tópico 2 — Modos de acesso, interrupções, exceções e chamadas de sistema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B2A38"/>
          <w:sz w:val="22"/>
          <w:szCs w:val="22"/>
        </w:rPr>
        <w:t xml:space="preserve">Durante a análise de um incidente, uma equipe de sustentação constatou que uma aplicação de terceiros tentou escrever diretamente no registrador de controle da controladora de disco e foi encerrada pelo sistema operacional com erro de violação de acesso. Ao investigar, a equipe revisitou os mecanismos de proteção por modo de acesso e as três formas pelas quais o controle é transferido ao núcleo.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B2A38"/>
          <w:sz w:val="22"/>
          <w:szCs w:val="22"/>
        </w:rPr>
        <w:t xml:space="preserve">Analise as afirmações a seguir sobre modo usuário, modo kernel e transferência de controle ao núcleo, identificando-as como Verdadeiras (V) ou Falsas (F).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color w:val="1B2A38"/>
          <w:sz w:val="22"/>
          <w:szCs w:val="22"/>
        </w:rPr>
        <w:t xml:space="preserve">(  ) A instrução que desabilita as interrupções do processador é privilegiada; se um processo em modo usuário tentar executá-la, o próprio hardware gera uma exceção e transfere o controle ao núcleo.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color w:val="1B2A38"/>
          <w:sz w:val="22"/>
          <w:szCs w:val="22"/>
        </w:rPr>
        <w:t xml:space="preserve">(  ) A interrupção é um evento síncrono, provocado pela instrução que está sendo executada, como uma divisão por zero ou o acesso a um endereço inválido.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color w:val="1B2A38"/>
          <w:sz w:val="22"/>
          <w:szCs w:val="22"/>
        </w:rPr>
        <w:t xml:space="preserve">(  ) A chamada de sistema é o mecanismo pelo qual um processo solicita um serviço ao núcleo, e sua execução provoca a troca controlada de modo usuário para modo kernel por meio de uma instrução de trap.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color w:val="1B2A38"/>
          <w:sz w:val="22"/>
          <w:szCs w:val="22"/>
        </w:rPr>
        <w:t xml:space="preserve">(  ) A API é sinônimo de chamada de sistema, pois toda função de biblioteca corresponde obrigatoriamente a uma única chamada de sistema executada em modo kernel.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B2A38"/>
          <w:sz w:val="22"/>
          <w:szCs w:val="22"/>
        </w:rPr>
        <w:t xml:space="preserve">Assinale a alternativa que apresenta a sequência correta.</w:t>
      </w:r>
    </w:p>
    <w:p>
      <w:pPr>
        <w:spacing w:after="40" w:line="276"/>
        <w:jc w:val="both"/>
      </w:pPr>
      <w:r>
        <w:rPr>
          <w:rFonts w:ascii="Calibri" w:cs="Calibri" w:eastAsia="Calibri" w:hAnsi="Calibri"/>
          <w:color w:val="1B2A38"/>
          <w:sz w:val="22"/>
          <w:szCs w:val="22"/>
        </w:rPr>
        <w:t xml:space="preserve"/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V – V – F – F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F – V – V – V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V – F – F – V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V – F – V – F</w:t>
      </w:r>
    </w:p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shd w:fill="1B2A3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QUESTÃO 3   ·   Questão de Ordenação (CAT 3)</w:t>
            </w:r>
          </w:p>
        </w:tc>
      </w:tr>
    </w:tbl>
    <w:p>
      <w:pPr>
        <w:spacing w:after="180" w:line="276"/>
        <w:jc w:val="both"/>
      </w:pPr>
      <w:r>
        <w:rPr>
          <w:rFonts w:ascii="Calibri" w:cs="Calibri" w:eastAsia="Calibri" w:hAnsi="Calibri"/>
          <w:color w:val="5A6B78"/>
          <w:sz w:val="18"/>
          <w:szCs w:val="18"/>
        </w:rPr>
        <w:t xml:space="preserve">Tópico 3 — Arquiteturas de núcleo, boot, carregadores de kernel e virtualização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B2A38"/>
          <w:sz w:val="22"/>
          <w:szCs w:val="22"/>
        </w:rPr>
        <w:t xml:space="preserve">Um servidor de uma clínica deixou de inicializar após uma atualização malsucedida. Na tela, o equipamento exibe a mensagem de teste de memória e, logo em seguida, a informação de que nenhum dispositivo inicializável foi encontrado. Para isolar o ponto exato da falha, a analista responsável precisa percorrer mentalmente toda a sequência de inicialização, do acionamento do botão de energia até a disponibilização dos serviços do sistema.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shd w:fill="F2F6F8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 w:line="276"/>
              <w:jc w:val="left"/>
            </w:pPr>
            <w:r>
              <w:rPr>
                <w:rFonts w:ascii="Calibri" w:cs="Calibri" w:eastAsia="Calibri" w:hAnsi="Calibri"/>
                <w:color w:val="1B2A38"/>
                <w:sz w:val="21"/>
                <w:szCs w:val="21"/>
              </w:rPr>
              <w:t xml:space="preserve">Etapas da inicialização, apresentadas fora de ordem:</w:t>
            </w:r>
          </w:p>
          <w:p>
            <w:pPr>
              <w:spacing w:after="60" w:line="276"/>
              <w:jc w:val="left"/>
            </w:pPr>
            <w:r>
              <w:rPr>
                <w:rFonts w:ascii="Calibri" w:cs="Calibri" w:eastAsia="Calibri" w:hAnsi="Calibri"/>
                <w:color w:val="1B2A38"/>
                <w:sz w:val="21"/>
                <w:szCs w:val="21"/>
              </w:rPr>
              <w:t xml:space="preserve"/>
            </w:r>
          </w:p>
          <w:p>
            <w:pPr>
              <w:spacing w:after="60" w:line="276"/>
              <w:jc w:val="left"/>
            </w:pPr>
            <w:r>
              <w:rPr>
                <w:rFonts w:ascii="Calibri" w:cs="Calibri" w:eastAsia="Calibri" w:hAnsi="Calibri"/>
                <w:color w:val="1B2A38"/>
                <w:sz w:val="21"/>
                <w:szCs w:val="21"/>
              </w:rPr>
              <w:t xml:space="preserve">1. O gerenciador de boot apresenta as opções disponíveis, carrega a imagem do kernel para a memória principal e transfere o controle a ele.</w:t>
            </w:r>
          </w:p>
          <w:p>
            <w:pPr>
              <w:spacing w:after="60" w:line="276"/>
              <w:jc w:val="left"/>
            </w:pPr>
            <w:r>
              <w:rPr>
                <w:rFonts w:ascii="Calibri" w:cs="Calibri" w:eastAsia="Calibri" w:hAnsi="Calibri"/>
                <w:color w:val="1B2A38"/>
                <w:sz w:val="21"/>
                <w:szCs w:val="21"/>
              </w:rPr>
              <w:t xml:space="preserve">2. O firmware residente na placa-mãe executa o autoteste de inicialização (POST), testando e inventariando os dispositivos de hardware essenciais.</w:t>
            </w:r>
          </w:p>
          <w:p>
            <w:pPr>
              <w:spacing w:after="60" w:line="276"/>
              <w:jc w:val="left"/>
            </w:pPr>
            <w:r>
              <w:rPr>
                <w:rFonts w:ascii="Calibri" w:cs="Calibri" w:eastAsia="Calibri" w:hAnsi="Calibri"/>
                <w:color w:val="1B2A38"/>
                <w:sz w:val="21"/>
                <w:szCs w:val="21"/>
              </w:rPr>
              <w:t xml:space="preserve">3. O kernel cria o primeiro processo em modo usuário, de identificador 1, que ativa os serviços e conduz o sistema ao seu estado operacional padrão.</w:t>
            </w:r>
          </w:p>
          <w:p>
            <w:pPr>
              <w:spacing w:after="60" w:line="276"/>
              <w:jc w:val="left"/>
            </w:pPr>
            <w:r>
              <w:rPr>
                <w:rFonts w:ascii="Calibri" w:cs="Calibri" w:eastAsia="Calibri" w:hAnsi="Calibri"/>
                <w:color w:val="1B2A38"/>
                <w:sz w:val="21"/>
                <w:szCs w:val="21"/>
              </w:rPr>
              <w:t xml:space="preserve">4. O firmware localiza o dispositivo de inicialização segundo a ordem configurada e lê o código do carregador nele gravado.</w:t>
            </w:r>
          </w:p>
          <w:p>
            <w:pPr>
              <w:spacing w:after="60" w:line="276"/>
              <w:jc w:val="left"/>
            </w:pPr>
            <w:r>
              <w:rPr>
                <w:rFonts w:ascii="Calibri" w:cs="Calibri" w:eastAsia="Calibri" w:hAnsi="Calibri"/>
                <w:color w:val="1B2A38"/>
                <w:sz w:val="21"/>
                <w:szCs w:val="21"/>
              </w:rPr>
              <w:t xml:space="preserve">5. O kernel inicializa suas estruturas internas, monta o sistema de arquivos raiz e carrega os drivers necessários.</w:t>
            </w:r>
          </w:p>
        </w:tc>
      </w:tr>
    </w:tbl>
    <w:p>
      <w:pPr>
        <w:spacing w:after="60" w:line="276"/>
        <w:jc w:val="both"/>
      </w:pPr>
      <w:r>
        <w:rPr>
          <w:rFonts w:ascii="Calibri" w:cs="Calibri" w:eastAsia="Calibri" w:hAnsi="Calibri"/>
          <w:color w:val="1B2A38"/>
          <w:sz w:val="22"/>
          <w:szCs w:val="22"/>
        </w:rPr>
        <w:t xml:space="preserve"/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B2A38"/>
          <w:sz w:val="22"/>
          <w:szCs w:val="22"/>
        </w:rPr>
        <w:t xml:space="preserve">Considerando o processo de inicialização de um computador de uso geral, ordene as etapas acima na sequência lógica em que devem ocorrer.</w:t>
      </w:r>
    </w:p>
    <w:p>
      <w:pPr>
        <w:spacing w:after="40" w:line="276"/>
        <w:jc w:val="both"/>
      </w:pPr>
      <w:r>
        <w:rPr>
          <w:rFonts w:ascii="Calibri" w:cs="Calibri" w:eastAsia="Calibri" w:hAnsi="Calibri"/>
          <w:color w:val="1B2A38"/>
          <w:sz w:val="22"/>
          <w:szCs w:val="22"/>
        </w:rPr>
        <w:t xml:space="preserve"/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4 – 2 – 1 – 3 – 5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2 – 4 – 1 – 5 – 3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2 – 1 – 4 – 5 – 3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2 – 4 – 5 – 1 – 3</w:t>
      </w:r>
    </w:p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shd w:fill="1B2A3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QUESTÃO 4   ·   Questão de Afirmativa Incompleta (CAT 1)</w:t>
            </w:r>
          </w:p>
        </w:tc>
      </w:tr>
    </w:tbl>
    <w:p>
      <w:pPr>
        <w:spacing w:after="180" w:line="276"/>
        <w:jc w:val="both"/>
      </w:pPr>
      <w:r>
        <w:rPr>
          <w:rFonts w:ascii="Calibri" w:cs="Calibri" w:eastAsia="Calibri" w:hAnsi="Calibri"/>
          <w:color w:val="5A6B78"/>
          <w:sz w:val="18"/>
          <w:szCs w:val="18"/>
        </w:rPr>
        <w:t xml:space="preserve">Tópico 4 — Processos e threads: PCB, contextos, estados e transições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B2A38"/>
          <w:sz w:val="22"/>
          <w:szCs w:val="22"/>
        </w:rPr>
        <w:t xml:space="preserve">Uma equipe está implementando um núcleo didático multitarefa para uma disciplina de laboratório. O escalonador já funciona, mas os processos, ao retomarem a execução após terem sido preemptados, reiniciam do começo em vez de continuar do ponto em que pararam. A equipe conclui que falta salvar e restaurar corretamente a estrutura de dados que preserva a situação do processador no instante da preempção.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B2A38"/>
          <w:sz w:val="22"/>
          <w:szCs w:val="22"/>
        </w:rPr>
        <w:t xml:space="preserve">A estrutura de dados mantida pelo sistema operacional que armazena o contexto de hardware de um processo — em especial o conteúdo dos registradores, do contador de programa e do ponteiro de pilha no instante em que ele perde o processador, permitindo que sua execução seja retomada exatamente do ponto de interrupção — é denominada</w:t>
      </w:r>
    </w:p>
    <w:p>
      <w:pPr>
        <w:spacing w:after="40" w:line="276"/>
        <w:jc w:val="both"/>
      </w:pPr>
      <w:r>
        <w:rPr>
          <w:rFonts w:ascii="Calibri" w:cs="Calibri" w:eastAsia="Calibri" w:hAnsi="Calibri"/>
          <w:color w:val="1B2A38"/>
          <w:sz w:val="22"/>
          <w:szCs w:val="22"/>
        </w:rPr>
        <w:t xml:space="preserve"/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Bloco de Controle de Processo (PCB), salvo e restaurado pelo dispatcher a cada troca de contexto.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tabela de páginas do processo, mantida pela MMU para traduzir seus endereços lógicos durante a execução.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pilha de execução do processo, na qual são alocados os registros de ativação das funções chamadas.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vetor de interrupções, consultado pelo processador para localizar a rotina de tratamento do evento ocorrido.</w:t>
      </w:r>
    </w:p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shd w:fill="1B2A3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QUESTÃO 5   ·   Questão de Asserção-Razão (CAT 3)</w:t>
            </w:r>
          </w:p>
        </w:tc>
      </w:tr>
    </w:tbl>
    <w:p>
      <w:pPr>
        <w:spacing w:after="180" w:line="276"/>
        <w:jc w:val="both"/>
      </w:pPr>
      <w:r>
        <w:rPr>
          <w:rFonts w:ascii="Calibri" w:cs="Calibri" w:eastAsia="Calibri" w:hAnsi="Calibri"/>
          <w:color w:val="5A6B78"/>
          <w:sz w:val="18"/>
          <w:szCs w:val="18"/>
        </w:rPr>
        <w:t xml:space="preserve">Tópico 4 — Concorrência, exclusão mútua, semáforos e deadlock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B2A38"/>
          <w:sz w:val="22"/>
          <w:szCs w:val="22"/>
        </w:rPr>
        <w:t xml:space="preserve">Um sistema de reservas mantém duas estruturas compartilhadas — a agenda de salas (protegida pelo mutex A) e o cadastro de participantes (protegido pelo mutex B). A rotina de criação de reunião adquire A e, ainda de posse dele, solicita B. A rotina de cancelamento adquire B e, ainda de posse dele, solicita A. Todas as regiões críticas estão corretamente delimitadas por operações de aquisição e liberação. Em produção, sob carga, o sistema trava de forma intermitente: as duas rotinas ficam bloqueadas indefinidamente e nenhuma delas prossegue.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B2A38"/>
          <w:sz w:val="22"/>
          <w:szCs w:val="22"/>
        </w:rPr>
        <w:t xml:space="preserve">Considerando os mecanismos de sincronização e as condições necessárias à ocorrência de impasses, avalie as asserções a seguir e a relação proposta entre elas.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color w:val="1B2A38"/>
          <w:sz w:val="22"/>
          <w:szCs w:val="22"/>
        </w:rPr>
        <w:t xml:space="preserve">I. O uso correto de semáforos binários (mutexes) em torno de todas as regiões críticas do sistema descrito é suficiente para garantir que ele não entre em deadlock,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B2A38"/>
          <w:sz w:val="22"/>
          <w:szCs w:val="22"/>
        </w:rPr>
        <w:t xml:space="preserve">PORQUE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color w:val="1B2A38"/>
          <w:sz w:val="22"/>
          <w:szCs w:val="22"/>
        </w:rPr>
        <w:t xml:space="preserve">II. a exclusão mútua assegurada pelos semáforos impede que dois fluxos de execução acessem simultaneamente a mesma estrutura compartilhada, eliminando as condições de corrida.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B2A38"/>
          <w:sz w:val="22"/>
          <w:szCs w:val="22"/>
        </w:rPr>
        <w:t xml:space="preserve">A respeito dessas asserções, assinale a opção correta.</w:t>
      </w:r>
    </w:p>
    <w:p>
      <w:pPr>
        <w:spacing w:after="40" w:line="276"/>
        <w:jc w:val="both"/>
      </w:pPr>
      <w:r>
        <w:rPr>
          <w:rFonts w:ascii="Calibri" w:cs="Calibri" w:eastAsia="Calibri" w:hAnsi="Calibri"/>
          <w:color w:val="1B2A38"/>
          <w:sz w:val="22"/>
          <w:szCs w:val="22"/>
        </w:rPr>
        <w:t xml:space="preserve"/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As asserções I e II são proposições verdadeiras, e a II é uma justificativa correta da I.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As asserções I e II são proposições verdadeiras, mas a II não é uma justificativa correta da I.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A asserção I é uma proposição verdadeira, e a II é uma proposição falsa.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A asserção I é uma proposição falsa, e a II é uma proposição verdadeira.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E)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As asserções I e II são proposições falsas.</w:t>
      </w:r>
    </w:p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shd w:fill="1B2A3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QUESTÃO 6   ·   Questão de Interpretação (CAT 1)</w:t>
            </w:r>
          </w:p>
        </w:tc>
      </w:tr>
    </w:tbl>
    <w:p>
      <w:pPr>
        <w:spacing w:after="180" w:line="276"/>
        <w:jc w:val="both"/>
      </w:pPr>
      <w:r>
        <w:rPr>
          <w:rFonts w:ascii="Calibri" w:cs="Calibri" w:eastAsia="Calibri" w:hAnsi="Calibri"/>
          <w:color w:val="5A6B78"/>
          <w:sz w:val="18"/>
          <w:szCs w:val="18"/>
        </w:rPr>
        <w:t xml:space="preserve">Tópico 5 — Compartilhamento do processador e algoritmos de escalonamento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B2A38"/>
          <w:sz w:val="22"/>
          <w:szCs w:val="22"/>
        </w:rPr>
        <w:t xml:space="preserve">A equipe de engenharia de desempenho de uma plataforma de atendimento coletou o traço de execução de quatro tarefas em um núcleo de processamento, sob a política de escalonamento atualmente configurada. O acordo de nível de serviço (SLA) da plataforma estabelece que o tempo médio de espera das tarefas na fila de prontos não pode ultrapassar 3,5 ms, e a equipe precisa propor a política que passará a ser adotada.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shd w:fill="F2F6F8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 w:line="276"/>
              <w:jc w:val="left"/>
            </w:pPr>
            <w:r>
              <w:rPr>
                <w:rFonts w:ascii="Calibri" w:cs="Calibri" w:eastAsia="Calibri" w:hAnsi="Calibri"/>
                <w:color w:val="1B2A38"/>
                <w:sz w:val="21"/>
                <w:szCs w:val="21"/>
              </w:rPr>
              <w:t xml:space="preserve">Tabela de processos e diagrama de Gantt observado com a política atual (ver figura):</w:t>
            </w:r>
          </w:p>
          <w:p>
            <w:pPr>
              <w:spacing w:after="60" w:line="276"/>
              <w:jc w:val="left"/>
            </w:pPr>
            <w:r>
              <w:rPr>
                <w:rFonts w:ascii="Calibri" w:cs="Calibri" w:eastAsia="Calibri" w:hAnsi="Calibri"/>
                <w:color w:val="1B2A38"/>
                <w:sz w:val="21"/>
                <w:szCs w:val="21"/>
              </w:rPr>
              <w:t xml:space="preserve"/>
            </w:r>
          </w:p>
          <w:p>
            <w:pPr>
              <w:spacing w:after="60" w:line="276"/>
              <w:jc w:val="left"/>
            </w:pPr>
            <w:r>
              <w:rPr>
                <w:rFonts w:ascii="Calibri" w:cs="Calibri" w:eastAsia="Calibri" w:hAnsi="Calibri"/>
                <w:color w:val="1B2A38"/>
                <w:sz w:val="21"/>
                <w:szCs w:val="21"/>
              </w:rPr>
              <w:t xml:space="preserve">P1 — chegada 0 ms, duração 7 ms</w:t>
            </w:r>
          </w:p>
          <w:p>
            <w:pPr>
              <w:spacing w:after="60" w:line="276"/>
              <w:jc w:val="left"/>
            </w:pPr>
            <w:r>
              <w:rPr>
                <w:rFonts w:ascii="Calibri" w:cs="Calibri" w:eastAsia="Calibri" w:hAnsi="Calibri"/>
                <w:color w:val="1B2A38"/>
                <w:sz w:val="21"/>
                <w:szCs w:val="21"/>
              </w:rPr>
              <w:t xml:space="preserve">P2 — chegada 2 ms, duração 4 ms</w:t>
            </w:r>
          </w:p>
          <w:p>
            <w:pPr>
              <w:spacing w:after="60" w:line="276"/>
              <w:jc w:val="left"/>
            </w:pPr>
            <w:r>
              <w:rPr>
                <w:rFonts w:ascii="Calibri" w:cs="Calibri" w:eastAsia="Calibri" w:hAnsi="Calibri"/>
                <w:color w:val="1B2A38"/>
                <w:sz w:val="21"/>
                <w:szCs w:val="21"/>
              </w:rPr>
              <w:t xml:space="preserve">P3 — chegada 4 ms, duração 1 ms</w:t>
            </w:r>
          </w:p>
          <w:p>
            <w:pPr>
              <w:spacing w:after="60" w:line="276"/>
              <w:jc w:val="left"/>
            </w:pPr>
            <w:r>
              <w:rPr>
                <w:rFonts w:ascii="Calibri" w:cs="Calibri" w:eastAsia="Calibri" w:hAnsi="Calibri"/>
                <w:color w:val="1B2A38"/>
                <w:sz w:val="21"/>
                <w:szCs w:val="21"/>
              </w:rPr>
              <w:t xml:space="preserve">P4 — chegada 5 ms, duração 4 ms</w:t>
            </w:r>
          </w:p>
          <w:p>
            <w:pPr>
              <w:spacing w:after="60" w:line="276"/>
              <w:jc w:val="left"/>
            </w:pPr>
            <w:r>
              <w:rPr>
                <w:rFonts w:ascii="Calibri" w:cs="Calibri" w:eastAsia="Calibri" w:hAnsi="Calibri"/>
                <w:color w:val="1B2A38"/>
                <w:sz w:val="21"/>
                <w:szCs w:val="21"/>
              </w:rPr>
              <w:t xml:space="preserve"/>
            </w:r>
          </w:p>
          <w:p>
            <w:pPr>
              <w:spacing w:after="60" w:line="276"/>
              <w:jc w:val="left"/>
            </w:pPr>
            <w:r>
              <w:rPr>
                <w:rFonts w:ascii="Calibri" w:cs="Calibri" w:eastAsia="Calibri" w:hAnsi="Calibri"/>
                <w:color w:val="1B2A38"/>
                <w:sz w:val="21"/>
                <w:szCs w:val="21"/>
              </w:rPr>
              <w:t xml:space="preserve">Execução observada: P1 [0–7] · P2 [7–11] · P3 [11–12] · P4 [12–16]</w:t>
            </w:r>
          </w:p>
          <w:p>
            <w:pPr>
              <w:spacing w:after="60" w:line="276"/>
              <w:jc w:val="left"/>
            </w:pPr>
            <w:r>
              <w:rPr>
                <w:rFonts w:ascii="Calibri" w:cs="Calibri" w:eastAsia="Calibri" w:hAnsi="Calibri"/>
                <w:color w:val="1B2A38"/>
                <w:sz w:val="21"/>
                <w:szCs w:val="21"/>
              </w:rPr>
              <w:t xml:space="preserve"/>
            </w:r>
          </w:p>
          <w:p>
            <w:pPr>
              <w:spacing w:after="60" w:line="276"/>
              <w:jc w:val="left"/>
            </w:pPr>
            <w:r>
              <w:rPr>
                <w:rFonts w:ascii="Calibri" w:cs="Calibri" w:eastAsia="Calibri" w:hAnsi="Calibri"/>
                <w:color w:val="1B2A38"/>
                <w:sz w:val="21"/>
                <w:szCs w:val="21"/>
              </w:rPr>
              <w:t xml:space="preserve">Requisito do SLA: tempo médio de espera ≤ 3,5 ms. As durações das tarefas são conhecidas previamente pelo escalonador.</w:t>
            </w:r>
          </w:p>
        </w:tc>
      </w:tr>
    </w:tbl>
    <w:p>
      <w:pPr>
        <w:spacing w:after="60" w:line="276"/>
        <w:jc w:val="both"/>
      </w:pPr>
      <w:r>
        <w:rPr>
          <w:rFonts w:ascii="Calibri" w:cs="Calibri" w:eastAsia="Calibri" w:hAnsi="Calibri"/>
          <w:color w:val="1B2A38"/>
          <w:sz w:val="22"/>
          <w:szCs w:val="22"/>
        </w:rPr>
        <w:t xml:space="preserve"/>
      </w:r>
    </w:p>
    <w:p>
      <w:pPr>
        <w:spacing w:after="60" w:before="160"/>
        <w:jc w:val="center"/>
      </w:pPr>
      <w:r>
        <w:drawing>
          <wp:inline distT="0" distB="0" distL="0" distR="0">
            <wp:extent cx="5715000" cy="200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line="276"/>
        <w:jc w:val="center"/>
      </w:pPr>
      <w:r>
        <w:rPr>
          <w:rFonts w:ascii="Calibri" w:cs="Calibri" w:eastAsia="Calibri" w:hAnsi="Calibri"/>
          <w:i/>
          <w:iCs/>
          <w:color w:val="5A6B78"/>
          <w:sz w:val="17"/>
          <w:szCs w:val="17"/>
        </w:rPr>
        <w:t xml:space="preserve">Figura — Traço de execução observado com a política atual. Elaboração dos autores.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B2A38"/>
          <w:sz w:val="22"/>
          <w:szCs w:val="22"/>
        </w:rPr>
        <w:t xml:space="preserve">Com base na interpretação do diagrama de Gantt e da tabela de processos, assinale a alternativa que propõe a política de escalonamento capaz de atender ao SLA, acompanhada do tempo médio de espera que ela produz para essa carga.</w:t>
      </w:r>
    </w:p>
    <w:p>
      <w:pPr>
        <w:spacing w:after="40" w:line="276"/>
        <w:jc w:val="both"/>
      </w:pPr>
      <w:r>
        <w:rPr>
          <w:rFonts w:ascii="Calibri" w:cs="Calibri" w:eastAsia="Calibri" w:hAnsi="Calibri"/>
          <w:color w:val="1B2A38"/>
          <w:sz w:val="22"/>
          <w:szCs w:val="22"/>
        </w:rPr>
        <w:t xml:space="preserve"/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SJF não preemptivo (Shortest Job First), com tempo médio de espera de 3,0 ms.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SRTF (menor tempo restante primeiro), com tempo médio de espera de 3,0 ms.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Round-Robin com quantum de 2 ms, com tempo médio de espera de 1,5 ms.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Manter o FCFS (4,75 ms), pois políticas preemptivas levariam tarefas longas à inanição.</w:t>
      </w:r>
    </w:p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shd w:fill="1B2A3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QUESTÃO 7   ·   Questão de Resposta Única (CAT 1)</w:t>
            </w:r>
          </w:p>
        </w:tc>
      </w:tr>
    </w:tbl>
    <w:p>
      <w:pPr>
        <w:spacing w:after="180" w:line="276"/>
        <w:jc w:val="both"/>
      </w:pPr>
      <w:r>
        <w:rPr>
          <w:rFonts w:ascii="Calibri" w:cs="Calibri" w:eastAsia="Calibri" w:hAnsi="Calibri"/>
          <w:color w:val="5A6B78"/>
          <w:sz w:val="18"/>
          <w:szCs w:val="18"/>
        </w:rPr>
        <w:t xml:space="preserve">Tópico 6 — Memória principal: alocação contígua, particionamento e fragmentação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B2A38"/>
          <w:sz w:val="22"/>
          <w:szCs w:val="22"/>
        </w:rPr>
        <w:t xml:space="preserve">Um sistema embarcado utiliza gerenciamento de memória com partições variáveis e alocação contígua. Em determinado instante, o mapa de áreas livres da memória principal apresenta, na ordem crescente de endereço, blocos de 100 KB, 500 KB, 200 KB, 300 KB e 600 KB. Nesse momento, o sistema recebe a requisição de carga de um processo que necessita de 212 KB contíguos.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B2A38"/>
          <w:sz w:val="22"/>
          <w:szCs w:val="22"/>
        </w:rPr>
        <w:t xml:space="preserve">Considerando o funcionamento das estratégias de alocação e os tipos de fragmentação, assinale a alternativa que indica corretamente a área escolhida pela estratégia best-fit e o tipo de fragmentação característico desse esquema de gerenciamento.</w:t>
      </w:r>
    </w:p>
    <w:p>
      <w:pPr>
        <w:spacing w:after="40" w:line="276"/>
        <w:jc w:val="both"/>
      </w:pPr>
      <w:r>
        <w:rPr>
          <w:rFonts w:ascii="Calibri" w:cs="Calibri" w:eastAsia="Calibri" w:hAnsi="Calibri"/>
          <w:color w:val="1B2A38"/>
          <w:sz w:val="22"/>
          <w:szCs w:val="22"/>
        </w:rPr>
        <w:t xml:space="preserve"/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A área de 500 KB; a fragmentação característica é a interna, pois sobra espaço não utilizado dentro da partição alocada ao processo.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A área de 300 KB; a fragmentação característica é a interna, pois a partição tem tamanho predefinido, superior ao exigido pelo processo.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A área de 300 KB; a fragmentação característica é a externa, pois restam lacunas livres pequenas e dispersas, incapazes de atender a novos pedidos.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A área de 600 KB; a fragmentação característica é a externa, pois a maior lacuna disponível é subdividida a cada nova alocação realizada.</w:t>
      </w:r>
    </w:p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shd w:fill="1B2A3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QUESTÃO 8   ·   Questão de Resposta Única com cálculo aplicado (CAT 1)</w:t>
            </w:r>
          </w:p>
        </w:tc>
      </w:tr>
    </w:tbl>
    <w:p>
      <w:pPr>
        <w:spacing w:after="180" w:line="276"/>
        <w:jc w:val="both"/>
      </w:pPr>
      <w:r>
        <w:rPr>
          <w:rFonts w:ascii="Calibri" w:cs="Calibri" w:eastAsia="Calibri" w:hAnsi="Calibri"/>
          <w:color w:val="5A6B78"/>
          <w:sz w:val="18"/>
          <w:szCs w:val="18"/>
        </w:rPr>
        <w:t xml:space="preserve">Tópico 7 — Memória virtual: políticas de substituição de páginas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B2A38"/>
          <w:sz w:val="22"/>
          <w:szCs w:val="22"/>
        </w:rPr>
        <w:t xml:space="preserve">A arquiteta de um sistema operacional para dispositivos de borda precisa escolher a política de substituição de páginas do gerenciador de memória virtual. Para fundamentar a decisão, ela simula o comportamento de três algoritmos sobre a mesma carga de trabalho, com três quadros de página e memória inicialmente vazia.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shd w:fill="F2F6F8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 w:line="276"/>
              <w:jc w:val="left"/>
            </w:pPr>
            <w:r>
              <w:rPr>
                <w:rFonts w:ascii="Calibri" w:cs="Calibri" w:eastAsia="Calibri" w:hAnsi="Calibri"/>
                <w:color w:val="1B2A38"/>
                <w:sz w:val="21"/>
                <w:szCs w:val="21"/>
              </w:rPr>
              <w:t xml:space="preserve">Cadeia de referências a páginas utilizada na simulação:</w:t>
            </w:r>
          </w:p>
          <w:p>
            <w:pPr>
              <w:spacing w:after="60" w:line="276"/>
              <w:jc w:val="left"/>
            </w:pPr>
            <w:r>
              <w:rPr>
                <w:rFonts w:ascii="Calibri" w:cs="Calibri" w:eastAsia="Calibri" w:hAnsi="Calibri"/>
                <w:color w:val="1B2A38"/>
                <w:sz w:val="21"/>
                <w:szCs w:val="21"/>
              </w:rPr>
              <w:t xml:space="preserve"/>
            </w:r>
          </w:p>
          <w:p>
            <w:pPr>
              <w:spacing w:after="60" w:line="276"/>
              <w:jc w:val="left"/>
            </w:pPr>
            <w:r>
              <w:rPr>
                <w:rFonts w:ascii="Calibri" w:cs="Calibri" w:eastAsia="Calibri" w:hAnsi="Calibri"/>
                <w:color w:val="1B2A38"/>
                <w:sz w:val="21"/>
                <w:szCs w:val="21"/>
              </w:rPr>
              <w:t xml:space="preserve">7  ·  0  ·  1  ·  2  ·  0  ·  3  ·  0  ·  4  ·  2  ·  3</w:t>
            </w:r>
          </w:p>
          <w:p>
            <w:pPr>
              <w:spacing w:after="60" w:line="276"/>
              <w:jc w:val="left"/>
            </w:pPr>
            <w:r>
              <w:rPr>
                <w:rFonts w:ascii="Calibri" w:cs="Calibri" w:eastAsia="Calibri" w:hAnsi="Calibri"/>
                <w:color w:val="1B2A38"/>
                <w:sz w:val="21"/>
                <w:szCs w:val="21"/>
              </w:rPr>
              <w:t xml:space="preserve"/>
            </w:r>
          </w:p>
          <w:p>
            <w:pPr>
              <w:spacing w:after="60" w:line="276"/>
              <w:jc w:val="left"/>
            </w:pPr>
            <w:r>
              <w:rPr>
                <w:rFonts w:ascii="Calibri" w:cs="Calibri" w:eastAsia="Calibri" w:hAnsi="Calibri"/>
                <w:color w:val="1B2A38"/>
                <w:sz w:val="21"/>
                <w:szCs w:val="21"/>
              </w:rPr>
              <w:t xml:space="preserve">Número de quadros disponíveis: 3.  Memória inicialmente vazia (todas as faltas iniciais devem ser contabilizadas).</w:t>
            </w:r>
          </w:p>
        </w:tc>
      </w:tr>
    </w:tbl>
    <w:p>
      <w:pPr>
        <w:spacing w:after="60" w:line="276"/>
        <w:jc w:val="both"/>
      </w:pPr>
      <w:r>
        <w:rPr>
          <w:rFonts w:ascii="Calibri" w:cs="Calibri" w:eastAsia="Calibri" w:hAnsi="Calibri"/>
          <w:color w:val="1B2A38"/>
          <w:sz w:val="22"/>
          <w:szCs w:val="22"/>
        </w:rPr>
        <w:t xml:space="preserve"/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B2A38"/>
          <w:sz w:val="22"/>
          <w:szCs w:val="22"/>
        </w:rPr>
        <w:t xml:space="preserve">Ao simular os algoritmos FIFO, LRU e Ótimo sobre a cadeia de referências apresentada, qual é o número de faltas de página produzido por cada um deles, respectivamente, e qual conclusão de projeto se sustenta a partir do resultado?</w:t>
      </w:r>
    </w:p>
    <w:p>
      <w:pPr>
        <w:spacing w:after="40" w:line="276"/>
        <w:jc w:val="both"/>
      </w:pPr>
      <w:r>
        <w:rPr>
          <w:rFonts w:ascii="Calibri" w:cs="Calibri" w:eastAsia="Calibri" w:hAnsi="Calibri"/>
          <w:color w:val="1B2A38"/>
          <w:sz w:val="22"/>
          <w:szCs w:val="22"/>
        </w:rPr>
        <w:t xml:space="preserve"/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9, 8 e 6 faltas; o algoritmo Ótimo serve apenas como referência teórica de desempenho, e o LRU é a política implementável mais próxima dele.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9, 9 e 8 faltas; FIFO e LRU têm desempenho equivalente nessa carga, de modo que a escolha entre eles deve considerar apenas o custo de implementação.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6, 5 e 3 faltas; como as primeiras cargas ocorrem em memória vazia, elas não configuram falta de página e não entram na contagem.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15, 13 e 9 faltas; toda referência a uma página que provoque substituição gera duas faltas, uma na retirada e outra na carga da nova página.</w:t>
      </w:r>
    </w:p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shd w:fill="1B2A3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QUESTÃO 9   ·   Questão de Afirmativas Múltiplas (CAT 2)</w:t>
            </w:r>
          </w:p>
        </w:tc>
      </w:tr>
    </w:tbl>
    <w:p>
      <w:pPr>
        <w:spacing w:after="180" w:line="276"/>
        <w:jc w:val="both"/>
      </w:pPr>
      <w:r>
        <w:rPr>
          <w:rFonts w:ascii="Calibri" w:cs="Calibri" w:eastAsia="Calibri" w:hAnsi="Calibri"/>
          <w:color w:val="5A6B78"/>
          <w:sz w:val="18"/>
          <w:szCs w:val="18"/>
        </w:rPr>
        <w:t xml:space="preserve">Tópico 7 — Working set, TLB, thrashing e políticas de alocação de quadros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B2A38"/>
          <w:sz w:val="22"/>
          <w:szCs w:val="22"/>
        </w:rPr>
        <w:t xml:space="preserve">Um servidor de aplicação apresenta degradação severa de desempenho. O monitoramento mostra utilização de CPU abaixo de 8%, fila de E/S do disco permanentemente saturada e taxa de faltas de página duas ordens de grandeza acima do valor histórico. A quantidade de processos residentes vinha sendo aumentada gradualmente ao longo da semana.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B2A38"/>
          <w:sz w:val="22"/>
          <w:szCs w:val="22"/>
        </w:rPr>
        <w:t xml:space="preserve">Considerando os conceitos de memória virtual e o diagnóstico do cenário apresentado, avalie as afirmativas a seguir.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color w:val="1B2A38"/>
          <w:sz w:val="22"/>
          <w:szCs w:val="22"/>
        </w:rPr>
        <w:t xml:space="preserve">I. O quadro descrito caracteriza thrashing, situação em que a utilização da CPU despenca em meio a intensa atividade de paginação, e que ocorre quando o conjunto de páginas ativas (working set) dos processos residentes excede o número de quadros disponíveis na memória principal.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color w:val="1B2A38"/>
          <w:sz w:val="22"/>
          <w:szCs w:val="22"/>
        </w:rPr>
        <w:t xml:space="preserve">II. Ampliar ainda mais o grau de multiprogramação é a medida corretiva adequada, pois, havendo mais processos prontos, o escalonador consegue manter a CPU ocupada enquanto os demais aguardam a conclusão das operações de E/S de página.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color w:val="1B2A38"/>
          <w:sz w:val="22"/>
          <w:szCs w:val="22"/>
        </w:rPr>
        <w:t xml:space="preserve">III. A TLB é uma memória associativa que armazena as traduções de páginas mais recentemente utilizadas; um acerto na TLB dispensa a consulta à tabela de páginas residente na memória principal para concluir a tradução do endereço.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color w:val="1B2A38"/>
          <w:sz w:val="22"/>
          <w:szCs w:val="22"/>
        </w:rPr>
        <w:t xml:space="preserve">IV. Sob política de substituição global, um processo pode tomar quadros de outro e, por isso, sua taxa de faltas de página passa a depender do comportamento dos demais processos, ao passo que, na política local, essa taxa depende apenas do próprio comportamento.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B2A38"/>
          <w:sz w:val="22"/>
          <w:szCs w:val="22"/>
        </w:rPr>
        <w:t xml:space="preserve">É correto apenas o que se afirma em</w:t>
      </w:r>
    </w:p>
    <w:p>
      <w:pPr>
        <w:spacing w:after="40" w:line="276"/>
        <w:jc w:val="both"/>
      </w:pPr>
      <w:r>
        <w:rPr>
          <w:rFonts w:ascii="Calibri" w:cs="Calibri" w:eastAsia="Calibri" w:hAnsi="Calibri"/>
          <w:color w:val="1B2A38"/>
          <w:sz w:val="22"/>
          <w:szCs w:val="22"/>
        </w:rPr>
        <w:t xml:space="preserve"/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I e II.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II e III.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I, III e IV.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I, II e IV.</w:t>
      </w:r>
    </w:p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shd w:fill="1B2A3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QUESTÃO 10   ·   Questão de Associação de Colunas (CAT 2)</w:t>
            </w:r>
          </w:p>
        </w:tc>
      </w:tr>
    </w:tbl>
    <w:p>
      <w:pPr>
        <w:spacing w:after="180" w:line="276"/>
        <w:jc w:val="both"/>
      </w:pPr>
      <w:r>
        <w:rPr>
          <w:rFonts w:ascii="Calibri" w:cs="Calibri" w:eastAsia="Calibri" w:hAnsi="Calibri"/>
          <w:color w:val="5A6B78"/>
          <w:sz w:val="18"/>
          <w:szCs w:val="18"/>
        </w:rPr>
        <w:t xml:space="preserve">Tópico 8 — Sistemas de arquivos: métodos de alocação em disco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B2A38"/>
          <w:sz w:val="22"/>
          <w:szCs w:val="22"/>
        </w:rPr>
        <w:t xml:space="preserve">Ao especificar o sistema de arquivos de um equipamento de aquisição de dados, uma equipe de projeto avalia como os blocos de cada arquivo serão distribuídos no disco. A decisão precisa levar em conta o desempenho no acesso sequencial e no acesso direto, a ocorrência de fragmentação e o custo de estruturas auxiliares.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shd w:fill="F2F6F8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 w:line="276"/>
              <w:jc w:val="left"/>
            </w:pPr>
            <w:r>
              <w:rPr>
                <w:rFonts w:ascii="Calibri" w:cs="Calibri" w:eastAsia="Calibri" w:hAnsi="Calibri"/>
                <w:color w:val="1B2A38"/>
                <w:sz w:val="21"/>
                <w:szCs w:val="21"/>
              </w:rPr>
              <w:t xml:space="preserve">Coluna 1 — Métodos de alocação</w:t>
            </w:r>
          </w:p>
          <w:p>
            <w:pPr>
              <w:spacing w:after="60" w:line="276"/>
              <w:jc w:val="left"/>
            </w:pPr>
            <w:r>
              <w:rPr>
                <w:rFonts w:ascii="Calibri" w:cs="Calibri" w:eastAsia="Calibri" w:hAnsi="Calibri"/>
                <w:color w:val="1B2A38"/>
                <w:sz w:val="21"/>
                <w:szCs w:val="21"/>
              </w:rPr>
              <w:t xml:space="preserve">1. Alocação contígua</w:t>
            </w:r>
          </w:p>
          <w:p>
            <w:pPr>
              <w:spacing w:after="60" w:line="276"/>
              <w:jc w:val="left"/>
            </w:pPr>
            <w:r>
              <w:rPr>
                <w:rFonts w:ascii="Calibri" w:cs="Calibri" w:eastAsia="Calibri" w:hAnsi="Calibri"/>
                <w:color w:val="1B2A38"/>
                <w:sz w:val="21"/>
                <w:szCs w:val="21"/>
              </w:rPr>
              <w:t xml:space="preserve">2. Alocação encadeada</w:t>
            </w:r>
          </w:p>
          <w:p>
            <w:pPr>
              <w:spacing w:after="60" w:line="276"/>
              <w:jc w:val="left"/>
            </w:pPr>
            <w:r>
              <w:rPr>
                <w:rFonts w:ascii="Calibri" w:cs="Calibri" w:eastAsia="Calibri" w:hAnsi="Calibri"/>
                <w:color w:val="1B2A38"/>
                <w:sz w:val="21"/>
                <w:szCs w:val="21"/>
              </w:rPr>
              <w:t xml:space="preserve">3. Alocação indexada</w:t>
            </w:r>
          </w:p>
          <w:p>
            <w:pPr>
              <w:spacing w:after="60" w:line="276"/>
              <w:jc w:val="left"/>
            </w:pPr>
            <w:r>
              <w:rPr>
                <w:rFonts w:ascii="Calibri" w:cs="Calibri" w:eastAsia="Calibri" w:hAnsi="Calibri"/>
                <w:color w:val="1B2A38"/>
                <w:sz w:val="21"/>
                <w:szCs w:val="21"/>
              </w:rPr>
              <w:t xml:space="preserve"/>
            </w:r>
          </w:p>
          <w:p>
            <w:pPr>
              <w:spacing w:after="60" w:line="276"/>
              <w:jc w:val="left"/>
            </w:pPr>
            <w:r>
              <w:rPr>
                <w:rFonts w:ascii="Calibri" w:cs="Calibri" w:eastAsia="Calibri" w:hAnsi="Calibri"/>
                <w:color w:val="1B2A38"/>
                <w:sz w:val="21"/>
                <w:szCs w:val="21"/>
              </w:rPr>
              <w:t xml:space="preserve">Coluna 2 — Características</w:t>
            </w:r>
          </w:p>
          <w:p>
            <w:pPr>
              <w:spacing w:after="60" w:line="276"/>
              <w:jc w:val="left"/>
            </w:pPr>
            <w:r>
              <w:rPr>
                <w:rFonts w:ascii="Calibri" w:cs="Calibri" w:eastAsia="Calibri" w:hAnsi="Calibri"/>
                <w:color w:val="1B2A38"/>
                <w:sz w:val="21"/>
                <w:szCs w:val="21"/>
              </w:rPr>
              <w:t xml:space="preserve">(  ) Cada bloco do arquivo guarda um ponteiro para o bloco seguinte, o que elimina a fragmentação externa, mas torna o acesso direto ineficiente, pois exige percorrer a cadeia desde o início.</w:t>
            </w:r>
          </w:p>
          <w:p>
            <w:pPr>
              <w:spacing w:after="60" w:line="276"/>
              <w:jc w:val="left"/>
            </w:pPr>
            <w:r>
              <w:rPr>
                <w:rFonts w:ascii="Calibri" w:cs="Calibri" w:eastAsia="Calibri" w:hAnsi="Calibri"/>
                <w:color w:val="1B2A38"/>
                <w:sz w:val="21"/>
                <w:szCs w:val="21"/>
              </w:rPr>
              <w:t xml:space="preserve">(  ) O arquivo ocupa um conjunto de blocos sequenciais no disco, o que oferece o melhor desempenho em leitura sequencial e permite acesso direto por cálculo simples, mas provoca fragmentação externa e dificulta o crescimento do arquivo.</w:t>
            </w:r>
          </w:p>
          <w:p>
            <w:pPr>
              <w:spacing w:after="60" w:line="276"/>
              <w:jc w:val="left"/>
            </w:pPr>
            <w:r>
              <w:rPr>
                <w:rFonts w:ascii="Calibri" w:cs="Calibri" w:eastAsia="Calibri" w:hAnsi="Calibri"/>
                <w:color w:val="1B2A38"/>
                <w:sz w:val="21"/>
                <w:szCs w:val="21"/>
              </w:rPr>
              <w:t xml:space="preserve">(  ) Um bloco dedicado reúne os ponteiros para todos os blocos de dados do arquivo, o que preserva a eficiência do acesso direto e elimina a fragmentação externa, ao custo do espaço ocupado pela estrutura de índice.</w:t>
            </w:r>
          </w:p>
        </w:tc>
      </w:tr>
    </w:tbl>
    <w:p>
      <w:pPr>
        <w:spacing w:after="60" w:line="276"/>
        <w:jc w:val="both"/>
      </w:pPr>
      <w:r>
        <w:rPr>
          <w:rFonts w:ascii="Calibri" w:cs="Calibri" w:eastAsia="Calibri" w:hAnsi="Calibri"/>
          <w:color w:val="1B2A38"/>
          <w:sz w:val="22"/>
          <w:szCs w:val="22"/>
        </w:rPr>
        <w:t xml:space="preserve"/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B2A38"/>
          <w:sz w:val="22"/>
          <w:szCs w:val="22"/>
        </w:rPr>
        <w:t xml:space="preserve">Relacione os métodos de alocação de arquivos em disco da primeira coluna com as características apresentadas na segunda coluna e assinale a alternativa que contém a sequência correta.</w:t>
      </w:r>
    </w:p>
    <w:p>
      <w:pPr>
        <w:spacing w:after="40" w:line="276"/>
        <w:jc w:val="both"/>
      </w:pPr>
      <w:r>
        <w:rPr>
          <w:rFonts w:ascii="Calibri" w:cs="Calibri" w:eastAsia="Calibri" w:hAnsi="Calibri"/>
          <w:color w:val="1B2A38"/>
          <w:sz w:val="22"/>
          <w:szCs w:val="22"/>
        </w:rPr>
        <w:t xml:space="preserve"/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1 – 2 – 3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3 – 1 – 2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2 – 3 – 1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2 – 1 – 3</w:t>
      </w:r>
    </w:p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shd w:fill="1B2A3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QUESTÃO 11   ·   Questão de Afirmativas Múltiplas (CAT 2)</w:t>
            </w:r>
          </w:p>
        </w:tc>
      </w:tr>
    </w:tbl>
    <w:p>
      <w:pPr>
        <w:spacing w:after="180" w:line="276"/>
        <w:jc w:val="both"/>
      </w:pPr>
      <w:r>
        <w:rPr>
          <w:rFonts w:ascii="Calibri" w:cs="Calibri" w:eastAsia="Calibri" w:hAnsi="Calibri"/>
          <w:color w:val="5A6B78"/>
          <w:sz w:val="18"/>
          <w:szCs w:val="18"/>
        </w:rPr>
        <w:t xml:space="preserve">Tópico 8 — Projeto de solução de armazenamento, journaling e espaços livres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B2A38"/>
          <w:sz w:val="22"/>
          <w:szCs w:val="22"/>
        </w:rPr>
        <w:t xml:space="preserve">Um hospital vai implantar um servidor Linux para o arquivo de imagens de exames. Os requisitos são: arquivos individuais de 2 GB a 40 GB; leitura frequente de trechos específicos de cada exame, em posições arbitrárias do arquivo; e garantia de que uma queda de energia não deixe o volume em estado inconsistente nem exija horas de verificação para voltar ao ar.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B2A38"/>
          <w:sz w:val="22"/>
          <w:szCs w:val="22"/>
        </w:rPr>
        <w:t xml:space="preserve">Com o objetivo de projetar a solução de armazenamento que atenda aos requisitos de desempenho e de integridade descritos, analise as propostas formuladas pela equipe de infraestrutura.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color w:val="1B2A38"/>
          <w:sz w:val="22"/>
          <w:szCs w:val="22"/>
        </w:rPr>
        <w:t xml:space="preserve">I. Adotar um sistema de arquivos com journaling, como ext4 ou XFS, atende ao requisito de integridade: o registro prévio das operações em um diário permite que, após uma queda de energia, a recuperação se dê pela reaplicação ou pelo descarte das transações incompletas, dispensando a varredura completa do volume.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color w:val="1B2A38"/>
          <w:sz w:val="22"/>
          <w:szCs w:val="22"/>
        </w:rPr>
        <w:t xml:space="preserve">II. A alocação indexada é preferível à encadeada para os arquivos de imagem, pois preserva a eficiência do acesso direto a blocos arbitrários, necessária à leitura de regiões específicas de exames de grande porte.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color w:val="1B2A38"/>
          <w:sz w:val="22"/>
          <w:szCs w:val="22"/>
        </w:rPr>
        <w:t xml:space="preserve">III. A escolha do sistema FAT32 atenderia melhor ao cenário, uma vez que sua tabela de alocação centralizada oferece journaling nativo e comporta arquivos individuais do porte exigido pelos exames.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 w:val="false"/>
          <w:bCs w:val="false"/>
          <w:color w:val="1B2A38"/>
          <w:sz w:val="22"/>
          <w:szCs w:val="22"/>
        </w:rPr>
        <w:t xml:space="preserve">IV. A gerência de espaços livres por mapa de bits facilita a localização de conjuntos de blocos contíguos, o que é útil para reduzir a fragmentação dos arquivos de grande porte gravados no volume.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B2A38"/>
          <w:sz w:val="22"/>
          <w:szCs w:val="22"/>
        </w:rPr>
        <w:t xml:space="preserve">Devem compor a solução apenas as propostas</w:t>
      </w:r>
    </w:p>
    <w:p>
      <w:pPr>
        <w:spacing w:after="40" w:line="276"/>
        <w:jc w:val="both"/>
      </w:pPr>
      <w:r>
        <w:rPr>
          <w:rFonts w:ascii="Calibri" w:cs="Calibri" w:eastAsia="Calibri" w:hAnsi="Calibri"/>
          <w:color w:val="1B2A38"/>
          <w:sz w:val="22"/>
          <w:szCs w:val="22"/>
        </w:rPr>
        <w:t xml:space="preserve"/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I e III.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I, II e IV.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II e III.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I, III e IV.</w:t>
      </w:r>
    </w:p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shd w:fill="1B2A3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QUESTÃO 12   ·   Questão de Afirmativa Negativa (CAT 1)</w:t>
            </w:r>
          </w:p>
        </w:tc>
      </w:tr>
    </w:tbl>
    <w:p>
      <w:pPr>
        <w:spacing w:after="180" w:line="276"/>
        <w:jc w:val="both"/>
      </w:pPr>
      <w:r>
        <w:rPr>
          <w:rFonts w:ascii="Calibri" w:cs="Calibri" w:eastAsia="Calibri" w:hAnsi="Calibri"/>
          <w:color w:val="5A6B78"/>
          <w:sz w:val="18"/>
          <w:szCs w:val="18"/>
        </w:rPr>
        <w:t xml:space="preserve">Tópico 9 — Gerência de E/S, DMA, spooling, cache e proteção de recursos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1B2A38"/>
          <w:sz w:val="22"/>
          <w:szCs w:val="22"/>
        </w:rPr>
        <w:t xml:space="preserve">Ao revisar a configuração de um servidor que acumula as funções de arquivo e de impressão, um administrador de sistemas elabora um documento técnico com as premissas que orientaram suas decisões sobre o subsistema de entrada e saída. O documento será submetido à validação da equipe de arquitetura, que precisa identificar eventuais premissas equivocadas antes da aprovação.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color w:val="1B2A38"/>
          <w:sz w:val="22"/>
          <w:szCs w:val="22"/>
        </w:rPr>
        <w:t xml:space="preserve">Considerando o funcionamento do subsistema de entrada e saída e os mecanismos de proteção de recursos, assinale a alternativa que apresenta uma afirmação INCORRETA.</w:t>
      </w:r>
    </w:p>
    <w:p>
      <w:pPr>
        <w:spacing w:after="40" w:line="276"/>
        <w:jc w:val="both"/>
      </w:pPr>
      <w:r>
        <w:rPr>
          <w:rFonts w:ascii="Calibri" w:cs="Calibri" w:eastAsia="Calibri" w:hAnsi="Calibri"/>
          <w:color w:val="1B2A38"/>
          <w:sz w:val="22"/>
          <w:szCs w:val="22"/>
        </w:rPr>
        <w:t xml:space="preserve"/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Na E/S por acesso direto à memória (DMA), o controlador transfere blocos inteiros entre o dispositivo e a memória principal e interrompe o processador apenas ao final da transferência, reduzindo a sobrecarga da CPU em relação à E/S por interrupção.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O spooling desacopla a aplicação do dispositivo ao gravar a saída em uma área intermediária em disco, permitindo que vários processos submetam trabalhos simultaneamente enquanto um processo servidor os envia à impressora, um de cada vez.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O buffer cache mantém em memória principal blocos de disco recentemente acessados e aproveita o princípio da localidade de referência para reduzir o número de acessos físicos ao dispositivo.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Em sistemas Linux, as permissões de leitura, escrita e execução aplicadas ao proprietário, ao grupo e aos demais usuários são verificadas pelo núcleo, e o bit de execução em um diretório controla a possibilidade de atravessá-lo para alcançar seu conteúdo.</w:t>
      </w:r>
    </w:p>
    <w:p>
      <w:pPr>
        <w:spacing w:after="100" w:line="276"/>
        <w:ind w:left="340" w:hanging="340"/>
        <w:jc w:val="both"/>
      </w:pPr>
      <w:r>
        <w:rPr>
          <w:rFonts w:ascii="Calibri" w:cs="Calibri" w:eastAsia="Calibri" w:hAnsi="Calibri"/>
          <w:b/>
          <w:bCs/>
          <w:color w:val="2E7D8F"/>
          <w:sz w:val="22"/>
          <w:szCs w:val="22"/>
        </w:rPr>
        <w:t xml:space="preserve">E)  </w:t>
      </w:r>
      <w:r>
        <w:rPr>
          <w:rFonts w:ascii="Calibri" w:cs="Calibri" w:eastAsia="Calibri" w:hAnsi="Calibri"/>
          <w:color w:val="1B2A38"/>
          <w:sz w:val="22"/>
          <w:szCs w:val="22"/>
        </w:rPr>
        <w:t xml:space="preserve">Na E/S programada por polling, o processador delega ao controlador o controle completo da transferência e permanece livre para executar outros processos, sendo por isso a técnica mais eficiente para dispositivos de alta taxa de transferência.</w:t>
      </w:r>
    </w:p>
    <w:sectPr>
      <w:headerReference w:type="default" r:id="rId7"/>
      <w:footerReference w:type="default" r:id="rId8"/>
      <w:pgSz w:w="11906" w:h="16838" w:orient="portrait"/>
      <w:pgMar w:top="1100" w:right="1000" w:bottom="11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Calibri" w:cs="Calibri" w:eastAsia="Calibri" w:hAnsi="Calibri"/>
        <w:color w:val="5A6B78"/>
        <w:sz w:val="16"/>
        <w:szCs w:val="16"/>
      </w:rPr>
      <w:t xml:space="preserve">Página </w:t>
    </w:r>
    <w:r>
      <w:rPr>
        <w:rFonts w:ascii="Calibri" w:cs="Calibri" w:eastAsia="Calibri" w:hAnsi="Calibri"/>
        <w:color w:val="5A6B78"/>
        <w:sz w:val="16"/>
        <w:szCs w:val="16"/>
      </w:rPr>
      <w:fldChar w:fldCharType="begin"/>
    </w:r>
    <w:r>
      <w:rPr>
        <w:rFonts w:ascii="Calibri" w:cs="Calibri" w:eastAsia="Calibri" w:hAnsi="Calibri"/>
        <w:color w:val="5A6B78"/>
        <w:sz w:val="16"/>
        <w:szCs w:val="16"/>
      </w:rPr>
      <w:instrText xml:space="preserve"> PAGE </w:instrText>
    </w:r>
    <w:r>
      <w:rPr>
        <w:rFonts w:ascii="Calibri" w:cs="Calibri" w:eastAsia="Calibri" w:hAnsi="Calibri"/>
        <w:color w:val="5A6B78"/>
        <w:sz w:val="16"/>
        <w:szCs w:val="16"/>
      </w:rPr>
      <w:fldChar w:fldCharType="separate"/>
    </w:r>
    <w:r>
      <w:rPr>
        <w:rFonts w:ascii="Calibri" w:cs="Calibri" w:eastAsia="Calibri" w:hAnsi="Calibri"/>
        <w:color w:val="5A6B78"/>
        <w:sz w:val="16"/>
        <w:szCs w:val="16"/>
      </w:rPr>
      <w:t>1</w:t>
    </w:r>
    <w:r>
      <w:rPr>
        <w:rFonts w:ascii="Calibri" w:cs="Calibri" w:eastAsia="Calibri" w:hAnsi="Calibri"/>
        <w:color w:val="5A6B78"/>
        <w:sz w:val="16"/>
        <w:szCs w:val="16"/>
      </w:rPr>
      <w:fldChar w:fldCharType="end"/>
    </w:r>
    <w:r>
      <w:rPr>
        <w:rFonts w:ascii="Calibri" w:cs="Calibri" w:eastAsia="Calibri" w:hAnsi="Calibri"/>
        <w:color w:val="5A6B78"/>
        <w:sz w:val="16"/>
        <w:szCs w:val="16"/>
      </w:rPr>
      <w:t xml:space="preserve"> de </w:t>
    </w:r>
    <w:r>
      <w:rPr>
        <w:rFonts w:ascii="Calibri" w:cs="Calibri" w:eastAsia="Calibri" w:hAnsi="Calibri"/>
        <w:color w:val="5A6B78"/>
        <w:sz w:val="16"/>
        <w:szCs w:val="16"/>
      </w:rPr>
      <w:fldChar w:fldCharType="begin"/>
    </w:r>
    <w:r>
      <w:rPr>
        <w:rFonts w:ascii="Calibri" w:cs="Calibri" w:eastAsia="Calibri" w:hAnsi="Calibri"/>
        <w:color w:val="5A6B78"/>
        <w:sz w:val="16"/>
        <w:szCs w:val="16"/>
      </w:rPr>
      <w:instrText xml:space="preserve"> NUMPAGES </w:instrText>
    </w:r>
    <w:r>
      <w:rPr>
        <w:rFonts w:ascii="Calibri" w:cs="Calibri" w:eastAsia="Calibri" w:hAnsi="Calibri"/>
        <w:color w:val="5A6B78"/>
        <w:sz w:val="16"/>
        <w:szCs w:val="16"/>
      </w:rPr>
      <w:fldChar w:fldCharType="separate"/>
    </w:r>
    <w:r>
      <w:rPr>
        <w:rFonts w:ascii="Calibri" w:cs="Calibri" w:eastAsia="Calibri" w:hAnsi="Calibri"/>
        <w:color w:val="5A6B78"/>
        <w:sz w:val="16"/>
        <w:szCs w:val="16"/>
      </w:rPr>
      <w:t>14</w:t>
    </w:r>
    <w:r>
      <w:rPr>
        <w:rFonts w:ascii="Calibri" w:cs="Calibri" w:eastAsia="Calibri" w:hAnsi="Calibri"/>
        <w:color w:val="5A6B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76"/>
      <w:jc w:val="right"/>
    </w:pPr>
    <w:r>
      <w:rPr>
        <w:rFonts w:ascii="Calibri" w:cs="Calibri" w:eastAsia="Calibri" w:hAnsi="Calibri"/>
        <w:color w:val="5A6B78"/>
        <w:sz w:val="17"/>
        <w:szCs w:val="17"/>
      </w:rPr>
      <w:t xml:space="preserve">SISTEMAS OPERACIONAIS — Questões · ENADE 2026 · Squad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5229d416a19ed3f555f010652ee18b022dba3f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OPERACIONAIS - QUESTOES</dc:title>
  <dc:creator>Squad 6 - USCS</dc:creator>
  <cp:lastModifiedBy>Un-named</cp:lastModifiedBy>
  <cp:revision>1</cp:revision>
  <dcterms:created xsi:type="dcterms:W3CDTF">2026-09-13T00:05:09.298Z</dcterms:created>
  <dcterms:modified xsi:type="dcterms:W3CDTF">2026-09-13T00:05:09.298Z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