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E298F" w14:textId="77777777" w:rsidR="00C249E5" w:rsidRPr="004F7041" w:rsidRDefault="00C2489A">
      <w:pPr>
        <w:rPr>
          <w:rFonts w:asciiTheme="minorHAnsi" w:hAnsiTheme="minorHAnsi"/>
          <w:sz w:val="24"/>
          <w:szCs w:val="24"/>
        </w:rPr>
      </w:pPr>
      <w:r w:rsidRPr="004F7041">
        <w:rPr>
          <w:rFonts w:asciiTheme="minorHAnsi" w:hAnsiTheme="minorHAnsi"/>
          <w:sz w:val="24"/>
          <w:szCs w:val="24"/>
        </w:rPr>
        <w:t xml:space="preserve">September </w:t>
      </w:r>
      <w:r w:rsidR="00B22339" w:rsidRPr="004F7041">
        <w:rPr>
          <w:rFonts w:asciiTheme="minorHAnsi" w:hAnsiTheme="minorHAnsi"/>
          <w:sz w:val="24"/>
          <w:szCs w:val="24"/>
        </w:rPr>
        <w:t>20</w:t>
      </w:r>
      <w:r w:rsidRPr="004F7041">
        <w:rPr>
          <w:rFonts w:asciiTheme="minorHAnsi" w:hAnsiTheme="minorHAnsi"/>
          <w:sz w:val="24"/>
          <w:szCs w:val="24"/>
        </w:rPr>
        <w:t>, 2017</w:t>
      </w:r>
    </w:p>
    <w:p w14:paraId="661D0945" w14:textId="77777777" w:rsidR="00BE2EB6" w:rsidRPr="004F7041" w:rsidRDefault="00BE2EB6" w:rsidP="00EA2CCD">
      <w:pPr>
        <w:rPr>
          <w:rFonts w:asciiTheme="minorHAnsi" w:hAnsiTheme="minorHAnsi"/>
          <w:sz w:val="24"/>
          <w:szCs w:val="24"/>
        </w:rPr>
      </w:pPr>
    </w:p>
    <w:p w14:paraId="02F9905C" w14:textId="77777777" w:rsidR="00B22339" w:rsidRPr="004F7041" w:rsidRDefault="00B22339" w:rsidP="00EA2CCD">
      <w:pPr>
        <w:rPr>
          <w:rFonts w:asciiTheme="minorHAnsi" w:hAnsiTheme="minorHAnsi"/>
          <w:sz w:val="24"/>
          <w:szCs w:val="24"/>
        </w:rPr>
      </w:pPr>
      <w:r w:rsidRPr="004F7041">
        <w:rPr>
          <w:rFonts w:asciiTheme="minorHAnsi" w:hAnsiTheme="minorHAnsi"/>
          <w:sz w:val="24"/>
          <w:szCs w:val="24"/>
        </w:rPr>
        <w:t xml:space="preserve">Docket ID: ED-2017-OS-0074 </w:t>
      </w:r>
    </w:p>
    <w:p w14:paraId="3B23C94D" w14:textId="77777777" w:rsidR="00B22339" w:rsidRPr="004F7041" w:rsidRDefault="00B22339" w:rsidP="00EA2CCD">
      <w:pPr>
        <w:rPr>
          <w:rFonts w:asciiTheme="minorHAnsi" w:hAnsiTheme="minorHAnsi"/>
          <w:sz w:val="24"/>
          <w:szCs w:val="24"/>
        </w:rPr>
      </w:pPr>
    </w:p>
    <w:p w14:paraId="66EE6B6F" w14:textId="68DB87B3" w:rsidR="00B22339" w:rsidRPr="00B22339" w:rsidRDefault="002711D2" w:rsidP="00B22339">
      <w:pPr>
        <w:shd w:val="clear" w:color="auto" w:fill="FFFFFF"/>
        <w:rPr>
          <w:rFonts w:asciiTheme="minorHAnsi" w:eastAsia="Times New Roman" w:hAnsiTheme="minorHAnsi" w:cs="Helvetica"/>
          <w:color w:val="000000"/>
          <w:sz w:val="24"/>
          <w:szCs w:val="24"/>
        </w:rPr>
      </w:pPr>
      <w:r>
        <w:rPr>
          <w:rFonts w:asciiTheme="minorHAnsi" w:eastAsia="Times New Roman" w:hAnsiTheme="minorHAnsi" w:cs="Helvetica"/>
          <w:color w:val="000000"/>
          <w:sz w:val="24"/>
          <w:szCs w:val="24"/>
        </w:rPr>
        <w:t xml:space="preserve">The Honorable </w:t>
      </w:r>
      <w:r w:rsidR="001D44E4">
        <w:rPr>
          <w:rFonts w:asciiTheme="minorHAnsi" w:eastAsia="Times New Roman" w:hAnsiTheme="minorHAnsi" w:cs="Helvetica"/>
          <w:color w:val="000000"/>
          <w:sz w:val="24"/>
          <w:szCs w:val="24"/>
        </w:rPr>
        <w:t>Betsy DeVos</w:t>
      </w:r>
      <w:bookmarkStart w:id="0" w:name="_GoBack"/>
      <w:bookmarkEnd w:id="0"/>
    </w:p>
    <w:p w14:paraId="639C77B6" w14:textId="3FBF3524" w:rsidR="00B22339" w:rsidRPr="00B22339" w:rsidRDefault="00BC2DEA" w:rsidP="00B22339">
      <w:pPr>
        <w:shd w:val="clear" w:color="auto" w:fill="FFFFFF"/>
        <w:rPr>
          <w:rFonts w:asciiTheme="minorHAnsi" w:eastAsia="Times New Roman" w:hAnsiTheme="minorHAnsi" w:cs="Helvetica"/>
          <w:color w:val="000000"/>
          <w:sz w:val="24"/>
          <w:szCs w:val="24"/>
        </w:rPr>
      </w:pPr>
      <w:r>
        <w:rPr>
          <w:rFonts w:asciiTheme="minorHAnsi" w:eastAsia="Times New Roman" w:hAnsiTheme="minorHAnsi" w:cs="Helvetica"/>
          <w:color w:val="000000"/>
          <w:sz w:val="24"/>
          <w:szCs w:val="24"/>
        </w:rPr>
        <w:t>Secretary of Education</w:t>
      </w:r>
    </w:p>
    <w:p w14:paraId="04A95AA9" w14:textId="77777777" w:rsidR="00B22339" w:rsidRPr="004F7041" w:rsidRDefault="00B22339" w:rsidP="00B22339">
      <w:pPr>
        <w:rPr>
          <w:rFonts w:asciiTheme="minorHAnsi" w:hAnsiTheme="minorHAnsi"/>
          <w:sz w:val="24"/>
          <w:szCs w:val="24"/>
        </w:rPr>
      </w:pPr>
    </w:p>
    <w:p w14:paraId="7007BB31" w14:textId="77777777" w:rsidR="00B22339" w:rsidRPr="004F7041" w:rsidRDefault="00B22339" w:rsidP="00B22339">
      <w:pPr>
        <w:rPr>
          <w:rFonts w:asciiTheme="minorHAnsi" w:hAnsiTheme="minorHAnsi"/>
          <w:sz w:val="24"/>
          <w:szCs w:val="24"/>
        </w:rPr>
      </w:pPr>
    </w:p>
    <w:p w14:paraId="73A530AC" w14:textId="05E24D92" w:rsidR="00B22339" w:rsidRPr="004F7041" w:rsidRDefault="00BC2DEA" w:rsidP="00B22339">
      <w:pPr>
        <w:rPr>
          <w:rFonts w:asciiTheme="minorHAnsi" w:hAnsiTheme="minorHAnsi"/>
          <w:sz w:val="24"/>
          <w:szCs w:val="24"/>
        </w:rPr>
      </w:pPr>
      <w:r>
        <w:rPr>
          <w:rFonts w:asciiTheme="minorHAnsi" w:hAnsiTheme="minorHAnsi"/>
          <w:sz w:val="24"/>
          <w:szCs w:val="24"/>
        </w:rPr>
        <w:t>Dear Madam Secretary</w:t>
      </w:r>
      <w:r w:rsidR="00B22339" w:rsidRPr="004F7041">
        <w:rPr>
          <w:rFonts w:asciiTheme="minorHAnsi" w:hAnsiTheme="minorHAnsi"/>
          <w:sz w:val="24"/>
          <w:szCs w:val="24"/>
        </w:rPr>
        <w:t xml:space="preserve"> -</w:t>
      </w:r>
    </w:p>
    <w:p w14:paraId="234929A7" w14:textId="77777777" w:rsidR="00B22339" w:rsidRPr="004F7041" w:rsidRDefault="00B22339" w:rsidP="00EA2CCD">
      <w:pPr>
        <w:rPr>
          <w:rFonts w:asciiTheme="minorHAnsi" w:hAnsiTheme="minorHAnsi"/>
          <w:sz w:val="24"/>
          <w:szCs w:val="24"/>
        </w:rPr>
      </w:pPr>
    </w:p>
    <w:p w14:paraId="48CFA630" w14:textId="77777777" w:rsidR="00C2489A" w:rsidRPr="004F7041" w:rsidRDefault="00B22339" w:rsidP="00EA2CCD">
      <w:pPr>
        <w:rPr>
          <w:rFonts w:asciiTheme="minorHAnsi" w:hAnsiTheme="minorHAnsi"/>
          <w:sz w:val="24"/>
          <w:szCs w:val="24"/>
        </w:rPr>
      </w:pPr>
      <w:r w:rsidRPr="004F7041">
        <w:rPr>
          <w:rFonts w:asciiTheme="minorHAnsi" w:hAnsiTheme="minorHAnsi"/>
          <w:sz w:val="24"/>
          <w:szCs w:val="24"/>
        </w:rPr>
        <w:t xml:space="preserve">Thank you for the opportunity to suggest areas of regulation that need revision, replacement, or modification </w:t>
      </w:r>
      <w:r w:rsidR="00005536" w:rsidRPr="004F7041">
        <w:rPr>
          <w:rFonts w:asciiTheme="minorHAnsi" w:hAnsiTheme="minorHAnsi"/>
          <w:sz w:val="24"/>
          <w:szCs w:val="24"/>
        </w:rPr>
        <w:t>(or other needed action) as</w:t>
      </w:r>
      <w:r w:rsidRPr="004F7041">
        <w:rPr>
          <w:rFonts w:asciiTheme="minorHAnsi" w:hAnsiTheme="minorHAnsi"/>
          <w:sz w:val="24"/>
          <w:szCs w:val="24"/>
        </w:rPr>
        <w:t xml:space="preserve"> requested in the Federal Register on June 22, 2017.</w:t>
      </w:r>
    </w:p>
    <w:p w14:paraId="612753F4" w14:textId="77777777" w:rsidR="00B22339" w:rsidRPr="004F7041" w:rsidRDefault="00B22339" w:rsidP="00EA2CCD">
      <w:pPr>
        <w:rPr>
          <w:rFonts w:asciiTheme="minorHAnsi" w:hAnsiTheme="minorHAnsi"/>
          <w:sz w:val="24"/>
          <w:szCs w:val="24"/>
        </w:rPr>
      </w:pPr>
    </w:p>
    <w:p w14:paraId="3CCCB3A6" w14:textId="77777777" w:rsidR="00B22339" w:rsidRPr="004F7041" w:rsidRDefault="00BE2EB6" w:rsidP="00B22339">
      <w:pPr>
        <w:rPr>
          <w:rFonts w:asciiTheme="minorHAnsi" w:hAnsiTheme="minorHAnsi"/>
          <w:sz w:val="24"/>
          <w:szCs w:val="24"/>
        </w:rPr>
      </w:pPr>
      <w:r w:rsidRPr="004F7041">
        <w:rPr>
          <w:rFonts w:asciiTheme="minorHAnsi" w:hAnsiTheme="minorHAnsi"/>
          <w:sz w:val="24"/>
          <w:szCs w:val="24"/>
        </w:rPr>
        <w:t>WCET (the WICHE Cooperative for Educational Technologies</w:t>
      </w:r>
      <w:r w:rsidR="00FC7882" w:rsidRPr="002711D2">
        <w:rPr>
          <w:rStyle w:val="FootnoteReference"/>
        </w:rPr>
        <w:footnoteReference w:id="1"/>
      </w:r>
      <w:r w:rsidRPr="002711D2">
        <w:rPr>
          <w:rStyle w:val="FootnoteReference"/>
        </w:rPr>
        <w:t>)</w:t>
      </w:r>
      <w:r w:rsidRPr="004F7041">
        <w:rPr>
          <w:rFonts w:asciiTheme="minorHAnsi" w:hAnsiTheme="minorHAnsi"/>
          <w:sz w:val="24"/>
          <w:szCs w:val="24"/>
        </w:rPr>
        <w:t xml:space="preserve"> </w:t>
      </w:r>
      <w:r w:rsidR="00B22339" w:rsidRPr="004F7041">
        <w:rPr>
          <w:rFonts w:asciiTheme="minorHAnsi" w:hAnsiTheme="minorHAnsi"/>
          <w:sz w:val="24"/>
          <w:szCs w:val="24"/>
        </w:rPr>
        <w:t>is a unit of the Western Interstate Commission for Higher Education, a non-profit interstate compact headquartered in Boulder, Colorado. WCET is the leader in the practice, policy, &amp; advocacy of technology-enhanced learning in higher education. Our members come from throughout the United States.</w:t>
      </w:r>
    </w:p>
    <w:p w14:paraId="1414B263" w14:textId="77777777" w:rsidR="00B22339" w:rsidRPr="004F7041" w:rsidRDefault="00B22339" w:rsidP="00EA2CCD">
      <w:pPr>
        <w:rPr>
          <w:rFonts w:asciiTheme="minorHAnsi" w:hAnsiTheme="minorHAnsi"/>
          <w:sz w:val="24"/>
          <w:szCs w:val="24"/>
        </w:rPr>
      </w:pPr>
    </w:p>
    <w:p w14:paraId="790C3396" w14:textId="77777777" w:rsidR="00BE2EB6" w:rsidRPr="004F7041" w:rsidRDefault="004F7041" w:rsidP="00EA2CCD">
      <w:pPr>
        <w:rPr>
          <w:rFonts w:asciiTheme="minorHAnsi" w:hAnsiTheme="minorHAnsi"/>
          <w:b/>
          <w:sz w:val="24"/>
          <w:szCs w:val="24"/>
        </w:rPr>
      </w:pPr>
      <w:r w:rsidRPr="004F7041">
        <w:rPr>
          <w:rFonts w:asciiTheme="minorHAnsi" w:hAnsiTheme="minorHAnsi"/>
          <w:b/>
          <w:sz w:val="24"/>
          <w:szCs w:val="24"/>
        </w:rPr>
        <w:t>Issue</w:t>
      </w:r>
      <w:r w:rsidR="00BE2EB6" w:rsidRPr="004F7041">
        <w:rPr>
          <w:rFonts w:asciiTheme="minorHAnsi" w:hAnsiTheme="minorHAnsi"/>
          <w:b/>
          <w:sz w:val="24"/>
          <w:szCs w:val="24"/>
        </w:rPr>
        <w:t xml:space="preserve"> #1: Defining Distance Education</w:t>
      </w:r>
      <w:r w:rsidR="00005536" w:rsidRPr="004F7041">
        <w:rPr>
          <w:rFonts w:asciiTheme="minorHAnsi" w:hAnsiTheme="minorHAnsi"/>
          <w:b/>
          <w:sz w:val="24"/>
          <w:szCs w:val="24"/>
        </w:rPr>
        <w:t xml:space="preserve"> and Blended/Hybrid Education</w:t>
      </w:r>
    </w:p>
    <w:p w14:paraId="64240776" w14:textId="77777777" w:rsidR="00BE2EB6" w:rsidRPr="004F7041" w:rsidRDefault="00BE2EB6" w:rsidP="00EA2CCD">
      <w:pPr>
        <w:rPr>
          <w:rFonts w:asciiTheme="minorHAnsi" w:hAnsiTheme="minorHAnsi"/>
          <w:sz w:val="24"/>
          <w:szCs w:val="24"/>
        </w:rPr>
      </w:pPr>
    </w:p>
    <w:p w14:paraId="553F3160" w14:textId="77777777" w:rsidR="00005536" w:rsidRPr="004F7041" w:rsidRDefault="00005536" w:rsidP="00EA2CCD">
      <w:pPr>
        <w:rPr>
          <w:rFonts w:asciiTheme="minorHAnsi" w:hAnsiTheme="minorHAnsi"/>
          <w:sz w:val="24"/>
          <w:szCs w:val="24"/>
        </w:rPr>
      </w:pPr>
      <w:r w:rsidRPr="004F7041">
        <w:rPr>
          <w:rFonts w:asciiTheme="minorHAnsi" w:hAnsiTheme="minorHAnsi"/>
          <w:sz w:val="24"/>
          <w:szCs w:val="24"/>
        </w:rPr>
        <w:t>The current definition of “distance education” (Chapter 34, §600.2</w:t>
      </w:r>
      <w:r w:rsidR="00C35858">
        <w:rPr>
          <w:rStyle w:val="FootnoteReference"/>
          <w:rFonts w:asciiTheme="minorHAnsi" w:hAnsiTheme="minorHAnsi"/>
          <w:sz w:val="24"/>
          <w:szCs w:val="24"/>
        </w:rPr>
        <w:footnoteReference w:id="2"/>
      </w:r>
      <w:r w:rsidRPr="004F7041">
        <w:rPr>
          <w:rFonts w:asciiTheme="minorHAnsi" w:hAnsiTheme="minorHAnsi"/>
          <w:sz w:val="24"/>
          <w:szCs w:val="24"/>
        </w:rPr>
        <w:t>) is:</w:t>
      </w:r>
    </w:p>
    <w:p w14:paraId="74562536" w14:textId="77777777" w:rsidR="00005536" w:rsidRPr="004F7041" w:rsidRDefault="00005536" w:rsidP="00005536">
      <w:pPr>
        <w:pStyle w:val="NormalWeb"/>
        <w:shd w:val="clear" w:color="auto" w:fill="FFFFFF"/>
        <w:ind w:left="540"/>
        <w:rPr>
          <w:rFonts w:asciiTheme="minorHAnsi" w:hAnsiTheme="minorHAnsi" w:cs="Arial"/>
          <w:color w:val="000000"/>
        </w:rPr>
      </w:pPr>
      <w:r w:rsidRPr="004F7041">
        <w:rPr>
          <w:rFonts w:asciiTheme="minorHAnsi" w:hAnsiTheme="minorHAnsi" w:cs="Arial"/>
          <w:i/>
          <w:iCs/>
          <w:color w:val="000000"/>
        </w:rPr>
        <w:t>“Distance education</w:t>
      </w:r>
      <w:r w:rsidRPr="004F7041">
        <w:rPr>
          <w:rFonts w:asciiTheme="minorHAnsi" w:hAnsiTheme="minorHAnsi" w:cs="Arial"/>
          <w:color w:val="000000"/>
        </w:rPr>
        <w:t> means education that uses one or more of the technologies listed in paragraphs (1) through (4) of this definition to deliver instruction to students who are separated from the instructor and to support regular and substantive interaction between the students and the instructor, either synchronously or asynchronously. The technologies may include—</w:t>
      </w:r>
    </w:p>
    <w:p w14:paraId="27DE73B1" w14:textId="77777777" w:rsidR="00005536" w:rsidRPr="004F7041" w:rsidRDefault="00005536" w:rsidP="00005536">
      <w:pPr>
        <w:pStyle w:val="NormalWeb"/>
        <w:shd w:val="clear" w:color="auto" w:fill="FFFFFF"/>
        <w:ind w:left="900"/>
        <w:rPr>
          <w:rFonts w:asciiTheme="minorHAnsi" w:hAnsiTheme="minorHAnsi" w:cs="Arial"/>
          <w:color w:val="000000"/>
        </w:rPr>
      </w:pPr>
      <w:r w:rsidRPr="004F7041">
        <w:rPr>
          <w:rFonts w:asciiTheme="minorHAnsi" w:hAnsiTheme="minorHAnsi" w:cs="Arial"/>
          <w:color w:val="000000"/>
        </w:rPr>
        <w:t>(1) The internet;</w:t>
      </w:r>
    </w:p>
    <w:p w14:paraId="1C091682" w14:textId="77777777" w:rsidR="00005536" w:rsidRPr="004F7041" w:rsidRDefault="00005536" w:rsidP="00005536">
      <w:pPr>
        <w:pStyle w:val="NormalWeb"/>
        <w:shd w:val="clear" w:color="auto" w:fill="FFFFFF"/>
        <w:ind w:left="900"/>
        <w:rPr>
          <w:rFonts w:asciiTheme="minorHAnsi" w:hAnsiTheme="minorHAnsi" w:cs="Arial"/>
          <w:color w:val="000000"/>
        </w:rPr>
      </w:pPr>
      <w:r w:rsidRPr="004F7041">
        <w:rPr>
          <w:rFonts w:asciiTheme="minorHAnsi" w:hAnsiTheme="minorHAnsi" w:cs="Arial"/>
          <w:color w:val="000000"/>
        </w:rPr>
        <w:t>(2) One-way and two-way transmissions through open broadcast, closed circuit, cable, microwave, broadband lines, fiber optics, satellite, or wireless communications devices;</w:t>
      </w:r>
    </w:p>
    <w:p w14:paraId="23B13E76" w14:textId="77777777" w:rsidR="00005536" w:rsidRPr="004F7041" w:rsidRDefault="00005536" w:rsidP="00005536">
      <w:pPr>
        <w:pStyle w:val="NormalWeb"/>
        <w:shd w:val="clear" w:color="auto" w:fill="FFFFFF"/>
        <w:ind w:left="900"/>
        <w:rPr>
          <w:rFonts w:asciiTheme="minorHAnsi" w:hAnsiTheme="minorHAnsi" w:cs="Arial"/>
          <w:color w:val="000000"/>
        </w:rPr>
      </w:pPr>
      <w:r w:rsidRPr="004F7041">
        <w:rPr>
          <w:rFonts w:asciiTheme="minorHAnsi" w:hAnsiTheme="minorHAnsi" w:cs="Arial"/>
          <w:color w:val="000000"/>
        </w:rPr>
        <w:t>(3) Audio conferencing; or</w:t>
      </w:r>
    </w:p>
    <w:p w14:paraId="61B60869" w14:textId="77777777" w:rsidR="00005536" w:rsidRPr="004F7041" w:rsidRDefault="00005536" w:rsidP="00005536">
      <w:pPr>
        <w:pStyle w:val="NormalWeb"/>
        <w:shd w:val="clear" w:color="auto" w:fill="FFFFFF"/>
        <w:ind w:left="900"/>
        <w:rPr>
          <w:rFonts w:asciiTheme="minorHAnsi" w:hAnsiTheme="minorHAnsi" w:cs="Arial"/>
          <w:color w:val="000000"/>
        </w:rPr>
      </w:pPr>
      <w:r w:rsidRPr="004F7041">
        <w:rPr>
          <w:rFonts w:asciiTheme="minorHAnsi" w:hAnsiTheme="minorHAnsi" w:cs="Arial"/>
          <w:color w:val="000000"/>
        </w:rPr>
        <w:t>(4) Video cassettes, DVDs, and CD-ROMs, if the cassettes, DVDs, or CD-ROMs are used in a course in conjunction with any of the technologies listed in paragraphs (1) through (3) of this definition.”</w:t>
      </w:r>
    </w:p>
    <w:p w14:paraId="1F6D924B" w14:textId="77777777" w:rsidR="00FE2B9F" w:rsidRPr="004F7041" w:rsidRDefault="00005536" w:rsidP="00005536">
      <w:pPr>
        <w:rPr>
          <w:rFonts w:asciiTheme="minorHAnsi" w:hAnsiTheme="minorHAnsi"/>
          <w:sz w:val="24"/>
          <w:szCs w:val="24"/>
        </w:rPr>
      </w:pPr>
      <w:r w:rsidRPr="004F7041">
        <w:rPr>
          <w:rFonts w:asciiTheme="minorHAnsi" w:hAnsiTheme="minorHAnsi"/>
          <w:sz w:val="24"/>
          <w:szCs w:val="24"/>
        </w:rPr>
        <w:lastRenderedPageBreak/>
        <w:t xml:space="preserve">This definition is dated and does not reflect current practice. </w:t>
      </w:r>
      <w:r w:rsidR="004F7041" w:rsidRPr="004F7041">
        <w:rPr>
          <w:rFonts w:asciiTheme="minorHAnsi" w:hAnsiTheme="minorHAnsi"/>
          <w:sz w:val="24"/>
          <w:szCs w:val="24"/>
        </w:rPr>
        <w:t>Those in the distance education community have had to deal with multiple problematic definitions</w:t>
      </w:r>
      <w:r w:rsidR="00C35858">
        <w:rPr>
          <w:rFonts w:asciiTheme="minorHAnsi" w:hAnsiTheme="minorHAnsi"/>
          <w:sz w:val="24"/>
          <w:szCs w:val="24"/>
        </w:rPr>
        <w:t xml:space="preserve"> in trying to comply with regulations from multiple agencies</w:t>
      </w:r>
      <w:r w:rsidR="004F7041" w:rsidRPr="004F7041">
        <w:rPr>
          <w:rFonts w:asciiTheme="minorHAnsi" w:hAnsiTheme="minorHAnsi"/>
          <w:sz w:val="24"/>
          <w:szCs w:val="24"/>
        </w:rPr>
        <w:t>. Th</w:t>
      </w:r>
      <w:r w:rsidR="004F7041">
        <w:rPr>
          <w:rFonts w:asciiTheme="minorHAnsi" w:hAnsiTheme="minorHAnsi"/>
          <w:sz w:val="24"/>
          <w:szCs w:val="24"/>
        </w:rPr>
        <w:t xml:space="preserve">e problems faced by institutions </w:t>
      </w:r>
      <w:r w:rsidR="004F7041" w:rsidRPr="004F7041">
        <w:rPr>
          <w:rFonts w:asciiTheme="minorHAnsi" w:hAnsiTheme="minorHAnsi"/>
          <w:sz w:val="24"/>
          <w:szCs w:val="24"/>
        </w:rPr>
        <w:t>w</w:t>
      </w:r>
      <w:r w:rsidR="00C35858">
        <w:rPr>
          <w:rFonts w:asciiTheme="minorHAnsi" w:hAnsiTheme="minorHAnsi"/>
          <w:sz w:val="24"/>
          <w:szCs w:val="24"/>
        </w:rPr>
        <w:t>ere</w:t>
      </w:r>
      <w:r w:rsidR="004F7041" w:rsidRPr="004F7041">
        <w:rPr>
          <w:rFonts w:asciiTheme="minorHAnsi" w:hAnsiTheme="minorHAnsi"/>
          <w:sz w:val="24"/>
          <w:szCs w:val="24"/>
        </w:rPr>
        <w:t xml:space="preserve"> recently highlighted by the </w:t>
      </w:r>
      <w:r w:rsidR="005F06B0" w:rsidRPr="004F7041">
        <w:rPr>
          <w:rFonts w:asciiTheme="minorHAnsi" w:hAnsiTheme="minorHAnsi"/>
          <w:sz w:val="24"/>
          <w:szCs w:val="24"/>
        </w:rPr>
        <w:t>National Co</w:t>
      </w:r>
      <w:r w:rsidR="00BB4E2C" w:rsidRPr="004F7041">
        <w:rPr>
          <w:rFonts w:asciiTheme="minorHAnsi" w:hAnsiTheme="minorHAnsi"/>
          <w:sz w:val="24"/>
          <w:szCs w:val="24"/>
        </w:rPr>
        <w:t>uncil</w:t>
      </w:r>
      <w:r w:rsidR="005F06B0" w:rsidRPr="004F7041">
        <w:rPr>
          <w:rFonts w:asciiTheme="minorHAnsi" w:hAnsiTheme="minorHAnsi"/>
          <w:sz w:val="24"/>
          <w:szCs w:val="24"/>
        </w:rPr>
        <w:t xml:space="preserve"> for State Authorization Reciprocity Agreement</w:t>
      </w:r>
      <w:r w:rsidR="00BB4E2C" w:rsidRPr="004F7041">
        <w:rPr>
          <w:rFonts w:asciiTheme="minorHAnsi" w:hAnsiTheme="minorHAnsi"/>
          <w:sz w:val="24"/>
          <w:szCs w:val="24"/>
        </w:rPr>
        <w:t>s</w:t>
      </w:r>
      <w:r w:rsidR="004F7041" w:rsidRPr="004F7041">
        <w:rPr>
          <w:rFonts w:asciiTheme="minorHAnsi" w:hAnsiTheme="minorHAnsi"/>
          <w:sz w:val="24"/>
          <w:szCs w:val="24"/>
        </w:rPr>
        <w:t>’</w:t>
      </w:r>
      <w:r w:rsidR="005F06B0" w:rsidRPr="004F7041">
        <w:rPr>
          <w:rFonts w:asciiTheme="minorHAnsi" w:hAnsiTheme="minorHAnsi"/>
          <w:sz w:val="24"/>
          <w:szCs w:val="24"/>
        </w:rPr>
        <w:t xml:space="preserve"> (NC-</w:t>
      </w:r>
      <w:r w:rsidR="00066EAA" w:rsidRPr="004F7041">
        <w:rPr>
          <w:rFonts w:asciiTheme="minorHAnsi" w:hAnsiTheme="minorHAnsi"/>
          <w:sz w:val="24"/>
          <w:szCs w:val="24"/>
        </w:rPr>
        <w:t xml:space="preserve">SARA) </w:t>
      </w:r>
      <w:r w:rsidR="004F7041" w:rsidRPr="004F7041">
        <w:rPr>
          <w:rFonts w:asciiTheme="minorHAnsi" w:hAnsiTheme="minorHAnsi"/>
          <w:sz w:val="24"/>
          <w:szCs w:val="24"/>
        </w:rPr>
        <w:t xml:space="preserve">recent data </w:t>
      </w:r>
      <w:r w:rsidR="005F06B0" w:rsidRPr="004F7041">
        <w:rPr>
          <w:rFonts w:asciiTheme="minorHAnsi" w:hAnsiTheme="minorHAnsi"/>
          <w:sz w:val="24"/>
          <w:szCs w:val="24"/>
        </w:rPr>
        <w:t>collect</w:t>
      </w:r>
      <w:r w:rsidR="004F7041" w:rsidRPr="004F7041">
        <w:rPr>
          <w:rFonts w:asciiTheme="minorHAnsi" w:hAnsiTheme="minorHAnsi"/>
          <w:sz w:val="24"/>
          <w:szCs w:val="24"/>
        </w:rPr>
        <w:t xml:space="preserve">ion on </w:t>
      </w:r>
      <w:r w:rsidR="005F06B0" w:rsidRPr="004F7041">
        <w:rPr>
          <w:rFonts w:asciiTheme="minorHAnsi" w:hAnsiTheme="minorHAnsi"/>
          <w:sz w:val="24"/>
          <w:szCs w:val="24"/>
        </w:rPr>
        <w:t xml:space="preserve">enrollment patterns of its member institutions. </w:t>
      </w:r>
      <w:r w:rsidR="00066EAA" w:rsidRPr="004F7041">
        <w:rPr>
          <w:rFonts w:asciiTheme="minorHAnsi" w:hAnsiTheme="minorHAnsi"/>
          <w:sz w:val="24"/>
          <w:szCs w:val="24"/>
        </w:rPr>
        <w:t xml:space="preserve">Marshall Hill, Executive Director, told WCET </w:t>
      </w:r>
      <w:r w:rsidR="00FC7882" w:rsidRPr="004F7041">
        <w:rPr>
          <w:rFonts w:asciiTheme="minorHAnsi" w:hAnsiTheme="minorHAnsi"/>
          <w:sz w:val="24"/>
          <w:szCs w:val="24"/>
        </w:rPr>
        <w:t xml:space="preserve">staff </w:t>
      </w:r>
      <w:r w:rsidR="00066EAA" w:rsidRPr="004F7041">
        <w:rPr>
          <w:rFonts w:asciiTheme="minorHAnsi" w:hAnsiTheme="minorHAnsi"/>
          <w:sz w:val="24"/>
          <w:szCs w:val="24"/>
        </w:rPr>
        <w:t>of the many calls his staff received over confusion regarding IPEDS definitions</w:t>
      </w:r>
      <w:r w:rsidR="00C35858">
        <w:rPr>
          <w:rFonts w:asciiTheme="minorHAnsi" w:hAnsiTheme="minorHAnsi"/>
          <w:sz w:val="24"/>
          <w:szCs w:val="24"/>
        </w:rPr>
        <w:t>, which reflect the Department of Education’s definition</w:t>
      </w:r>
      <w:r w:rsidR="00066EAA" w:rsidRPr="004F7041">
        <w:rPr>
          <w:rFonts w:asciiTheme="minorHAnsi" w:hAnsiTheme="minorHAnsi"/>
          <w:sz w:val="24"/>
          <w:szCs w:val="24"/>
        </w:rPr>
        <w:t xml:space="preserve">. </w:t>
      </w:r>
      <w:r w:rsidR="005F06B0" w:rsidRPr="004F7041">
        <w:rPr>
          <w:rFonts w:asciiTheme="minorHAnsi" w:hAnsiTheme="minorHAnsi"/>
          <w:sz w:val="24"/>
          <w:szCs w:val="24"/>
        </w:rPr>
        <w:t>In a</w:t>
      </w:r>
      <w:r w:rsidR="00860146" w:rsidRPr="004F7041">
        <w:rPr>
          <w:rFonts w:asciiTheme="minorHAnsi" w:hAnsiTheme="minorHAnsi"/>
          <w:sz w:val="24"/>
          <w:szCs w:val="24"/>
        </w:rPr>
        <w:t>n NC-SARA</w:t>
      </w:r>
      <w:r w:rsidR="005F06B0" w:rsidRPr="004F7041">
        <w:rPr>
          <w:rFonts w:asciiTheme="minorHAnsi" w:hAnsiTheme="minorHAnsi"/>
          <w:sz w:val="24"/>
          <w:szCs w:val="24"/>
        </w:rPr>
        <w:t xml:space="preserve"> report</w:t>
      </w:r>
      <w:r w:rsidR="00C35858">
        <w:rPr>
          <w:rStyle w:val="FootnoteReference"/>
          <w:rFonts w:asciiTheme="minorHAnsi" w:hAnsiTheme="minorHAnsi"/>
          <w:sz w:val="24"/>
          <w:szCs w:val="24"/>
        </w:rPr>
        <w:footnoteReference w:id="3"/>
      </w:r>
      <w:r w:rsidR="005F06B0" w:rsidRPr="004F7041">
        <w:rPr>
          <w:rFonts w:asciiTheme="minorHAnsi" w:hAnsiTheme="minorHAnsi"/>
          <w:sz w:val="24"/>
          <w:szCs w:val="24"/>
        </w:rPr>
        <w:t xml:space="preserve"> </w:t>
      </w:r>
      <w:r w:rsidR="004F7041" w:rsidRPr="004F7041">
        <w:rPr>
          <w:rFonts w:asciiTheme="minorHAnsi" w:hAnsiTheme="minorHAnsi"/>
          <w:sz w:val="24"/>
          <w:szCs w:val="24"/>
        </w:rPr>
        <w:t xml:space="preserve">released in September 2017, </w:t>
      </w:r>
      <w:r w:rsidR="005F06B0" w:rsidRPr="004F7041">
        <w:rPr>
          <w:rFonts w:asciiTheme="minorHAnsi" w:hAnsiTheme="minorHAnsi"/>
          <w:sz w:val="24"/>
          <w:szCs w:val="24"/>
        </w:rPr>
        <w:t>the following “reporting challenges” are cited:</w:t>
      </w:r>
    </w:p>
    <w:p w14:paraId="4991FB2C" w14:textId="77777777" w:rsidR="005F06B0" w:rsidRPr="004F7041" w:rsidRDefault="005F06B0" w:rsidP="005F06B0">
      <w:pPr>
        <w:pStyle w:val="Default"/>
        <w:rPr>
          <w:rFonts w:asciiTheme="minorHAnsi" w:hAnsiTheme="minorHAnsi"/>
        </w:rPr>
      </w:pPr>
    </w:p>
    <w:p w14:paraId="005D9C1B" w14:textId="77777777" w:rsidR="00BE2EB6" w:rsidRDefault="005F06B0" w:rsidP="004F7041">
      <w:pPr>
        <w:ind w:left="540"/>
        <w:rPr>
          <w:rFonts w:asciiTheme="minorHAnsi" w:hAnsiTheme="minorHAnsi"/>
          <w:sz w:val="24"/>
          <w:szCs w:val="24"/>
        </w:rPr>
      </w:pPr>
      <w:r w:rsidRPr="004F7041">
        <w:rPr>
          <w:rFonts w:asciiTheme="minorHAnsi" w:hAnsiTheme="minorHAnsi"/>
          <w:sz w:val="24"/>
          <w:szCs w:val="24"/>
        </w:rPr>
        <w:t xml:space="preserve">“In an attempt to standardize reporting requirement for institutions, NC-SARA relies on IPEDS definitions, schedules, etc. Unfortunately, it is clear from the comments submitted in 2017 that many institutions struggle to understand how they should report to IPEDS. And, since SARA’s basic instructions are to </w:t>
      </w:r>
      <w:r w:rsidR="00FC7882" w:rsidRPr="004F7041">
        <w:rPr>
          <w:rFonts w:asciiTheme="minorHAnsi" w:hAnsiTheme="minorHAnsi"/>
          <w:sz w:val="24"/>
          <w:szCs w:val="24"/>
        </w:rPr>
        <w:t>‘</w:t>
      </w:r>
      <w:r w:rsidRPr="004F7041">
        <w:rPr>
          <w:rFonts w:asciiTheme="minorHAnsi" w:hAnsiTheme="minorHAnsi"/>
          <w:sz w:val="24"/>
          <w:szCs w:val="24"/>
        </w:rPr>
        <w:t>report as you do for IPEDS, but disaggregate by state, territory, or district in which the students reside,</w:t>
      </w:r>
      <w:r w:rsidR="00FC7882" w:rsidRPr="004F7041">
        <w:rPr>
          <w:rFonts w:asciiTheme="minorHAnsi" w:hAnsiTheme="minorHAnsi"/>
          <w:sz w:val="24"/>
          <w:szCs w:val="24"/>
        </w:rPr>
        <w:t>’</w:t>
      </w:r>
      <w:r w:rsidRPr="004F7041">
        <w:rPr>
          <w:rFonts w:asciiTheme="minorHAnsi" w:hAnsiTheme="minorHAnsi"/>
          <w:sz w:val="24"/>
          <w:szCs w:val="24"/>
        </w:rPr>
        <w:t xml:space="preserve"> those misunderstandings affect NC-SARA reporting. Over half (51.7%) of comments provided in the Comment field of 2017 survey speci</w:t>
      </w:r>
      <w:r w:rsidR="00FC7882" w:rsidRPr="004F7041">
        <w:rPr>
          <w:rFonts w:asciiTheme="minorHAnsi" w:hAnsiTheme="minorHAnsi"/>
          <w:sz w:val="24"/>
          <w:szCs w:val="24"/>
        </w:rPr>
        <w:t>fically mentioned variations fro</w:t>
      </w:r>
      <w:r w:rsidRPr="004F7041">
        <w:rPr>
          <w:rFonts w:asciiTheme="minorHAnsi" w:hAnsiTheme="minorHAnsi"/>
          <w:sz w:val="24"/>
          <w:szCs w:val="24"/>
        </w:rPr>
        <w:t>m IPEDS data, definitions, and concerns with how to report military students and those in the five U.S. territories.”</w:t>
      </w:r>
    </w:p>
    <w:p w14:paraId="223A7879" w14:textId="77777777" w:rsidR="00C35858" w:rsidRDefault="00C35858" w:rsidP="004F7041">
      <w:pPr>
        <w:ind w:left="540"/>
        <w:rPr>
          <w:rFonts w:asciiTheme="minorHAnsi" w:hAnsiTheme="minorHAnsi"/>
          <w:sz w:val="24"/>
          <w:szCs w:val="24"/>
        </w:rPr>
      </w:pPr>
    </w:p>
    <w:p w14:paraId="382C8A6F" w14:textId="77777777" w:rsidR="00BE2EB6" w:rsidRPr="00FC7882" w:rsidRDefault="00FC7882" w:rsidP="00EA2CCD">
      <w:pPr>
        <w:rPr>
          <w:b/>
          <w:i/>
          <w:sz w:val="24"/>
          <w:szCs w:val="24"/>
        </w:rPr>
      </w:pPr>
      <w:r w:rsidRPr="00FC7882">
        <w:rPr>
          <w:b/>
          <w:i/>
          <w:sz w:val="24"/>
          <w:szCs w:val="24"/>
        </w:rPr>
        <w:t xml:space="preserve">Definitions </w:t>
      </w:r>
      <w:r w:rsidR="00C35858">
        <w:rPr>
          <w:b/>
          <w:i/>
          <w:sz w:val="24"/>
          <w:szCs w:val="24"/>
        </w:rPr>
        <w:t xml:space="preserve">of Distance Education Courses and Programs </w:t>
      </w:r>
      <w:r w:rsidRPr="00FC7882">
        <w:rPr>
          <w:b/>
          <w:i/>
          <w:sz w:val="24"/>
          <w:szCs w:val="24"/>
        </w:rPr>
        <w:t>Used by Accrediting Agencies</w:t>
      </w:r>
    </w:p>
    <w:p w14:paraId="1FC78956" w14:textId="77777777" w:rsidR="00066EAA" w:rsidRDefault="00C35858" w:rsidP="00EA2CCD">
      <w:pPr>
        <w:rPr>
          <w:sz w:val="24"/>
          <w:szCs w:val="24"/>
        </w:rPr>
      </w:pPr>
      <w:r>
        <w:rPr>
          <w:sz w:val="24"/>
          <w:szCs w:val="24"/>
        </w:rPr>
        <w:t>Accrediting agencies base their definitions on the federal definition, but they provide yet another example of oversight confusion for institutions.</w:t>
      </w:r>
      <w:r w:rsidR="00295F1E">
        <w:rPr>
          <w:sz w:val="24"/>
          <w:szCs w:val="24"/>
        </w:rPr>
        <w:t xml:space="preserve"> The following table is a shorthand review of their definitions. Some of the agencies do not define what comprises a distance education course or program. For those that do, there is not agreement in their definitions. All of them cite the federal definition of “distance education” as a concept.</w:t>
      </w:r>
    </w:p>
    <w:p w14:paraId="44EC66E2" w14:textId="77777777" w:rsidR="00DF5494" w:rsidRDefault="00DF5494" w:rsidP="00EA2CCD">
      <w:pPr>
        <w:rPr>
          <w:sz w:val="24"/>
          <w:szCs w:val="24"/>
        </w:rPr>
      </w:pPr>
    </w:p>
    <w:tbl>
      <w:tblPr>
        <w:tblStyle w:val="TableGrid"/>
        <w:tblW w:w="0" w:type="auto"/>
        <w:tblLook w:val="04A0" w:firstRow="1" w:lastRow="0" w:firstColumn="1" w:lastColumn="0" w:noHBand="0" w:noVBand="1"/>
      </w:tblPr>
      <w:tblGrid>
        <w:gridCol w:w="2785"/>
        <w:gridCol w:w="3240"/>
        <w:gridCol w:w="3325"/>
      </w:tblGrid>
      <w:tr w:rsidR="00DF5494" w:rsidRPr="00DF5494" w14:paraId="28630A0E" w14:textId="77777777" w:rsidTr="000F23DF">
        <w:tc>
          <w:tcPr>
            <w:tcW w:w="9350" w:type="dxa"/>
            <w:gridSpan w:val="3"/>
          </w:tcPr>
          <w:p w14:paraId="3C33C03F" w14:textId="77777777" w:rsidR="00DF5494" w:rsidRPr="00DF5494" w:rsidRDefault="00DF5494" w:rsidP="00DF5494">
            <w:pPr>
              <w:jc w:val="center"/>
              <w:rPr>
                <w:rFonts w:asciiTheme="minorHAnsi" w:hAnsiTheme="minorHAnsi" w:cstheme="minorBidi"/>
                <w:b/>
                <w:sz w:val="24"/>
                <w:szCs w:val="24"/>
              </w:rPr>
            </w:pPr>
            <w:r w:rsidRPr="00DF5494">
              <w:rPr>
                <w:rFonts w:asciiTheme="minorHAnsi" w:hAnsiTheme="minorHAnsi" w:cstheme="minorBidi"/>
                <w:b/>
                <w:sz w:val="24"/>
                <w:szCs w:val="24"/>
              </w:rPr>
              <w:t>IPEDS &amp; Accreditors</w:t>
            </w:r>
          </w:p>
        </w:tc>
      </w:tr>
      <w:tr w:rsidR="00DF5494" w:rsidRPr="00DF5494" w14:paraId="5B19544D" w14:textId="77777777" w:rsidTr="00E82A27">
        <w:tc>
          <w:tcPr>
            <w:tcW w:w="2785" w:type="dxa"/>
          </w:tcPr>
          <w:p w14:paraId="7A857467" w14:textId="77777777" w:rsidR="00DF5494" w:rsidRPr="00DF5494" w:rsidRDefault="00DF5494" w:rsidP="00DF5494">
            <w:pPr>
              <w:jc w:val="center"/>
              <w:rPr>
                <w:rFonts w:asciiTheme="minorHAnsi" w:hAnsiTheme="minorHAnsi" w:cstheme="minorBidi"/>
                <w:b/>
                <w:sz w:val="24"/>
                <w:szCs w:val="24"/>
              </w:rPr>
            </w:pPr>
            <w:r w:rsidRPr="00DF5494">
              <w:rPr>
                <w:rFonts w:asciiTheme="minorHAnsi" w:hAnsiTheme="minorHAnsi" w:cstheme="minorBidi"/>
                <w:b/>
                <w:sz w:val="24"/>
                <w:szCs w:val="24"/>
              </w:rPr>
              <w:t>Organization</w:t>
            </w:r>
          </w:p>
        </w:tc>
        <w:tc>
          <w:tcPr>
            <w:tcW w:w="3240" w:type="dxa"/>
          </w:tcPr>
          <w:p w14:paraId="6CCF91E5" w14:textId="77777777" w:rsidR="00DF5494" w:rsidRPr="00DF5494" w:rsidRDefault="00DF5494" w:rsidP="00DF5494">
            <w:pPr>
              <w:jc w:val="center"/>
              <w:rPr>
                <w:rFonts w:asciiTheme="minorHAnsi" w:hAnsiTheme="minorHAnsi" w:cstheme="minorBidi"/>
                <w:b/>
                <w:sz w:val="24"/>
                <w:szCs w:val="24"/>
              </w:rPr>
            </w:pPr>
            <w:r w:rsidRPr="00DF5494">
              <w:rPr>
                <w:rFonts w:asciiTheme="minorHAnsi" w:hAnsiTheme="minorHAnsi" w:cstheme="minorBidi"/>
                <w:b/>
                <w:sz w:val="24"/>
                <w:szCs w:val="24"/>
              </w:rPr>
              <w:t>Course Definition</w:t>
            </w:r>
          </w:p>
        </w:tc>
        <w:tc>
          <w:tcPr>
            <w:tcW w:w="3325" w:type="dxa"/>
          </w:tcPr>
          <w:p w14:paraId="721CEF68" w14:textId="77777777" w:rsidR="00DF5494" w:rsidRPr="00DF5494" w:rsidRDefault="00DF5494" w:rsidP="00DF5494">
            <w:pPr>
              <w:jc w:val="center"/>
              <w:rPr>
                <w:rFonts w:asciiTheme="minorHAnsi" w:hAnsiTheme="minorHAnsi" w:cstheme="minorBidi"/>
                <w:b/>
                <w:sz w:val="24"/>
                <w:szCs w:val="24"/>
              </w:rPr>
            </w:pPr>
            <w:r w:rsidRPr="00DF5494">
              <w:rPr>
                <w:rFonts w:asciiTheme="minorHAnsi" w:hAnsiTheme="minorHAnsi" w:cstheme="minorBidi"/>
                <w:b/>
                <w:sz w:val="24"/>
                <w:szCs w:val="24"/>
              </w:rPr>
              <w:t>Program Definition</w:t>
            </w:r>
          </w:p>
        </w:tc>
      </w:tr>
      <w:tr w:rsidR="00DF5494" w:rsidRPr="00DF5494" w14:paraId="54BA469C" w14:textId="77777777" w:rsidTr="00E82A27">
        <w:tc>
          <w:tcPr>
            <w:tcW w:w="2785" w:type="dxa"/>
          </w:tcPr>
          <w:p w14:paraId="75C400FC" w14:textId="77777777" w:rsidR="00DF5494" w:rsidRPr="00DF5494" w:rsidRDefault="00DF5494" w:rsidP="00DF5494">
            <w:pPr>
              <w:rPr>
                <w:rFonts w:asciiTheme="minorHAnsi" w:hAnsiTheme="minorHAnsi" w:cstheme="minorBidi"/>
                <w:sz w:val="24"/>
                <w:szCs w:val="24"/>
              </w:rPr>
            </w:pPr>
            <w:r w:rsidRPr="00DF5494">
              <w:rPr>
                <w:rFonts w:asciiTheme="minorHAnsi" w:hAnsiTheme="minorHAnsi" w:cstheme="minorBidi"/>
                <w:sz w:val="24"/>
                <w:szCs w:val="24"/>
              </w:rPr>
              <w:t>IPEDS</w:t>
            </w:r>
            <w:r w:rsidR="00FC7882">
              <w:rPr>
                <w:rStyle w:val="FootnoteReference"/>
                <w:rFonts w:asciiTheme="minorHAnsi" w:hAnsiTheme="minorHAnsi" w:cstheme="minorBidi"/>
                <w:sz w:val="24"/>
                <w:szCs w:val="24"/>
              </w:rPr>
              <w:footnoteReference w:id="4"/>
            </w:r>
          </w:p>
        </w:tc>
        <w:tc>
          <w:tcPr>
            <w:tcW w:w="3240" w:type="dxa"/>
          </w:tcPr>
          <w:p w14:paraId="7B66BCC7" w14:textId="77777777" w:rsidR="00DF5494" w:rsidRPr="00DF5494" w:rsidRDefault="00DF5494" w:rsidP="00DF5494">
            <w:pPr>
              <w:rPr>
                <w:rFonts w:asciiTheme="minorHAnsi" w:hAnsiTheme="minorHAnsi" w:cstheme="minorBidi"/>
                <w:sz w:val="24"/>
                <w:szCs w:val="24"/>
              </w:rPr>
            </w:pPr>
            <w:r w:rsidRPr="00DF5494">
              <w:rPr>
                <w:rFonts w:asciiTheme="minorHAnsi" w:hAnsiTheme="minorHAnsi" w:cstheme="minorBidi"/>
                <w:sz w:val="24"/>
                <w:szCs w:val="24"/>
              </w:rPr>
              <w:t>100% at a distance (except for tests, orientation, and student services)</w:t>
            </w:r>
          </w:p>
        </w:tc>
        <w:tc>
          <w:tcPr>
            <w:tcW w:w="3325" w:type="dxa"/>
          </w:tcPr>
          <w:p w14:paraId="2F651A9A" w14:textId="77777777" w:rsidR="00DF5494" w:rsidRPr="00DF5494" w:rsidRDefault="00DF5494" w:rsidP="00DF5494">
            <w:pPr>
              <w:rPr>
                <w:rFonts w:asciiTheme="minorHAnsi" w:hAnsiTheme="minorHAnsi" w:cstheme="minorBidi"/>
                <w:sz w:val="24"/>
                <w:szCs w:val="24"/>
              </w:rPr>
            </w:pPr>
            <w:r w:rsidRPr="00DF5494">
              <w:rPr>
                <w:rFonts w:asciiTheme="minorHAnsi" w:hAnsiTheme="minorHAnsi" w:cstheme="minorBidi"/>
                <w:sz w:val="24"/>
                <w:szCs w:val="24"/>
              </w:rPr>
              <w:t>100% distance courses</w:t>
            </w:r>
          </w:p>
        </w:tc>
      </w:tr>
      <w:tr w:rsidR="00DF5494" w:rsidRPr="00DF5494" w14:paraId="4B8BB4D0" w14:textId="77777777" w:rsidTr="00E82A27">
        <w:tc>
          <w:tcPr>
            <w:tcW w:w="2785" w:type="dxa"/>
          </w:tcPr>
          <w:p w14:paraId="09339F26" w14:textId="77777777" w:rsidR="00DF5494" w:rsidRPr="00DF5494" w:rsidRDefault="00DF5494" w:rsidP="00DF5494">
            <w:pPr>
              <w:rPr>
                <w:rFonts w:asciiTheme="minorHAnsi" w:hAnsiTheme="minorHAnsi" w:cstheme="minorBidi"/>
                <w:sz w:val="24"/>
                <w:szCs w:val="24"/>
              </w:rPr>
            </w:pPr>
            <w:r w:rsidRPr="00DF5494">
              <w:rPr>
                <w:rFonts w:asciiTheme="minorHAnsi" w:hAnsiTheme="minorHAnsi" w:cstheme="minorBidi"/>
                <w:sz w:val="24"/>
                <w:szCs w:val="24"/>
              </w:rPr>
              <w:t>Higher Learning Commission</w:t>
            </w:r>
            <w:r>
              <w:rPr>
                <w:rStyle w:val="FootnoteReference"/>
                <w:rFonts w:asciiTheme="minorHAnsi" w:hAnsiTheme="minorHAnsi" w:cstheme="minorBidi"/>
                <w:sz w:val="24"/>
                <w:szCs w:val="24"/>
              </w:rPr>
              <w:footnoteReference w:id="5"/>
            </w:r>
          </w:p>
        </w:tc>
        <w:tc>
          <w:tcPr>
            <w:tcW w:w="3240" w:type="dxa"/>
          </w:tcPr>
          <w:p w14:paraId="1C6D2B6E" w14:textId="77777777" w:rsidR="00DF5494" w:rsidRPr="00DF5494" w:rsidRDefault="00DF5494" w:rsidP="00DF5494">
            <w:pPr>
              <w:rPr>
                <w:rFonts w:asciiTheme="minorHAnsi" w:hAnsiTheme="minorHAnsi" w:cstheme="minorBidi"/>
                <w:sz w:val="24"/>
                <w:szCs w:val="24"/>
              </w:rPr>
            </w:pPr>
            <w:r w:rsidRPr="00DF5494">
              <w:rPr>
                <w:rFonts w:asciiTheme="minorHAnsi" w:hAnsiTheme="minorHAnsi" w:cstheme="minorBidi"/>
                <w:sz w:val="24"/>
                <w:szCs w:val="24"/>
              </w:rPr>
              <w:t>75% at a distance</w:t>
            </w:r>
          </w:p>
        </w:tc>
        <w:tc>
          <w:tcPr>
            <w:tcW w:w="3325" w:type="dxa"/>
          </w:tcPr>
          <w:p w14:paraId="2327DE66" w14:textId="77777777" w:rsidR="00DF5494" w:rsidRPr="00DF5494" w:rsidRDefault="00DF5494" w:rsidP="00DF5494">
            <w:pPr>
              <w:rPr>
                <w:rFonts w:asciiTheme="minorHAnsi" w:hAnsiTheme="minorHAnsi" w:cstheme="minorBidi"/>
                <w:sz w:val="24"/>
                <w:szCs w:val="24"/>
              </w:rPr>
            </w:pPr>
            <w:r w:rsidRPr="00DF5494">
              <w:rPr>
                <w:rFonts w:asciiTheme="minorHAnsi" w:hAnsiTheme="minorHAnsi" w:cstheme="minorBidi"/>
                <w:sz w:val="24"/>
                <w:szCs w:val="24"/>
              </w:rPr>
              <w:t>50% or more at a distance</w:t>
            </w:r>
          </w:p>
        </w:tc>
      </w:tr>
      <w:tr w:rsidR="00AF0270" w:rsidRPr="00DF5494" w14:paraId="2205FDC4" w14:textId="77777777" w:rsidTr="00E82A27">
        <w:tc>
          <w:tcPr>
            <w:tcW w:w="2785" w:type="dxa"/>
          </w:tcPr>
          <w:p w14:paraId="49A46D86" w14:textId="77777777" w:rsidR="00AF0270" w:rsidRPr="00DF5494" w:rsidRDefault="00AF0270" w:rsidP="00AF0270">
            <w:pPr>
              <w:rPr>
                <w:rFonts w:asciiTheme="minorHAnsi" w:hAnsiTheme="minorHAnsi" w:cstheme="minorBidi"/>
                <w:sz w:val="24"/>
                <w:szCs w:val="24"/>
              </w:rPr>
            </w:pPr>
            <w:r>
              <w:rPr>
                <w:rFonts w:asciiTheme="minorHAnsi" w:hAnsiTheme="minorHAnsi" w:cstheme="minorBidi"/>
                <w:sz w:val="24"/>
                <w:szCs w:val="24"/>
              </w:rPr>
              <w:t>Middle States Commission on Higher Education</w:t>
            </w:r>
            <w:r>
              <w:rPr>
                <w:rStyle w:val="FootnoteReference"/>
                <w:rFonts w:asciiTheme="minorHAnsi" w:hAnsiTheme="minorHAnsi" w:cstheme="minorBidi"/>
                <w:sz w:val="24"/>
                <w:szCs w:val="24"/>
              </w:rPr>
              <w:footnoteReference w:id="6"/>
            </w:r>
          </w:p>
        </w:tc>
        <w:tc>
          <w:tcPr>
            <w:tcW w:w="3240" w:type="dxa"/>
          </w:tcPr>
          <w:p w14:paraId="440A7EFA" w14:textId="77777777" w:rsidR="00AF0270" w:rsidRPr="00DF5494" w:rsidRDefault="00AF0270" w:rsidP="00AF0270">
            <w:pPr>
              <w:rPr>
                <w:rFonts w:asciiTheme="minorHAnsi" w:hAnsiTheme="minorHAnsi" w:cstheme="minorBidi"/>
                <w:sz w:val="24"/>
                <w:szCs w:val="24"/>
              </w:rPr>
            </w:pPr>
            <w:r w:rsidRPr="00DF5494">
              <w:rPr>
                <w:rFonts w:asciiTheme="minorHAnsi" w:hAnsiTheme="minorHAnsi" w:cstheme="minorBidi"/>
                <w:sz w:val="24"/>
                <w:szCs w:val="24"/>
              </w:rPr>
              <w:t>Use</w:t>
            </w:r>
            <w:r>
              <w:rPr>
                <w:rFonts w:asciiTheme="minorHAnsi" w:hAnsiTheme="minorHAnsi" w:cstheme="minorBidi"/>
                <w:sz w:val="24"/>
                <w:szCs w:val="24"/>
              </w:rPr>
              <w:t>s</w:t>
            </w:r>
            <w:r w:rsidRPr="00DF5494">
              <w:rPr>
                <w:rFonts w:asciiTheme="minorHAnsi" w:hAnsiTheme="minorHAnsi" w:cstheme="minorBidi"/>
                <w:sz w:val="24"/>
                <w:szCs w:val="24"/>
              </w:rPr>
              <w:t xml:space="preserve"> federal distance ed</w:t>
            </w:r>
            <w:r>
              <w:rPr>
                <w:rFonts w:asciiTheme="minorHAnsi" w:hAnsiTheme="minorHAnsi" w:cstheme="minorBidi"/>
                <w:sz w:val="24"/>
                <w:szCs w:val="24"/>
              </w:rPr>
              <w:t>ucation</w:t>
            </w:r>
            <w:r w:rsidRPr="00DF5494">
              <w:rPr>
                <w:rFonts w:asciiTheme="minorHAnsi" w:hAnsiTheme="minorHAnsi" w:cstheme="minorBidi"/>
                <w:sz w:val="24"/>
                <w:szCs w:val="24"/>
              </w:rPr>
              <w:t xml:space="preserve"> definition, but do</w:t>
            </w:r>
            <w:r>
              <w:rPr>
                <w:rFonts w:asciiTheme="minorHAnsi" w:hAnsiTheme="minorHAnsi" w:cstheme="minorBidi"/>
                <w:sz w:val="24"/>
                <w:szCs w:val="24"/>
              </w:rPr>
              <w:t>es</w:t>
            </w:r>
            <w:r w:rsidRPr="00DF5494">
              <w:rPr>
                <w:rFonts w:asciiTheme="minorHAnsi" w:hAnsiTheme="minorHAnsi" w:cstheme="minorBidi"/>
                <w:sz w:val="24"/>
                <w:szCs w:val="24"/>
              </w:rPr>
              <w:t xml:space="preserve"> not define for courses.</w:t>
            </w:r>
          </w:p>
        </w:tc>
        <w:tc>
          <w:tcPr>
            <w:tcW w:w="3325" w:type="dxa"/>
          </w:tcPr>
          <w:p w14:paraId="61B619BB" w14:textId="77777777" w:rsidR="00AF0270" w:rsidRPr="00DF5494" w:rsidRDefault="00AF0270" w:rsidP="00AF0270">
            <w:pPr>
              <w:rPr>
                <w:rFonts w:asciiTheme="minorHAnsi" w:hAnsiTheme="minorHAnsi" w:cstheme="minorBidi"/>
                <w:sz w:val="24"/>
                <w:szCs w:val="24"/>
              </w:rPr>
            </w:pPr>
            <w:r w:rsidRPr="00DF5494">
              <w:rPr>
                <w:rFonts w:asciiTheme="minorHAnsi" w:hAnsiTheme="minorHAnsi" w:cstheme="minorBidi"/>
                <w:sz w:val="24"/>
                <w:szCs w:val="24"/>
              </w:rPr>
              <w:t>Use</w:t>
            </w:r>
            <w:r>
              <w:rPr>
                <w:rFonts w:asciiTheme="minorHAnsi" w:hAnsiTheme="minorHAnsi" w:cstheme="minorBidi"/>
                <w:sz w:val="24"/>
                <w:szCs w:val="24"/>
              </w:rPr>
              <w:t>s</w:t>
            </w:r>
            <w:r w:rsidRPr="00DF5494">
              <w:rPr>
                <w:rFonts w:asciiTheme="minorHAnsi" w:hAnsiTheme="minorHAnsi" w:cstheme="minorBidi"/>
                <w:sz w:val="24"/>
                <w:szCs w:val="24"/>
              </w:rPr>
              <w:t xml:space="preserve"> federal distance ed</w:t>
            </w:r>
            <w:r>
              <w:rPr>
                <w:rFonts w:asciiTheme="minorHAnsi" w:hAnsiTheme="minorHAnsi" w:cstheme="minorBidi"/>
                <w:sz w:val="24"/>
                <w:szCs w:val="24"/>
              </w:rPr>
              <w:t>ucation</w:t>
            </w:r>
            <w:r w:rsidRPr="00DF5494">
              <w:rPr>
                <w:rFonts w:asciiTheme="minorHAnsi" w:hAnsiTheme="minorHAnsi" w:cstheme="minorBidi"/>
                <w:sz w:val="24"/>
                <w:szCs w:val="24"/>
              </w:rPr>
              <w:t xml:space="preserve"> definition, but </w:t>
            </w:r>
            <w:r>
              <w:rPr>
                <w:rFonts w:asciiTheme="minorHAnsi" w:hAnsiTheme="minorHAnsi" w:cstheme="minorBidi"/>
                <w:sz w:val="24"/>
                <w:szCs w:val="24"/>
              </w:rPr>
              <w:t>does</w:t>
            </w:r>
            <w:r w:rsidRPr="00DF5494">
              <w:rPr>
                <w:rFonts w:asciiTheme="minorHAnsi" w:hAnsiTheme="minorHAnsi" w:cstheme="minorBidi"/>
                <w:sz w:val="24"/>
                <w:szCs w:val="24"/>
              </w:rPr>
              <w:t xml:space="preserve"> not define for programs.</w:t>
            </w:r>
          </w:p>
        </w:tc>
      </w:tr>
      <w:tr w:rsidR="00AF0270" w:rsidRPr="00DF5494" w14:paraId="73D1C29F" w14:textId="77777777" w:rsidTr="00E82A27">
        <w:tc>
          <w:tcPr>
            <w:tcW w:w="2785" w:type="dxa"/>
          </w:tcPr>
          <w:p w14:paraId="5AE51215" w14:textId="77777777" w:rsidR="00AF0270" w:rsidRPr="00DF5494" w:rsidRDefault="00AF0270" w:rsidP="00AF0270">
            <w:pPr>
              <w:rPr>
                <w:rFonts w:asciiTheme="minorHAnsi" w:hAnsiTheme="minorHAnsi" w:cstheme="minorBidi"/>
                <w:sz w:val="24"/>
                <w:szCs w:val="24"/>
              </w:rPr>
            </w:pPr>
            <w:r>
              <w:rPr>
                <w:rFonts w:asciiTheme="minorHAnsi" w:hAnsiTheme="minorHAnsi" w:cstheme="minorBidi"/>
                <w:sz w:val="24"/>
                <w:szCs w:val="24"/>
              </w:rPr>
              <w:lastRenderedPageBreak/>
              <w:t>New England Association of Schools and Colleges</w:t>
            </w:r>
            <w:r>
              <w:rPr>
                <w:rStyle w:val="FootnoteReference"/>
                <w:rFonts w:asciiTheme="minorHAnsi" w:hAnsiTheme="minorHAnsi" w:cstheme="minorBidi"/>
                <w:sz w:val="24"/>
                <w:szCs w:val="24"/>
              </w:rPr>
              <w:footnoteReference w:id="7"/>
            </w:r>
          </w:p>
        </w:tc>
        <w:tc>
          <w:tcPr>
            <w:tcW w:w="3240" w:type="dxa"/>
          </w:tcPr>
          <w:p w14:paraId="20F38D37" w14:textId="77777777" w:rsidR="00AF0270" w:rsidRPr="00DF5494" w:rsidRDefault="00AF0270" w:rsidP="00AF0270">
            <w:pPr>
              <w:rPr>
                <w:rFonts w:asciiTheme="minorHAnsi" w:hAnsiTheme="minorHAnsi" w:cstheme="minorBidi"/>
                <w:sz w:val="24"/>
                <w:szCs w:val="24"/>
              </w:rPr>
            </w:pPr>
            <w:r>
              <w:rPr>
                <w:rFonts w:asciiTheme="minorHAnsi" w:hAnsiTheme="minorHAnsi" w:cstheme="minorBidi"/>
                <w:sz w:val="24"/>
                <w:szCs w:val="24"/>
              </w:rPr>
              <w:t>Not defined</w:t>
            </w:r>
          </w:p>
        </w:tc>
        <w:tc>
          <w:tcPr>
            <w:tcW w:w="3325" w:type="dxa"/>
          </w:tcPr>
          <w:p w14:paraId="3A7D4BCD" w14:textId="77777777" w:rsidR="00AF0270" w:rsidRPr="0065248F" w:rsidRDefault="00AF0270" w:rsidP="00AF0270">
            <w:pPr>
              <w:rPr>
                <w:rFonts w:asciiTheme="minorHAnsi" w:hAnsiTheme="minorHAnsi" w:cstheme="minorBidi"/>
                <w:sz w:val="24"/>
                <w:szCs w:val="24"/>
              </w:rPr>
            </w:pPr>
            <w:r w:rsidRPr="0065248F">
              <w:rPr>
                <w:rFonts w:asciiTheme="minorHAnsi" w:hAnsiTheme="minorHAnsi" w:cstheme="minorBidi"/>
                <w:sz w:val="24"/>
                <w:szCs w:val="24"/>
              </w:rPr>
              <w:t>P</w:t>
            </w:r>
            <w:r>
              <w:rPr>
                <w:rFonts w:asciiTheme="minorHAnsi" w:hAnsiTheme="minorHAnsi" w:cstheme="minorBidi"/>
                <w:sz w:val="24"/>
                <w:szCs w:val="24"/>
              </w:rPr>
              <w:t xml:space="preserve">rograms </w:t>
            </w:r>
            <w:r w:rsidRPr="0065248F">
              <w:rPr>
                <w:rFonts w:asciiTheme="minorHAnsi" w:hAnsiTheme="minorHAnsi" w:cstheme="minorBidi"/>
                <w:sz w:val="24"/>
                <w:szCs w:val="24"/>
              </w:rPr>
              <w:t>“</w:t>
            </w:r>
            <w:r>
              <w:rPr>
                <w:rFonts w:asciiTheme="minorHAnsi" w:hAnsiTheme="minorHAnsi" w:cstheme="minorBidi"/>
                <w:sz w:val="24"/>
                <w:szCs w:val="24"/>
              </w:rPr>
              <w:t xml:space="preserve">(1) </w:t>
            </w:r>
            <w:r w:rsidRPr="0065248F">
              <w:rPr>
                <w:rFonts w:asciiTheme="minorHAnsi" w:hAnsiTheme="minorHAnsi" w:cstheme="minorBidi"/>
                <w:sz w:val="24"/>
                <w:szCs w:val="24"/>
              </w:rPr>
              <w:t>…for which students may earn 50% or more of the credits through technologically mediated instruction and/or (2) degree completion programs offered on-line”</w:t>
            </w:r>
          </w:p>
        </w:tc>
      </w:tr>
      <w:tr w:rsidR="00AF0270" w:rsidRPr="00DF5494" w14:paraId="353F509F" w14:textId="77777777" w:rsidTr="00E82A27">
        <w:tc>
          <w:tcPr>
            <w:tcW w:w="2785" w:type="dxa"/>
          </w:tcPr>
          <w:p w14:paraId="51245515" w14:textId="77777777" w:rsidR="00AF0270" w:rsidRPr="00DF5494" w:rsidRDefault="00AF0270" w:rsidP="00AF0270">
            <w:pPr>
              <w:rPr>
                <w:rFonts w:asciiTheme="minorHAnsi" w:hAnsiTheme="minorHAnsi" w:cstheme="minorBidi"/>
                <w:sz w:val="24"/>
                <w:szCs w:val="24"/>
              </w:rPr>
            </w:pPr>
            <w:r w:rsidRPr="00DF5494">
              <w:rPr>
                <w:rFonts w:asciiTheme="minorHAnsi" w:hAnsiTheme="minorHAnsi" w:cstheme="minorBidi"/>
                <w:sz w:val="24"/>
                <w:szCs w:val="24"/>
              </w:rPr>
              <w:t>Northwest Commission on Colleges and Universities</w:t>
            </w:r>
            <w:r>
              <w:rPr>
                <w:rStyle w:val="FootnoteReference"/>
                <w:rFonts w:asciiTheme="minorHAnsi" w:hAnsiTheme="minorHAnsi" w:cstheme="minorBidi"/>
                <w:sz w:val="24"/>
                <w:szCs w:val="24"/>
              </w:rPr>
              <w:footnoteReference w:id="8"/>
            </w:r>
          </w:p>
        </w:tc>
        <w:tc>
          <w:tcPr>
            <w:tcW w:w="3240" w:type="dxa"/>
          </w:tcPr>
          <w:p w14:paraId="79E0E243" w14:textId="77777777" w:rsidR="00AF0270" w:rsidRPr="00DF5494" w:rsidRDefault="00AF0270" w:rsidP="00AF0270">
            <w:pPr>
              <w:rPr>
                <w:rFonts w:asciiTheme="minorHAnsi" w:hAnsiTheme="minorHAnsi" w:cstheme="minorBidi"/>
                <w:sz w:val="24"/>
                <w:szCs w:val="24"/>
              </w:rPr>
            </w:pPr>
            <w:r w:rsidRPr="00DF5494">
              <w:rPr>
                <w:rFonts w:asciiTheme="minorHAnsi" w:hAnsiTheme="minorHAnsi" w:cstheme="minorBidi"/>
                <w:sz w:val="24"/>
                <w:szCs w:val="24"/>
              </w:rPr>
              <w:t xml:space="preserve">A “majority” – </w:t>
            </w:r>
            <w:r w:rsidR="00FC7882">
              <w:rPr>
                <w:rFonts w:asciiTheme="minorHAnsi" w:hAnsiTheme="minorHAnsi" w:cstheme="minorBidi"/>
                <w:sz w:val="24"/>
                <w:szCs w:val="24"/>
              </w:rPr>
              <w:t>I</w:t>
            </w:r>
            <w:r w:rsidRPr="00DF5494">
              <w:rPr>
                <w:rFonts w:asciiTheme="minorHAnsi" w:hAnsiTheme="minorHAnsi" w:cstheme="minorBidi"/>
                <w:sz w:val="24"/>
                <w:szCs w:val="24"/>
              </w:rPr>
              <w:t xml:space="preserve">ncludes correspondence study, which is </w:t>
            </w:r>
            <w:r>
              <w:rPr>
                <w:rFonts w:asciiTheme="minorHAnsi" w:hAnsiTheme="minorHAnsi" w:cstheme="minorBidi"/>
                <w:sz w:val="24"/>
                <w:szCs w:val="24"/>
              </w:rPr>
              <w:t>specifically excluded in</w:t>
            </w:r>
            <w:r w:rsidRPr="00DF5494">
              <w:rPr>
                <w:rFonts w:asciiTheme="minorHAnsi" w:hAnsiTheme="minorHAnsi" w:cstheme="minorBidi"/>
                <w:sz w:val="24"/>
                <w:szCs w:val="24"/>
              </w:rPr>
              <w:t xml:space="preserve"> federal definitions</w:t>
            </w:r>
          </w:p>
        </w:tc>
        <w:tc>
          <w:tcPr>
            <w:tcW w:w="3325" w:type="dxa"/>
          </w:tcPr>
          <w:p w14:paraId="43552A29" w14:textId="77777777" w:rsidR="00AF0270" w:rsidRPr="00DF5494" w:rsidRDefault="00AF0270" w:rsidP="00AF0270">
            <w:pPr>
              <w:rPr>
                <w:rFonts w:asciiTheme="minorHAnsi" w:hAnsiTheme="minorHAnsi" w:cstheme="minorBidi"/>
                <w:sz w:val="24"/>
                <w:szCs w:val="24"/>
              </w:rPr>
            </w:pPr>
            <w:r w:rsidRPr="00DF5494">
              <w:rPr>
                <w:rFonts w:asciiTheme="minorHAnsi" w:hAnsiTheme="minorHAnsi" w:cstheme="minorBidi"/>
                <w:sz w:val="24"/>
                <w:szCs w:val="24"/>
              </w:rPr>
              <w:t>A “majority”</w:t>
            </w:r>
          </w:p>
        </w:tc>
      </w:tr>
      <w:tr w:rsidR="00AF0270" w:rsidRPr="00DF5494" w14:paraId="1EB62669" w14:textId="77777777" w:rsidTr="00E82A27">
        <w:tc>
          <w:tcPr>
            <w:tcW w:w="2785" w:type="dxa"/>
          </w:tcPr>
          <w:p w14:paraId="5904A28D" w14:textId="77777777" w:rsidR="00AF0270" w:rsidRPr="00DF5494" w:rsidRDefault="00AF0270" w:rsidP="00AF0270">
            <w:pPr>
              <w:rPr>
                <w:rFonts w:asciiTheme="minorHAnsi" w:hAnsiTheme="minorHAnsi" w:cstheme="minorBidi"/>
                <w:sz w:val="24"/>
                <w:szCs w:val="24"/>
              </w:rPr>
            </w:pPr>
            <w:r w:rsidRPr="00DF5494">
              <w:rPr>
                <w:rFonts w:asciiTheme="minorHAnsi" w:hAnsiTheme="minorHAnsi" w:cstheme="minorBidi"/>
                <w:sz w:val="24"/>
                <w:szCs w:val="24"/>
              </w:rPr>
              <w:t>Southern Assoc</w:t>
            </w:r>
            <w:r>
              <w:rPr>
                <w:rFonts w:asciiTheme="minorHAnsi" w:hAnsiTheme="minorHAnsi" w:cstheme="minorBidi"/>
                <w:sz w:val="24"/>
                <w:szCs w:val="24"/>
              </w:rPr>
              <w:t>iation</w:t>
            </w:r>
            <w:r w:rsidRPr="00DF5494">
              <w:rPr>
                <w:rFonts w:asciiTheme="minorHAnsi" w:hAnsiTheme="minorHAnsi" w:cstheme="minorBidi"/>
                <w:sz w:val="24"/>
                <w:szCs w:val="24"/>
              </w:rPr>
              <w:t xml:space="preserve"> of Colleges and Schools</w:t>
            </w:r>
            <w:r>
              <w:rPr>
                <w:rStyle w:val="FootnoteReference"/>
                <w:rFonts w:asciiTheme="minorHAnsi" w:hAnsiTheme="minorHAnsi" w:cstheme="minorBidi"/>
                <w:sz w:val="24"/>
                <w:szCs w:val="24"/>
              </w:rPr>
              <w:footnoteReference w:id="9"/>
            </w:r>
          </w:p>
        </w:tc>
        <w:tc>
          <w:tcPr>
            <w:tcW w:w="3240" w:type="dxa"/>
          </w:tcPr>
          <w:p w14:paraId="21DCDD4E" w14:textId="77777777" w:rsidR="00AF0270" w:rsidRPr="00DF5494" w:rsidRDefault="00AF0270" w:rsidP="00AF0270">
            <w:pPr>
              <w:rPr>
                <w:rFonts w:asciiTheme="minorHAnsi" w:hAnsiTheme="minorHAnsi" w:cstheme="minorBidi"/>
                <w:sz w:val="24"/>
                <w:szCs w:val="24"/>
              </w:rPr>
            </w:pPr>
            <w:r w:rsidRPr="00DF5494">
              <w:rPr>
                <w:rFonts w:asciiTheme="minorHAnsi" w:hAnsiTheme="minorHAnsi" w:cstheme="minorBidi"/>
                <w:sz w:val="24"/>
                <w:szCs w:val="24"/>
              </w:rPr>
              <w:t>A “majority”</w:t>
            </w:r>
            <w:r>
              <w:rPr>
                <w:rFonts w:asciiTheme="minorHAnsi" w:hAnsiTheme="minorHAnsi" w:cstheme="minorBidi"/>
                <w:sz w:val="24"/>
                <w:szCs w:val="24"/>
              </w:rPr>
              <w:t xml:space="preserve"> – </w:t>
            </w:r>
            <w:r w:rsidR="00FC7882">
              <w:rPr>
                <w:rFonts w:asciiTheme="minorHAnsi" w:hAnsiTheme="minorHAnsi" w:cstheme="minorBidi"/>
                <w:sz w:val="24"/>
                <w:szCs w:val="24"/>
              </w:rPr>
              <w:t>S</w:t>
            </w:r>
            <w:r>
              <w:rPr>
                <w:rFonts w:asciiTheme="minorHAnsi" w:hAnsiTheme="minorHAnsi" w:cstheme="minorBidi"/>
                <w:sz w:val="24"/>
                <w:szCs w:val="24"/>
              </w:rPr>
              <w:t>eparately defines correspondence education</w:t>
            </w:r>
          </w:p>
        </w:tc>
        <w:tc>
          <w:tcPr>
            <w:tcW w:w="3325" w:type="dxa"/>
          </w:tcPr>
          <w:p w14:paraId="3122CA42" w14:textId="77777777" w:rsidR="00AF0270" w:rsidRPr="00DF5494" w:rsidRDefault="00AF0270" w:rsidP="00AF0270">
            <w:pPr>
              <w:rPr>
                <w:rFonts w:asciiTheme="minorHAnsi" w:hAnsiTheme="minorHAnsi" w:cstheme="minorBidi"/>
                <w:sz w:val="24"/>
                <w:szCs w:val="24"/>
              </w:rPr>
            </w:pPr>
            <w:r w:rsidRPr="00DF5494">
              <w:rPr>
                <w:rFonts w:asciiTheme="minorHAnsi" w:hAnsiTheme="minorHAnsi" w:cstheme="minorBidi"/>
                <w:sz w:val="24"/>
                <w:szCs w:val="24"/>
              </w:rPr>
              <w:t>A “majority”</w:t>
            </w:r>
          </w:p>
        </w:tc>
      </w:tr>
      <w:tr w:rsidR="00AF0270" w:rsidRPr="00DF5494" w14:paraId="3BBB67CD" w14:textId="77777777" w:rsidTr="00E82A27">
        <w:tc>
          <w:tcPr>
            <w:tcW w:w="2785" w:type="dxa"/>
          </w:tcPr>
          <w:p w14:paraId="4CEC5B37" w14:textId="77777777" w:rsidR="00AF0270" w:rsidRPr="00DF5494" w:rsidRDefault="00AF0270" w:rsidP="00AF0270">
            <w:pPr>
              <w:rPr>
                <w:rFonts w:asciiTheme="minorHAnsi" w:hAnsiTheme="minorHAnsi" w:cstheme="minorBidi"/>
                <w:sz w:val="24"/>
                <w:szCs w:val="24"/>
              </w:rPr>
            </w:pPr>
            <w:r w:rsidRPr="00DF5494">
              <w:rPr>
                <w:rFonts w:asciiTheme="minorHAnsi" w:hAnsiTheme="minorHAnsi" w:cstheme="minorBidi"/>
                <w:sz w:val="24"/>
                <w:szCs w:val="24"/>
              </w:rPr>
              <w:t>WASC – Accrediting Commission for Community and Junior Colleges</w:t>
            </w:r>
            <w:r>
              <w:rPr>
                <w:rStyle w:val="FootnoteReference"/>
                <w:rFonts w:asciiTheme="minorHAnsi" w:hAnsiTheme="minorHAnsi" w:cstheme="minorBidi"/>
                <w:sz w:val="24"/>
                <w:szCs w:val="24"/>
              </w:rPr>
              <w:footnoteReference w:id="10"/>
            </w:r>
          </w:p>
        </w:tc>
        <w:tc>
          <w:tcPr>
            <w:tcW w:w="3240" w:type="dxa"/>
          </w:tcPr>
          <w:p w14:paraId="22743B5A" w14:textId="77777777" w:rsidR="00AF0270" w:rsidRPr="00DF5494" w:rsidRDefault="00AF0270" w:rsidP="00AF0270">
            <w:pPr>
              <w:rPr>
                <w:rFonts w:asciiTheme="minorHAnsi" w:hAnsiTheme="minorHAnsi" w:cstheme="minorBidi"/>
                <w:sz w:val="24"/>
                <w:szCs w:val="24"/>
              </w:rPr>
            </w:pPr>
            <w:r w:rsidRPr="00DF5494">
              <w:rPr>
                <w:rFonts w:asciiTheme="minorHAnsi" w:hAnsiTheme="minorHAnsi" w:cstheme="minorBidi"/>
                <w:sz w:val="24"/>
                <w:szCs w:val="24"/>
              </w:rPr>
              <w:t>Use</w:t>
            </w:r>
            <w:r>
              <w:rPr>
                <w:rFonts w:asciiTheme="minorHAnsi" w:hAnsiTheme="minorHAnsi" w:cstheme="minorBidi"/>
                <w:sz w:val="24"/>
                <w:szCs w:val="24"/>
              </w:rPr>
              <w:t>s</w:t>
            </w:r>
            <w:r w:rsidRPr="00DF5494">
              <w:rPr>
                <w:rFonts w:asciiTheme="minorHAnsi" w:hAnsiTheme="minorHAnsi" w:cstheme="minorBidi"/>
                <w:sz w:val="24"/>
                <w:szCs w:val="24"/>
              </w:rPr>
              <w:t xml:space="preserve"> federal distance ed</w:t>
            </w:r>
            <w:r>
              <w:rPr>
                <w:rFonts w:asciiTheme="minorHAnsi" w:hAnsiTheme="minorHAnsi" w:cstheme="minorBidi"/>
                <w:sz w:val="24"/>
                <w:szCs w:val="24"/>
              </w:rPr>
              <w:t>ucation</w:t>
            </w:r>
            <w:r w:rsidRPr="00DF5494">
              <w:rPr>
                <w:rFonts w:asciiTheme="minorHAnsi" w:hAnsiTheme="minorHAnsi" w:cstheme="minorBidi"/>
                <w:sz w:val="24"/>
                <w:szCs w:val="24"/>
              </w:rPr>
              <w:t xml:space="preserve"> definition, but do</w:t>
            </w:r>
            <w:r>
              <w:rPr>
                <w:rFonts w:asciiTheme="minorHAnsi" w:hAnsiTheme="minorHAnsi" w:cstheme="minorBidi"/>
                <w:sz w:val="24"/>
                <w:szCs w:val="24"/>
              </w:rPr>
              <w:t>es</w:t>
            </w:r>
            <w:r w:rsidRPr="00DF5494">
              <w:rPr>
                <w:rFonts w:asciiTheme="minorHAnsi" w:hAnsiTheme="minorHAnsi" w:cstheme="minorBidi"/>
                <w:sz w:val="24"/>
                <w:szCs w:val="24"/>
              </w:rPr>
              <w:t xml:space="preserve"> not define for courses.</w:t>
            </w:r>
          </w:p>
        </w:tc>
        <w:tc>
          <w:tcPr>
            <w:tcW w:w="3325" w:type="dxa"/>
          </w:tcPr>
          <w:p w14:paraId="6015B486" w14:textId="77777777" w:rsidR="00AF0270" w:rsidRPr="00DF5494" w:rsidRDefault="00AF0270" w:rsidP="00AF0270">
            <w:pPr>
              <w:rPr>
                <w:rFonts w:asciiTheme="minorHAnsi" w:hAnsiTheme="minorHAnsi" w:cstheme="minorBidi"/>
                <w:sz w:val="24"/>
                <w:szCs w:val="24"/>
              </w:rPr>
            </w:pPr>
            <w:r w:rsidRPr="00DF5494">
              <w:rPr>
                <w:rFonts w:asciiTheme="minorHAnsi" w:hAnsiTheme="minorHAnsi" w:cstheme="minorBidi"/>
                <w:sz w:val="24"/>
                <w:szCs w:val="24"/>
              </w:rPr>
              <w:t>Use</w:t>
            </w:r>
            <w:r>
              <w:rPr>
                <w:rFonts w:asciiTheme="minorHAnsi" w:hAnsiTheme="minorHAnsi" w:cstheme="minorBidi"/>
                <w:sz w:val="24"/>
                <w:szCs w:val="24"/>
              </w:rPr>
              <w:t>s</w:t>
            </w:r>
            <w:r w:rsidRPr="00DF5494">
              <w:rPr>
                <w:rFonts w:asciiTheme="minorHAnsi" w:hAnsiTheme="minorHAnsi" w:cstheme="minorBidi"/>
                <w:sz w:val="24"/>
                <w:szCs w:val="24"/>
              </w:rPr>
              <w:t xml:space="preserve"> federal distance ed</w:t>
            </w:r>
            <w:r>
              <w:rPr>
                <w:rFonts w:asciiTheme="minorHAnsi" w:hAnsiTheme="minorHAnsi" w:cstheme="minorBidi"/>
                <w:sz w:val="24"/>
                <w:szCs w:val="24"/>
              </w:rPr>
              <w:t>ucation</w:t>
            </w:r>
            <w:r w:rsidRPr="00DF5494">
              <w:rPr>
                <w:rFonts w:asciiTheme="minorHAnsi" w:hAnsiTheme="minorHAnsi" w:cstheme="minorBidi"/>
                <w:sz w:val="24"/>
                <w:szCs w:val="24"/>
              </w:rPr>
              <w:t xml:space="preserve"> definition, but </w:t>
            </w:r>
            <w:r>
              <w:rPr>
                <w:rFonts w:asciiTheme="minorHAnsi" w:hAnsiTheme="minorHAnsi" w:cstheme="minorBidi"/>
                <w:sz w:val="24"/>
                <w:szCs w:val="24"/>
              </w:rPr>
              <w:t>does</w:t>
            </w:r>
            <w:r w:rsidRPr="00DF5494">
              <w:rPr>
                <w:rFonts w:asciiTheme="minorHAnsi" w:hAnsiTheme="minorHAnsi" w:cstheme="minorBidi"/>
                <w:sz w:val="24"/>
                <w:szCs w:val="24"/>
              </w:rPr>
              <w:t xml:space="preserve"> not define for programs.</w:t>
            </w:r>
          </w:p>
        </w:tc>
      </w:tr>
      <w:tr w:rsidR="00984B95" w:rsidRPr="00DF5494" w14:paraId="28051D14" w14:textId="77777777" w:rsidTr="00E82A27">
        <w:tc>
          <w:tcPr>
            <w:tcW w:w="2785" w:type="dxa"/>
          </w:tcPr>
          <w:p w14:paraId="1F89E543" w14:textId="77777777" w:rsidR="00984B95" w:rsidRPr="00DF5494" w:rsidRDefault="00984B95" w:rsidP="00984B95">
            <w:pPr>
              <w:rPr>
                <w:rFonts w:asciiTheme="minorHAnsi" w:hAnsiTheme="minorHAnsi" w:cstheme="minorBidi"/>
                <w:sz w:val="24"/>
                <w:szCs w:val="24"/>
              </w:rPr>
            </w:pPr>
            <w:r>
              <w:rPr>
                <w:rFonts w:asciiTheme="minorHAnsi" w:hAnsiTheme="minorHAnsi" w:cstheme="minorBidi"/>
                <w:sz w:val="24"/>
                <w:szCs w:val="24"/>
              </w:rPr>
              <w:t>WASC – Senior College and University Commission</w:t>
            </w:r>
            <w:r w:rsidR="00C259B5">
              <w:rPr>
                <w:rStyle w:val="FootnoteReference"/>
                <w:rFonts w:asciiTheme="minorHAnsi" w:hAnsiTheme="minorHAnsi" w:cstheme="minorBidi"/>
                <w:sz w:val="24"/>
                <w:szCs w:val="24"/>
              </w:rPr>
              <w:footnoteReference w:id="11"/>
            </w:r>
          </w:p>
        </w:tc>
        <w:tc>
          <w:tcPr>
            <w:tcW w:w="3240" w:type="dxa"/>
          </w:tcPr>
          <w:p w14:paraId="082D0140" w14:textId="77777777" w:rsidR="00984B95" w:rsidRPr="00DF5494" w:rsidRDefault="00984B95" w:rsidP="00984B95">
            <w:pPr>
              <w:rPr>
                <w:rFonts w:asciiTheme="minorHAnsi" w:hAnsiTheme="minorHAnsi" w:cstheme="minorBidi"/>
                <w:sz w:val="24"/>
                <w:szCs w:val="24"/>
              </w:rPr>
            </w:pPr>
            <w:r w:rsidRPr="00DF5494">
              <w:rPr>
                <w:rFonts w:asciiTheme="minorHAnsi" w:hAnsiTheme="minorHAnsi" w:cstheme="minorBidi"/>
                <w:sz w:val="24"/>
                <w:szCs w:val="24"/>
              </w:rPr>
              <w:t>Use</w:t>
            </w:r>
            <w:r>
              <w:rPr>
                <w:rFonts w:asciiTheme="minorHAnsi" w:hAnsiTheme="minorHAnsi" w:cstheme="minorBidi"/>
                <w:sz w:val="24"/>
                <w:szCs w:val="24"/>
              </w:rPr>
              <w:t>s</w:t>
            </w:r>
            <w:r w:rsidRPr="00DF5494">
              <w:rPr>
                <w:rFonts w:asciiTheme="minorHAnsi" w:hAnsiTheme="minorHAnsi" w:cstheme="minorBidi"/>
                <w:sz w:val="24"/>
                <w:szCs w:val="24"/>
              </w:rPr>
              <w:t xml:space="preserve"> federal distance ed</w:t>
            </w:r>
            <w:r>
              <w:rPr>
                <w:rFonts w:asciiTheme="minorHAnsi" w:hAnsiTheme="minorHAnsi" w:cstheme="minorBidi"/>
                <w:sz w:val="24"/>
                <w:szCs w:val="24"/>
              </w:rPr>
              <w:t>ucation</w:t>
            </w:r>
            <w:r w:rsidRPr="00DF5494">
              <w:rPr>
                <w:rFonts w:asciiTheme="minorHAnsi" w:hAnsiTheme="minorHAnsi" w:cstheme="minorBidi"/>
                <w:sz w:val="24"/>
                <w:szCs w:val="24"/>
              </w:rPr>
              <w:t xml:space="preserve"> definition, but do</w:t>
            </w:r>
            <w:r>
              <w:rPr>
                <w:rFonts w:asciiTheme="minorHAnsi" w:hAnsiTheme="minorHAnsi" w:cstheme="minorBidi"/>
                <w:sz w:val="24"/>
                <w:szCs w:val="24"/>
              </w:rPr>
              <w:t>es</w:t>
            </w:r>
            <w:r w:rsidRPr="00DF5494">
              <w:rPr>
                <w:rFonts w:asciiTheme="minorHAnsi" w:hAnsiTheme="minorHAnsi" w:cstheme="minorBidi"/>
                <w:sz w:val="24"/>
                <w:szCs w:val="24"/>
              </w:rPr>
              <w:t xml:space="preserve"> not define for courses.</w:t>
            </w:r>
          </w:p>
        </w:tc>
        <w:tc>
          <w:tcPr>
            <w:tcW w:w="3325" w:type="dxa"/>
          </w:tcPr>
          <w:p w14:paraId="4195B9C9" w14:textId="77777777" w:rsidR="00984B95" w:rsidRPr="00DF5494" w:rsidRDefault="00984B95" w:rsidP="00984B95">
            <w:pPr>
              <w:rPr>
                <w:rFonts w:asciiTheme="minorHAnsi" w:hAnsiTheme="minorHAnsi" w:cstheme="minorBidi"/>
                <w:sz w:val="24"/>
                <w:szCs w:val="24"/>
              </w:rPr>
            </w:pPr>
            <w:r w:rsidRPr="00DF5494">
              <w:rPr>
                <w:rFonts w:asciiTheme="minorHAnsi" w:hAnsiTheme="minorHAnsi" w:cstheme="minorBidi"/>
                <w:sz w:val="24"/>
                <w:szCs w:val="24"/>
              </w:rPr>
              <w:t>Use</w:t>
            </w:r>
            <w:r>
              <w:rPr>
                <w:rFonts w:asciiTheme="minorHAnsi" w:hAnsiTheme="minorHAnsi" w:cstheme="minorBidi"/>
                <w:sz w:val="24"/>
                <w:szCs w:val="24"/>
              </w:rPr>
              <w:t>s</w:t>
            </w:r>
            <w:r w:rsidRPr="00DF5494">
              <w:rPr>
                <w:rFonts w:asciiTheme="minorHAnsi" w:hAnsiTheme="minorHAnsi" w:cstheme="minorBidi"/>
                <w:sz w:val="24"/>
                <w:szCs w:val="24"/>
              </w:rPr>
              <w:t xml:space="preserve"> federal distance ed</w:t>
            </w:r>
            <w:r>
              <w:rPr>
                <w:rFonts w:asciiTheme="minorHAnsi" w:hAnsiTheme="minorHAnsi" w:cstheme="minorBidi"/>
                <w:sz w:val="24"/>
                <w:szCs w:val="24"/>
              </w:rPr>
              <w:t>ucation</w:t>
            </w:r>
            <w:r w:rsidRPr="00DF5494">
              <w:rPr>
                <w:rFonts w:asciiTheme="minorHAnsi" w:hAnsiTheme="minorHAnsi" w:cstheme="minorBidi"/>
                <w:sz w:val="24"/>
                <w:szCs w:val="24"/>
              </w:rPr>
              <w:t xml:space="preserve"> definition, but </w:t>
            </w:r>
            <w:r>
              <w:rPr>
                <w:rFonts w:asciiTheme="minorHAnsi" w:hAnsiTheme="minorHAnsi" w:cstheme="minorBidi"/>
                <w:sz w:val="24"/>
                <w:szCs w:val="24"/>
              </w:rPr>
              <w:t>does</w:t>
            </w:r>
            <w:r w:rsidRPr="00DF5494">
              <w:rPr>
                <w:rFonts w:asciiTheme="minorHAnsi" w:hAnsiTheme="minorHAnsi" w:cstheme="minorBidi"/>
                <w:sz w:val="24"/>
                <w:szCs w:val="24"/>
              </w:rPr>
              <w:t xml:space="preserve"> not define for programs.</w:t>
            </w:r>
          </w:p>
        </w:tc>
      </w:tr>
      <w:tr w:rsidR="00C91599" w:rsidRPr="00DF5494" w14:paraId="5EC5D0A7" w14:textId="77777777" w:rsidTr="00E82A27">
        <w:tc>
          <w:tcPr>
            <w:tcW w:w="2785" w:type="dxa"/>
          </w:tcPr>
          <w:p w14:paraId="67393F90" w14:textId="77777777" w:rsidR="00C91599" w:rsidRDefault="00C91599" w:rsidP="00984B95">
            <w:pPr>
              <w:rPr>
                <w:rFonts w:asciiTheme="minorHAnsi" w:hAnsiTheme="minorHAnsi" w:cstheme="minorBidi"/>
                <w:sz w:val="24"/>
                <w:szCs w:val="24"/>
              </w:rPr>
            </w:pPr>
            <w:r>
              <w:rPr>
                <w:rFonts w:asciiTheme="minorHAnsi" w:hAnsiTheme="minorHAnsi" w:cstheme="minorBidi"/>
                <w:sz w:val="24"/>
                <w:szCs w:val="24"/>
              </w:rPr>
              <w:t>Distance Education Accrediting Association</w:t>
            </w:r>
            <w:r>
              <w:rPr>
                <w:rStyle w:val="FootnoteReference"/>
                <w:rFonts w:asciiTheme="minorHAnsi" w:hAnsiTheme="minorHAnsi" w:cstheme="minorBidi"/>
                <w:sz w:val="24"/>
                <w:szCs w:val="24"/>
              </w:rPr>
              <w:footnoteReference w:id="12"/>
            </w:r>
          </w:p>
        </w:tc>
        <w:tc>
          <w:tcPr>
            <w:tcW w:w="3240" w:type="dxa"/>
          </w:tcPr>
          <w:p w14:paraId="1A48531A" w14:textId="77777777" w:rsidR="00C91599" w:rsidRPr="00DF5494" w:rsidRDefault="00C91599" w:rsidP="00984B95">
            <w:pPr>
              <w:rPr>
                <w:rFonts w:asciiTheme="minorHAnsi" w:hAnsiTheme="minorHAnsi" w:cstheme="minorBidi"/>
                <w:sz w:val="24"/>
                <w:szCs w:val="24"/>
              </w:rPr>
            </w:pPr>
            <w:r>
              <w:rPr>
                <w:rFonts w:asciiTheme="minorHAnsi" w:hAnsiTheme="minorHAnsi" w:cstheme="minorBidi"/>
                <w:sz w:val="24"/>
                <w:szCs w:val="24"/>
              </w:rPr>
              <w:t>Acknowledges federal definition. For DEAC purposes includes “</w:t>
            </w:r>
            <w:r w:rsidRPr="00C91599">
              <w:rPr>
                <w:rFonts w:asciiTheme="minorHAnsi" w:hAnsiTheme="minorHAnsi" w:cstheme="minorBidi"/>
                <w:sz w:val="24"/>
                <w:szCs w:val="24"/>
              </w:rPr>
              <w:t>correspondence, online, or direct assessment.”</w:t>
            </w:r>
            <w:r>
              <w:rPr>
                <w:rFonts w:asciiTheme="minorHAnsi" w:hAnsiTheme="minorHAnsi" w:cstheme="minorBidi"/>
                <w:sz w:val="24"/>
                <w:szCs w:val="24"/>
              </w:rPr>
              <w:t xml:space="preserve"> No course definition.</w:t>
            </w:r>
          </w:p>
        </w:tc>
        <w:tc>
          <w:tcPr>
            <w:tcW w:w="3325" w:type="dxa"/>
          </w:tcPr>
          <w:p w14:paraId="63A8D37A" w14:textId="77777777" w:rsidR="00C91599" w:rsidRPr="00DF5494" w:rsidRDefault="00C91599" w:rsidP="00984B95">
            <w:pPr>
              <w:rPr>
                <w:rFonts w:asciiTheme="minorHAnsi" w:hAnsiTheme="minorHAnsi" w:cstheme="minorBidi"/>
                <w:sz w:val="24"/>
                <w:szCs w:val="24"/>
              </w:rPr>
            </w:pPr>
            <w:r>
              <w:rPr>
                <w:rFonts w:asciiTheme="minorHAnsi" w:hAnsiTheme="minorHAnsi" w:cstheme="minorBidi"/>
                <w:sz w:val="24"/>
                <w:szCs w:val="24"/>
              </w:rPr>
              <w:t>Acknowledges federal definition. For DEAC purposes includes “</w:t>
            </w:r>
            <w:r w:rsidRPr="00C91599">
              <w:rPr>
                <w:rFonts w:asciiTheme="minorHAnsi" w:hAnsiTheme="minorHAnsi" w:cstheme="minorBidi"/>
                <w:sz w:val="24"/>
                <w:szCs w:val="24"/>
              </w:rPr>
              <w:t>correspondence, online, or direct assessment.”</w:t>
            </w:r>
            <w:r>
              <w:rPr>
                <w:rFonts w:asciiTheme="minorHAnsi" w:hAnsiTheme="minorHAnsi" w:cstheme="minorBidi"/>
                <w:sz w:val="24"/>
                <w:szCs w:val="24"/>
              </w:rPr>
              <w:t xml:space="preserve"> No program definition.</w:t>
            </w:r>
          </w:p>
        </w:tc>
      </w:tr>
    </w:tbl>
    <w:p w14:paraId="65E26EA2" w14:textId="77777777" w:rsidR="00DF5494" w:rsidRDefault="00DF5494" w:rsidP="00EA2CCD">
      <w:pPr>
        <w:rPr>
          <w:sz w:val="24"/>
          <w:szCs w:val="24"/>
        </w:rPr>
      </w:pPr>
    </w:p>
    <w:p w14:paraId="3ABB2022" w14:textId="77777777" w:rsidR="00FC7882" w:rsidRDefault="00FC7882" w:rsidP="00EA2CCD">
      <w:pPr>
        <w:rPr>
          <w:b/>
          <w:i/>
          <w:sz w:val="24"/>
          <w:szCs w:val="24"/>
        </w:rPr>
      </w:pPr>
    </w:p>
    <w:p w14:paraId="37CC85AE" w14:textId="77777777" w:rsidR="00C35858" w:rsidRDefault="00C35858" w:rsidP="00EA2CCD">
      <w:pPr>
        <w:rPr>
          <w:b/>
          <w:i/>
          <w:sz w:val="24"/>
          <w:szCs w:val="24"/>
        </w:rPr>
      </w:pPr>
    </w:p>
    <w:p w14:paraId="3C312912" w14:textId="77777777" w:rsidR="00C35858" w:rsidRDefault="00C35858" w:rsidP="00EA2CCD">
      <w:pPr>
        <w:rPr>
          <w:b/>
          <w:i/>
          <w:sz w:val="24"/>
          <w:szCs w:val="24"/>
        </w:rPr>
      </w:pPr>
    </w:p>
    <w:p w14:paraId="45016E9B" w14:textId="77777777" w:rsidR="00FC7882" w:rsidRPr="00FC7882" w:rsidRDefault="00FC7882" w:rsidP="00EA2CCD">
      <w:pPr>
        <w:rPr>
          <w:b/>
          <w:i/>
          <w:sz w:val="24"/>
          <w:szCs w:val="24"/>
        </w:rPr>
      </w:pPr>
      <w:r w:rsidRPr="00FC7882">
        <w:rPr>
          <w:b/>
          <w:i/>
          <w:sz w:val="24"/>
          <w:szCs w:val="24"/>
        </w:rPr>
        <w:lastRenderedPageBreak/>
        <w:t>The Impact of Multiple Definitions on One Un</w:t>
      </w:r>
      <w:r>
        <w:rPr>
          <w:b/>
          <w:i/>
          <w:sz w:val="24"/>
          <w:szCs w:val="24"/>
        </w:rPr>
        <w:t>i</w:t>
      </w:r>
      <w:r w:rsidRPr="00FC7882">
        <w:rPr>
          <w:b/>
          <w:i/>
          <w:sz w:val="24"/>
          <w:szCs w:val="24"/>
        </w:rPr>
        <w:t>versity</w:t>
      </w:r>
    </w:p>
    <w:p w14:paraId="62FD0CB2" w14:textId="77777777" w:rsidR="00066EAA" w:rsidRDefault="00631558" w:rsidP="00EA2CCD">
      <w:pPr>
        <w:rPr>
          <w:sz w:val="24"/>
          <w:szCs w:val="24"/>
        </w:rPr>
      </w:pPr>
      <w:r>
        <w:rPr>
          <w:sz w:val="24"/>
          <w:szCs w:val="24"/>
        </w:rPr>
        <w:t xml:space="preserve">In 2012-13, </w:t>
      </w:r>
      <w:r w:rsidR="005A5890">
        <w:rPr>
          <w:sz w:val="24"/>
          <w:szCs w:val="24"/>
        </w:rPr>
        <w:t>Indiana Universit</w:t>
      </w:r>
      <w:r>
        <w:rPr>
          <w:sz w:val="24"/>
          <w:szCs w:val="24"/>
        </w:rPr>
        <w:t>y created a report</w:t>
      </w:r>
      <w:r>
        <w:rPr>
          <w:rStyle w:val="FootnoteReference"/>
          <w:sz w:val="24"/>
          <w:szCs w:val="24"/>
        </w:rPr>
        <w:footnoteReference w:id="13"/>
      </w:r>
      <w:r>
        <w:rPr>
          <w:sz w:val="24"/>
          <w:szCs w:val="24"/>
        </w:rPr>
        <w:t xml:space="preserve"> that </w:t>
      </w:r>
      <w:r w:rsidR="005A5890">
        <w:rPr>
          <w:sz w:val="24"/>
          <w:szCs w:val="24"/>
        </w:rPr>
        <w:t>document</w:t>
      </w:r>
      <w:r>
        <w:rPr>
          <w:sz w:val="24"/>
          <w:szCs w:val="24"/>
        </w:rPr>
        <w:t>ed the different distance education definitions to which it was subject. The following table summarizes the many differences among the agencies with oversight</w:t>
      </w:r>
      <w:r w:rsidR="00D95B55">
        <w:rPr>
          <w:sz w:val="24"/>
          <w:szCs w:val="24"/>
        </w:rPr>
        <w:t xml:space="preserve"> on the University’s activities</w:t>
      </w:r>
      <w:r w:rsidR="0001746C">
        <w:rPr>
          <w:sz w:val="24"/>
          <w:szCs w:val="24"/>
        </w:rPr>
        <w:t xml:space="preserve"> and highlights the problems in compliance</w:t>
      </w:r>
      <w:r w:rsidR="00D95B55">
        <w:rPr>
          <w:sz w:val="24"/>
          <w:szCs w:val="24"/>
        </w:rPr>
        <w:t>:</w:t>
      </w:r>
      <w:r w:rsidR="005A5890">
        <w:rPr>
          <w:sz w:val="24"/>
          <w:szCs w:val="24"/>
        </w:rPr>
        <w:t xml:space="preserve"> </w:t>
      </w:r>
    </w:p>
    <w:p w14:paraId="20DCE115" w14:textId="77777777" w:rsidR="005A5890" w:rsidRDefault="005A5890" w:rsidP="00EA2CCD">
      <w:pPr>
        <w:rPr>
          <w:sz w:val="24"/>
          <w:szCs w:val="24"/>
        </w:rPr>
      </w:pPr>
    </w:p>
    <w:tbl>
      <w:tblPr>
        <w:tblStyle w:val="TableGrid"/>
        <w:tblW w:w="0" w:type="auto"/>
        <w:tblLook w:val="04A0" w:firstRow="1" w:lastRow="0" w:firstColumn="1" w:lastColumn="0" w:noHBand="0" w:noVBand="1"/>
      </w:tblPr>
      <w:tblGrid>
        <w:gridCol w:w="2785"/>
        <w:gridCol w:w="3240"/>
        <w:gridCol w:w="3325"/>
      </w:tblGrid>
      <w:tr w:rsidR="005A5890" w:rsidRPr="00DF5494" w14:paraId="0A80C53D" w14:textId="77777777" w:rsidTr="000F23DF">
        <w:tc>
          <w:tcPr>
            <w:tcW w:w="9350" w:type="dxa"/>
            <w:gridSpan w:val="3"/>
          </w:tcPr>
          <w:p w14:paraId="54B3A2FE" w14:textId="77777777" w:rsidR="005A5890" w:rsidRPr="00DF5494" w:rsidRDefault="005A5890" w:rsidP="000F23DF">
            <w:pPr>
              <w:jc w:val="center"/>
              <w:rPr>
                <w:rFonts w:asciiTheme="minorHAnsi" w:hAnsiTheme="minorHAnsi" w:cstheme="minorBidi"/>
                <w:b/>
                <w:sz w:val="24"/>
                <w:szCs w:val="24"/>
              </w:rPr>
            </w:pPr>
            <w:r w:rsidRPr="00DF5494">
              <w:rPr>
                <w:rFonts w:asciiTheme="minorHAnsi" w:hAnsiTheme="minorHAnsi" w:cstheme="minorBidi"/>
                <w:b/>
                <w:sz w:val="24"/>
                <w:szCs w:val="24"/>
              </w:rPr>
              <w:t>IPEDS &amp; Accreditors</w:t>
            </w:r>
          </w:p>
        </w:tc>
      </w:tr>
      <w:tr w:rsidR="005A5890" w:rsidRPr="00DF5494" w14:paraId="2FE8B3FC" w14:textId="77777777" w:rsidTr="000F23DF">
        <w:tc>
          <w:tcPr>
            <w:tcW w:w="2785" w:type="dxa"/>
          </w:tcPr>
          <w:p w14:paraId="091B7C45" w14:textId="77777777" w:rsidR="005A5890" w:rsidRPr="00DF5494" w:rsidRDefault="005A5890" w:rsidP="000F23DF">
            <w:pPr>
              <w:jc w:val="center"/>
              <w:rPr>
                <w:rFonts w:asciiTheme="minorHAnsi" w:hAnsiTheme="minorHAnsi" w:cstheme="minorBidi"/>
                <w:b/>
                <w:sz w:val="24"/>
                <w:szCs w:val="24"/>
              </w:rPr>
            </w:pPr>
            <w:r w:rsidRPr="00DF5494">
              <w:rPr>
                <w:rFonts w:asciiTheme="minorHAnsi" w:hAnsiTheme="minorHAnsi" w:cstheme="minorBidi"/>
                <w:b/>
                <w:sz w:val="24"/>
                <w:szCs w:val="24"/>
              </w:rPr>
              <w:t>Organization</w:t>
            </w:r>
          </w:p>
        </w:tc>
        <w:tc>
          <w:tcPr>
            <w:tcW w:w="3240" w:type="dxa"/>
          </w:tcPr>
          <w:p w14:paraId="7E7B2500" w14:textId="77777777" w:rsidR="005A5890" w:rsidRPr="00DF5494" w:rsidRDefault="005A5890" w:rsidP="000F23DF">
            <w:pPr>
              <w:jc w:val="center"/>
              <w:rPr>
                <w:rFonts w:asciiTheme="minorHAnsi" w:hAnsiTheme="minorHAnsi" w:cstheme="minorBidi"/>
                <w:b/>
                <w:sz w:val="24"/>
                <w:szCs w:val="24"/>
              </w:rPr>
            </w:pPr>
            <w:r w:rsidRPr="00DF5494">
              <w:rPr>
                <w:rFonts w:asciiTheme="minorHAnsi" w:hAnsiTheme="minorHAnsi" w:cstheme="minorBidi"/>
                <w:b/>
                <w:sz w:val="24"/>
                <w:szCs w:val="24"/>
              </w:rPr>
              <w:t>Course Definition</w:t>
            </w:r>
          </w:p>
        </w:tc>
        <w:tc>
          <w:tcPr>
            <w:tcW w:w="3325" w:type="dxa"/>
          </w:tcPr>
          <w:p w14:paraId="55476B35" w14:textId="77777777" w:rsidR="005A5890" w:rsidRPr="00DF5494" w:rsidRDefault="005A5890" w:rsidP="000F23DF">
            <w:pPr>
              <w:jc w:val="center"/>
              <w:rPr>
                <w:rFonts w:asciiTheme="minorHAnsi" w:hAnsiTheme="minorHAnsi" w:cstheme="minorBidi"/>
                <w:b/>
                <w:sz w:val="24"/>
                <w:szCs w:val="24"/>
              </w:rPr>
            </w:pPr>
            <w:r w:rsidRPr="00DF5494">
              <w:rPr>
                <w:rFonts w:asciiTheme="minorHAnsi" w:hAnsiTheme="minorHAnsi" w:cstheme="minorBidi"/>
                <w:b/>
                <w:sz w:val="24"/>
                <w:szCs w:val="24"/>
              </w:rPr>
              <w:t>Program Definition</w:t>
            </w:r>
          </w:p>
        </w:tc>
      </w:tr>
      <w:tr w:rsidR="005A5890" w:rsidRPr="00DF5494" w14:paraId="53A5E100" w14:textId="77777777" w:rsidTr="000F23DF">
        <w:tc>
          <w:tcPr>
            <w:tcW w:w="2785" w:type="dxa"/>
          </w:tcPr>
          <w:p w14:paraId="0D4D9B53" w14:textId="77777777" w:rsidR="005A5890" w:rsidRPr="00DF5494" w:rsidRDefault="005A5890" w:rsidP="000F23DF">
            <w:pPr>
              <w:rPr>
                <w:rFonts w:asciiTheme="minorHAnsi" w:hAnsiTheme="minorHAnsi" w:cstheme="minorBidi"/>
                <w:sz w:val="24"/>
                <w:szCs w:val="24"/>
              </w:rPr>
            </w:pPr>
            <w:r w:rsidRPr="00DF5494">
              <w:rPr>
                <w:rFonts w:asciiTheme="minorHAnsi" w:hAnsiTheme="minorHAnsi" w:cstheme="minorBidi"/>
                <w:sz w:val="24"/>
                <w:szCs w:val="24"/>
              </w:rPr>
              <w:t>IPEDS</w:t>
            </w:r>
          </w:p>
        </w:tc>
        <w:tc>
          <w:tcPr>
            <w:tcW w:w="3240" w:type="dxa"/>
          </w:tcPr>
          <w:p w14:paraId="754C6B48" w14:textId="77777777" w:rsidR="005A5890" w:rsidRPr="00DF5494" w:rsidRDefault="005A5890" w:rsidP="000F23DF">
            <w:pPr>
              <w:rPr>
                <w:rFonts w:asciiTheme="minorHAnsi" w:hAnsiTheme="minorHAnsi" w:cstheme="minorBidi"/>
                <w:sz w:val="24"/>
                <w:szCs w:val="24"/>
              </w:rPr>
            </w:pPr>
            <w:r w:rsidRPr="00DF5494">
              <w:rPr>
                <w:rFonts w:asciiTheme="minorHAnsi" w:hAnsiTheme="minorHAnsi" w:cstheme="minorBidi"/>
                <w:sz w:val="24"/>
                <w:szCs w:val="24"/>
              </w:rPr>
              <w:t>100% at a distance (except for tests, orientation, and student services)</w:t>
            </w:r>
          </w:p>
        </w:tc>
        <w:tc>
          <w:tcPr>
            <w:tcW w:w="3325" w:type="dxa"/>
          </w:tcPr>
          <w:p w14:paraId="0FBCA8D6" w14:textId="77777777" w:rsidR="005A5890" w:rsidRPr="00DF5494" w:rsidRDefault="005A5890" w:rsidP="000F23DF">
            <w:pPr>
              <w:rPr>
                <w:rFonts w:asciiTheme="minorHAnsi" w:hAnsiTheme="minorHAnsi" w:cstheme="minorBidi"/>
                <w:sz w:val="24"/>
                <w:szCs w:val="24"/>
              </w:rPr>
            </w:pPr>
            <w:r w:rsidRPr="00DF5494">
              <w:rPr>
                <w:rFonts w:asciiTheme="minorHAnsi" w:hAnsiTheme="minorHAnsi" w:cstheme="minorBidi"/>
                <w:sz w:val="24"/>
                <w:szCs w:val="24"/>
              </w:rPr>
              <w:t>100% distance courses</w:t>
            </w:r>
          </w:p>
        </w:tc>
      </w:tr>
      <w:tr w:rsidR="005A5890" w:rsidRPr="00DF5494" w14:paraId="79207AD4" w14:textId="77777777" w:rsidTr="000F23DF">
        <w:tc>
          <w:tcPr>
            <w:tcW w:w="2785" w:type="dxa"/>
          </w:tcPr>
          <w:p w14:paraId="1DB58CE0" w14:textId="77777777" w:rsidR="005A5890" w:rsidRPr="00DF5494" w:rsidRDefault="005A5890" w:rsidP="000F23DF">
            <w:pPr>
              <w:rPr>
                <w:rFonts w:asciiTheme="minorHAnsi" w:hAnsiTheme="minorHAnsi" w:cstheme="minorBidi"/>
                <w:sz w:val="24"/>
                <w:szCs w:val="24"/>
              </w:rPr>
            </w:pPr>
            <w:r w:rsidRPr="00DF5494">
              <w:rPr>
                <w:rFonts w:asciiTheme="minorHAnsi" w:hAnsiTheme="minorHAnsi" w:cstheme="minorBidi"/>
                <w:sz w:val="24"/>
                <w:szCs w:val="24"/>
              </w:rPr>
              <w:t>Higher Learning Commission</w:t>
            </w:r>
          </w:p>
        </w:tc>
        <w:tc>
          <w:tcPr>
            <w:tcW w:w="3240" w:type="dxa"/>
          </w:tcPr>
          <w:p w14:paraId="58EA38FA" w14:textId="77777777" w:rsidR="005A5890" w:rsidRPr="00DF5494" w:rsidRDefault="005A5890" w:rsidP="000F23DF">
            <w:pPr>
              <w:rPr>
                <w:rFonts w:asciiTheme="minorHAnsi" w:hAnsiTheme="minorHAnsi" w:cstheme="minorBidi"/>
                <w:sz w:val="24"/>
                <w:szCs w:val="24"/>
              </w:rPr>
            </w:pPr>
            <w:r w:rsidRPr="00DF5494">
              <w:rPr>
                <w:rFonts w:asciiTheme="minorHAnsi" w:hAnsiTheme="minorHAnsi" w:cstheme="minorBidi"/>
                <w:sz w:val="24"/>
                <w:szCs w:val="24"/>
              </w:rPr>
              <w:t>75% at a distance</w:t>
            </w:r>
          </w:p>
        </w:tc>
        <w:tc>
          <w:tcPr>
            <w:tcW w:w="3325" w:type="dxa"/>
          </w:tcPr>
          <w:p w14:paraId="2C98B33A" w14:textId="77777777" w:rsidR="005A5890" w:rsidRPr="00DF5494" w:rsidRDefault="005A5890" w:rsidP="000F23DF">
            <w:pPr>
              <w:rPr>
                <w:rFonts w:asciiTheme="minorHAnsi" w:hAnsiTheme="minorHAnsi" w:cstheme="minorBidi"/>
                <w:sz w:val="24"/>
                <w:szCs w:val="24"/>
              </w:rPr>
            </w:pPr>
            <w:r w:rsidRPr="00DF5494">
              <w:rPr>
                <w:rFonts w:asciiTheme="minorHAnsi" w:hAnsiTheme="minorHAnsi" w:cstheme="minorBidi"/>
                <w:sz w:val="24"/>
                <w:szCs w:val="24"/>
              </w:rPr>
              <w:t>50% or more at a distance</w:t>
            </w:r>
          </w:p>
        </w:tc>
      </w:tr>
      <w:tr w:rsidR="005A5890" w:rsidRPr="00DF5494" w14:paraId="0B4CC2ED" w14:textId="77777777" w:rsidTr="000F23DF">
        <w:tc>
          <w:tcPr>
            <w:tcW w:w="2785" w:type="dxa"/>
          </w:tcPr>
          <w:p w14:paraId="6E151125" w14:textId="77777777" w:rsidR="005A5890" w:rsidRPr="00DF5494" w:rsidRDefault="00631558" w:rsidP="000F23DF">
            <w:pPr>
              <w:rPr>
                <w:rFonts w:asciiTheme="minorHAnsi" w:hAnsiTheme="minorHAnsi" w:cstheme="minorBidi"/>
                <w:sz w:val="24"/>
                <w:szCs w:val="24"/>
              </w:rPr>
            </w:pPr>
            <w:r>
              <w:rPr>
                <w:rFonts w:asciiTheme="minorHAnsi" w:hAnsiTheme="minorHAnsi" w:cstheme="minorBidi"/>
                <w:sz w:val="24"/>
                <w:szCs w:val="24"/>
              </w:rPr>
              <w:t>Indiana Commission on Higher Education</w:t>
            </w:r>
          </w:p>
        </w:tc>
        <w:tc>
          <w:tcPr>
            <w:tcW w:w="3240" w:type="dxa"/>
          </w:tcPr>
          <w:p w14:paraId="393FBBA4" w14:textId="77777777" w:rsidR="005A5890" w:rsidRPr="00DF5494" w:rsidRDefault="00631558" w:rsidP="000F23DF">
            <w:pPr>
              <w:rPr>
                <w:rFonts w:asciiTheme="minorHAnsi" w:hAnsiTheme="minorHAnsi" w:cstheme="minorBidi"/>
                <w:sz w:val="24"/>
                <w:szCs w:val="24"/>
              </w:rPr>
            </w:pPr>
            <w:r>
              <w:rPr>
                <w:rFonts w:asciiTheme="minorHAnsi" w:hAnsiTheme="minorHAnsi" w:cstheme="minorBidi"/>
                <w:sz w:val="24"/>
                <w:szCs w:val="24"/>
              </w:rPr>
              <w:t>“80% or more of the content” at a distance</w:t>
            </w:r>
          </w:p>
        </w:tc>
        <w:tc>
          <w:tcPr>
            <w:tcW w:w="3325" w:type="dxa"/>
          </w:tcPr>
          <w:p w14:paraId="5D0E5E84" w14:textId="77777777" w:rsidR="005A5890" w:rsidRPr="00DF5494" w:rsidRDefault="00631558" w:rsidP="000F23DF">
            <w:pPr>
              <w:rPr>
                <w:rFonts w:asciiTheme="minorHAnsi" w:hAnsiTheme="minorHAnsi" w:cstheme="minorBidi"/>
                <w:sz w:val="24"/>
                <w:szCs w:val="24"/>
              </w:rPr>
            </w:pPr>
            <w:r>
              <w:rPr>
                <w:rFonts w:asciiTheme="minorHAnsi" w:hAnsiTheme="minorHAnsi" w:cstheme="minorBidi"/>
                <w:sz w:val="24"/>
                <w:szCs w:val="24"/>
              </w:rPr>
              <w:t>“80% of requirements to meet the degree/credential” at a distance</w:t>
            </w:r>
          </w:p>
        </w:tc>
      </w:tr>
      <w:tr w:rsidR="005A5890" w:rsidRPr="00DF5494" w14:paraId="766F6984" w14:textId="77777777" w:rsidTr="000F23DF">
        <w:tc>
          <w:tcPr>
            <w:tcW w:w="2785" w:type="dxa"/>
          </w:tcPr>
          <w:p w14:paraId="1ADEB0D4" w14:textId="77777777" w:rsidR="005A5890" w:rsidRPr="00DF5494" w:rsidRDefault="00631558" w:rsidP="000F23DF">
            <w:pPr>
              <w:rPr>
                <w:rFonts w:asciiTheme="minorHAnsi" w:hAnsiTheme="minorHAnsi" w:cstheme="minorBidi"/>
                <w:sz w:val="24"/>
                <w:szCs w:val="24"/>
              </w:rPr>
            </w:pPr>
            <w:r>
              <w:rPr>
                <w:rFonts w:asciiTheme="minorHAnsi" w:hAnsiTheme="minorHAnsi" w:cstheme="minorBidi"/>
                <w:sz w:val="24"/>
                <w:szCs w:val="24"/>
              </w:rPr>
              <w:t>U.S. Department of Veterans Affairs</w:t>
            </w:r>
          </w:p>
        </w:tc>
        <w:tc>
          <w:tcPr>
            <w:tcW w:w="3240" w:type="dxa"/>
          </w:tcPr>
          <w:p w14:paraId="6C32675D" w14:textId="77777777" w:rsidR="005A5890" w:rsidRPr="00DF5494" w:rsidRDefault="00631558" w:rsidP="000F23DF">
            <w:pPr>
              <w:rPr>
                <w:rFonts w:asciiTheme="minorHAnsi" w:hAnsiTheme="minorHAnsi" w:cstheme="minorBidi"/>
                <w:sz w:val="24"/>
                <w:szCs w:val="24"/>
              </w:rPr>
            </w:pPr>
            <w:r>
              <w:rPr>
                <w:rFonts w:asciiTheme="minorHAnsi" w:hAnsiTheme="minorHAnsi" w:cstheme="minorBidi"/>
                <w:sz w:val="24"/>
                <w:szCs w:val="24"/>
              </w:rPr>
              <w:t>If less than “two regularly schedule standard class sessions per term”</w:t>
            </w:r>
            <w:r>
              <w:rPr>
                <w:rStyle w:val="FootnoteReference"/>
                <w:rFonts w:asciiTheme="minorHAnsi" w:hAnsiTheme="minorHAnsi" w:cstheme="minorBidi"/>
                <w:sz w:val="24"/>
                <w:szCs w:val="24"/>
              </w:rPr>
              <w:footnoteReference w:id="14"/>
            </w:r>
          </w:p>
        </w:tc>
        <w:tc>
          <w:tcPr>
            <w:tcW w:w="3325" w:type="dxa"/>
          </w:tcPr>
          <w:p w14:paraId="64B45D62" w14:textId="77777777" w:rsidR="005A5890" w:rsidRPr="0065248F" w:rsidRDefault="00631558" w:rsidP="000F23DF">
            <w:pPr>
              <w:rPr>
                <w:rFonts w:asciiTheme="minorHAnsi" w:hAnsiTheme="minorHAnsi" w:cstheme="minorBidi"/>
                <w:sz w:val="24"/>
                <w:szCs w:val="24"/>
              </w:rPr>
            </w:pPr>
            <w:r>
              <w:rPr>
                <w:rFonts w:asciiTheme="minorHAnsi" w:hAnsiTheme="minorHAnsi" w:cstheme="minorBidi"/>
                <w:sz w:val="24"/>
                <w:szCs w:val="24"/>
              </w:rPr>
              <w:t>No definition provided.</w:t>
            </w:r>
          </w:p>
        </w:tc>
      </w:tr>
      <w:tr w:rsidR="005A5890" w:rsidRPr="00DF5494" w14:paraId="10120563" w14:textId="77777777" w:rsidTr="000F23DF">
        <w:tc>
          <w:tcPr>
            <w:tcW w:w="2785" w:type="dxa"/>
          </w:tcPr>
          <w:p w14:paraId="2B2FE2E4" w14:textId="77777777" w:rsidR="005A5890" w:rsidRPr="00DF5494" w:rsidRDefault="00631558" w:rsidP="000F23DF">
            <w:pPr>
              <w:rPr>
                <w:rFonts w:asciiTheme="minorHAnsi" w:hAnsiTheme="minorHAnsi" w:cstheme="minorBidi"/>
                <w:sz w:val="24"/>
                <w:szCs w:val="24"/>
              </w:rPr>
            </w:pPr>
            <w:r>
              <w:rPr>
                <w:rFonts w:asciiTheme="minorHAnsi" w:hAnsiTheme="minorHAnsi" w:cstheme="minorBidi"/>
                <w:sz w:val="24"/>
                <w:szCs w:val="24"/>
              </w:rPr>
              <w:t>U.S. Department of Homeland Security</w:t>
            </w:r>
          </w:p>
        </w:tc>
        <w:tc>
          <w:tcPr>
            <w:tcW w:w="3240" w:type="dxa"/>
          </w:tcPr>
          <w:p w14:paraId="67201B12" w14:textId="77777777" w:rsidR="005A5890" w:rsidRPr="00DF5494" w:rsidRDefault="00631558" w:rsidP="000F23DF">
            <w:pPr>
              <w:rPr>
                <w:rFonts w:asciiTheme="minorHAnsi" w:hAnsiTheme="minorHAnsi" w:cstheme="minorBidi"/>
                <w:sz w:val="24"/>
                <w:szCs w:val="24"/>
              </w:rPr>
            </w:pPr>
            <w:r>
              <w:rPr>
                <w:rFonts w:asciiTheme="minorHAnsi" w:hAnsiTheme="minorHAnsi" w:cstheme="minorBidi"/>
                <w:sz w:val="24"/>
                <w:szCs w:val="24"/>
              </w:rPr>
              <w:t>No definition provided.</w:t>
            </w:r>
          </w:p>
        </w:tc>
        <w:tc>
          <w:tcPr>
            <w:tcW w:w="3325" w:type="dxa"/>
          </w:tcPr>
          <w:p w14:paraId="55BB5E00" w14:textId="77777777" w:rsidR="005A5890" w:rsidRPr="00DF5494" w:rsidRDefault="00631558" w:rsidP="000F23DF">
            <w:pPr>
              <w:rPr>
                <w:rFonts w:asciiTheme="minorHAnsi" w:hAnsiTheme="minorHAnsi" w:cstheme="minorBidi"/>
                <w:sz w:val="24"/>
                <w:szCs w:val="24"/>
              </w:rPr>
            </w:pPr>
            <w:r>
              <w:rPr>
                <w:rFonts w:asciiTheme="minorHAnsi" w:hAnsiTheme="minorHAnsi" w:cstheme="minorBidi"/>
                <w:sz w:val="24"/>
                <w:szCs w:val="24"/>
              </w:rPr>
              <w:t>Less than “9 credits per semester for an undergraduate” are onsite</w:t>
            </w:r>
          </w:p>
        </w:tc>
      </w:tr>
    </w:tbl>
    <w:p w14:paraId="1E656336" w14:textId="77777777" w:rsidR="005A5890" w:rsidRPr="00D95B55" w:rsidRDefault="005A5890" w:rsidP="00EA2CCD">
      <w:pPr>
        <w:rPr>
          <w:b/>
          <w:i/>
          <w:sz w:val="24"/>
          <w:szCs w:val="24"/>
        </w:rPr>
      </w:pPr>
    </w:p>
    <w:p w14:paraId="329BC398" w14:textId="068A22F8" w:rsidR="00BB4E2C" w:rsidRPr="0001746C" w:rsidRDefault="0001746C" w:rsidP="0001746C">
      <w:pPr>
        <w:rPr>
          <w:sz w:val="24"/>
          <w:szCs w:val="24"/>
        </w:rPr>
      </w:pPr>
      <w:r>
        <w:rPr>
          <w:sz w:val="24"/>
          <w:szCs w:val="24"/>
        </w:rPr>
        <w:t xml:space="preserve">The Department of Education </w:t>
      </w:r>
      <w:r w:rsidR="00BB4E2C" w:rsidRPr="0001746C">
        <w:rPr>
          <w:sz w:val="24"/>
          <w:szCs w:val="24"/>
        </w:rPr>
        <w:t>should partner</w:t>
      </w:r>
      <w:r w:rsidR="00D95B55" w:rsidRPr="0001746C">
        <w:rPr>
          <w:sz w:val="24"/>
          <w:szCs w:val="24"/>
        </w:rPr>
        <w:t xml:space="preserve"> with accrediting </w:t>
      </w:r>
      <w:r w:rsidR="00BB4E2C" w:rsidRPr="0001746C">
        <w:rPr>
          <w:sz w:val="24"/>
          <w:szCs w:val="24"/>
        </w:rPr>
        <w:t>agencies,</w:t>
      </w:r>
      <w:r w:rsidR="00D95B55" w:rsidRPr="0001746C">
        <w:rPr>
          <w:sz w:val="24"/>
          <w:szCs w:val="24"/>
        </w:rPr>
        <w:t xml:space="preserve"> state-focused agencies (e.g., </w:t>
      </w:r>
      <w:r w:rsidR="00BB4E2C" w:rsidRPr="0001746C">
        <w:rPr>
          <w:sz w:val="24"/>
          <w:szCs w:val="24"/>
        </w:rPr>
        <w:t>NC-</w:t>
      </w:r>
      <w:r w:rsidR="00D95B55" w:rsidRPr="0001746C">
        <w:rPr>
          <w:sz w:val="24"/>
          <w:szCs w:val="24"/>
        </w:rPr>
        <w:t>SARA, SHEEO</w:t>
      </w:r>
      <w:r w:rsidR="00BB4E2C" w:rsidRPr="0001746C">
        <w:rPr>
          <w:sz w:val="24"/>
          <w:szCs w:val="24"/>
        </w:rPr>
        <w:t>)</w:t>
      </w:r>
      <w:r w:rsidR="006A7F4C" w:rsidRPr="0001746C">
        <w:rPr>
          <w:sz w:val="24"/>
          <w:szCs w:val="24"/>
        </w:rPr>
        <w:t>,</w:t>
      </w:r>
      <w:r w:rsidR="00BB4E2C" w:rsidRPr="0001746C">
        <w:rPr>
          <w:sz w:val="24"/>
          <w:szCs w:val="24"/>
        </w:rPr>
        <w:t xml:space="preserve"> and distance education organizations to develop definitions that are more universally recognized. </w:t>
      </w:r>
      <w:r w:rsidR="006A7F4C" w:rsidRPr="0001746C">
        <w:rPr>
          <w:sz w:val="24"/>
          <w:szCs w:val="24"/>
        </w:rPr>
        <w:t xml:space="preserve">Bringing clarity to these definitions would </w:t>
      </w:r>
      <w:r w:rsidR="002711D2">
        <w:rPr>
          <w:sz w:val="24"/>
          <w:szCs w:val="24"/>
        </w:rPr>
        <w:t>bring policy in line with practice, increase institutional efficiency in complying with regulations, and assure that data requests result in receiving comparable data.</w:t>
      </w:r>
    </w:p>
    <w:p w14:paraId="1CAB61CE" w14:textId="77777777" w:rsidR="00BB4E2C" w:rsidRDefault="00BB4E2C" w:rsidP="00BB4E2C">
      <w:pPr>
        <w:rPr>
          <w:sz w:val="24"/>
          <w:szCs w:val="24"/>
        </w:rPr>
      </w:pPr>
    </w:p>
    <w:p w14:paraId="75D3EF87" w14:textId="77777777" w:rsidR="00D95B55" w:rsidRPr="00BB4E2C" w:rsidRDefault="0001746C" w:rsidP="00BB4E2C">
      <w:pPr>
        <w:rPr>
          <w:b/>
          <w:sz w:val="24"/>
          <w:szCs w:val="24"/>
        </w:rPr>
      </w:pPr>
      <w:r>
        <w:rPr>
          <w:b/>
          <w:sz w:val="24"/>
          <w:szCs w:val="24"/>
        </w:rPr>
        <w:t xml:space="preserve">Issue </w:t>
      </w:r>
      <w:r w:rsidR="00BB4E2C" w:rsidRPr="00BB4E2C">
        <w:rPr>
          <w:b/>
          <w:sz w:val="24"/>
          <w:szCs w:val="24"/>
        </w:rPr>
        <w:t>#2:</w:t>
      </w:r>
      <w:r w:rsidR="00BB4E2C">
        <w:rPr>
          <w:b/>
          <w:sz w:val="24"/>
          <w:szCs w:val="24"/>
        </w:rPr>
        <w:t xml:space="preserve"> </w:t>
      </w:r>
      <w:r w:rsidR="00BB4E2C" w:rsidRPr="00BB4E2C">
        <w:rPr>
          <w:b/>
          <w:sz w:val="24"/>
          <w:szCs w:val="24"/>
        </w:rPr>
        <w:t xml:space="preserve"> </w:t>
      </w:r>
      <w:r>
        <w:rPr>
          <w:b/>
          <w:sz w:val="24"/>
          <w:szCs w:val="24"/>
        </w:rPr>
        <w:t xml:space="preserve">Regular and Substantive Interaction </w:t>
      </w:r>
    </w:p>
    <w:p w14:paraId="5E990A1F" w14:textId="17431DE8" w:rsidR="0001746C" w:rsidRDefault="007D65C4" w:rsidP="00EA2CCD">
      <w:pPr>
        <w:rPr>
          <w:sz w:val="24"/>
          <w:szCs w:val="24"/>
        </w:rPr>
      </w:pPr>
      <w:r>
        <w:rPr>
          <w:sz w:val="24"/>
          <w:szCs w:val="24"/>
        </w:rPr>
        <w:t>The Department of Education’s Office of Inspector General (OIG) has issued letters that define “regular and substantive interaction” in courses eligible for financial aid reimbursement in such a way as to kill some higher education innovations. Competency-based education and some distance education programs could be declared ineligible for aid simply because the OIG does not lik</w:t>
      </w:r>
      <w:r w:rsidR="002711D2">
        <w:rPr>
          <w:sz w:val="24"/>
          <w:szCs w:val="24"/>
        </w:rPr>
        <w:t xml:space="preserve">e the process used for education. Surprisingly, they </w:t>
      </w:r>
      <w:r>
        <w:rPr>
          <w:sz w:val="24"/>
          <w:szCs w:val="24"/>
        </w:rPr>
        <w:t>can</w:t>
      </w:r>
      <w:r w:rsidR="002711D2">
        <w:rPr>
          <w:sz w:val="24"/>
          <w:szCs w:val="24"/>
        </w:rPr>
        <w:t>not</w:t>
      </w:r>
      <w:r>
        <w:rPr>
          <w:sz w:val="24"/>
          <w:szCs w:val="24"/>
        </w:rPr>
        <w:t xml:space="preserve"> demonstrate any </w:t>
      </w:r>
      <w:r w:rsidR="002711D2">
        <w:rPr>
          <w:sz w:val="24"/>
          <w:szCs w:val="24"/>
        </w:rPr>
        <w:t xml:space="preserve">actual </w:t>
      </w:r>
      <w:r>
        <w:rPr>
          <w:sz w:val="24"/>
          <w:szCs w:val="24"/>
        </w:rPr>
        <w:t xml:space="preserve">harm to students. In a WCET </w:t>
      </w:r>
      <w:r w:rsidRPr="007D65C4">
        <w:rPr>
          <w:i/>
          <w:sz w:val="24"/>
          <w:szCs w:val="24"/>
        </w:rPr>
        <w:t>Frontiers</w:t>
      </w:r>
      <w:r>
        <w:rPr>
          <w:sz w:val="24"/>
          <w:szCs w:val="24"/>
        </w:rPr>
        <w:t xml:space="preserve"> blog post</w:t>
      </w:r>
      <w:r w:rsidR="0078312C">
        <w:rPr>
          <w:rStyle w:val="FootnoteReference"/>
          <w:sz w:val="24"/>
          <w:szCs w:val="24"/>
        </w:rPr>
        <w:footnoteReference w:id="15"/>
      </w:r>
      <w:r>
        <w:rPr>
          <w:sz w:val="24"/>
          <w:szCs w:val="24"/>
        </w:rPr>
        <w:t>, Van Davis, Blackboard, and I outlined our understanding of how the OIG is interpreting this regulation.</w:t>
      </w:r>
      <w:r w:rsidR="00920388">
        <w:rPr>
          <w:sz w:val="24"/>
          <w:szCs w:val="24"/>
        </w:rPr>
        <w:t xml:space="preserve"> </w:t>
      </w:r>
      <w:r>
        <w:rPr>
          <w:sz w:val="24"/>
          <w:szCs w:val="24"/>
        </w:rPr>
        <w:t xml:space="preserve"> </w:t>
      </w:r>
    </w:p>
    <w:p w14:paraId="30263FAC" w14:textId="77777777" w:rsidR="0001746C" w:rsidRDefault="0001746C" w:rsidP="00EA2CCD">
      <w:pPr>
        <w:rPr>
          <w:sz w:val="24"/>
          <w:szCs w:val="24"/>
        </w:rPr>
      </w:pPr>
    </w:p>
    <w:p w14:paraId="46657F5A" w14:textId="24FED846" w:rsidR="00920388" w:rsidRDefault="00920388" w:rsidP="00EA2CCD">
      <w:pPr>
        <w:rPr>
          <w:sz w:val="24"/>
          <w:szCs w:val="24"/>
        </w:rPr>
      </w:pPr>
      <w:r>
        <w:rPr>
          <w:sz w:val="24"/>
          <w:szCs w:val="24"/>
        </w:rPr>
        <w:t>The reason given for the regulation is as an outgrowth of fraud regarding aid given to correspondence study providers. WCET is four square against financial aid fraud, but this interpretation of the regulation caused more harm than protection. For some reason the OIG and others in the Department have been reticent to consider any alternatives to reach the same goals. WCET believes that alternative measures based upon outcomes and progress would actually provide more protection. For example, distance education</w:t>
      </w:r>
      <w:r w:rsidR="00AA4C0B">
        <w:rPr>
          <w:sz w:val="24"/>
          <w:szCs w:val="24"/>
        </w:rPr>
        <w:t xml:space="preserve"> </w:t>
      </w:r>
      <w:r w:rsidR="002711D2">
        <w:rPr>
          <w:sz w:val="24"/>
          <w:szCs w:val="24"/>
        </w:rPr>
        <w:t>providers are</w:t>
      </w:r>
      <w:r>
        <w:rPr>
          <w:sz w:val="24"/>
          <w:szCs w:val="24"/>
        </w:rPr>
        <w:t xml:space="preserve"> already asked to collect evidence of academic participation in a course when determining “last day of attendance” for </w:t>
      </w:r>
      <w:r w:rsidR="00293620">
        <w:rPr>
          <w:sz w:val="24"/>
          <w:szCs w:val="24"/>
        </w:rPr>
        <w:t>the return of Title IV funds (R2T4)</w:t>
      </w:r>
      <w:r>
        <w:rPr>
          <w:sz w:val="24"/>
          <w:szCs w:val="24"/>
        </w:rPr>
        <w:t>. This work could be the basis for a new measure that allows for</w:t>
      </w:r>
      <w:r w:rsidR="002711D2">
        <w:rPr>
          <w:sz w:val="24"/>
          <w:szCs w:val="24"/>
        </w:rPr>
        <w:t xml:space="preserve"> competency-based education, distance education, and future unforeseen </w:t>
      </w:r>
      <w:r>
        <w:rPr>
          <w:sz w:val="24"/>
          <w:szCs w:val="24"/>
        </w:rPr>
        <w:t>innovations to proceed.</w:t>
      </w:r>
    </w:p>
    <w:p w14:paraId="3ED37FAE" w14:textId="77777777" w:rsidR="00293620" w:rsidRDefault="00293620" w:rsidP="00EA2CCD">
      <w:pPr>
        <w:rPr>
          <w:sz w:val="24"/>
          <w:szCs w:val="24"/>
        </w:rPr>
      </w:pPr>
    </w:p>
    <w:p w14:paraId="52D603D6" w14:textId="77777777" w:rsidR="00293620" w:rsidRPr="00293620" w:rsidRDefault="00293620" w:rsidP="00EA2CCD">
      <w:pPr>
        <w:rPr>
          <w:b/>
          <w:sz w:val="24"/>
          <w:szCs w:val="24"/>
        </w:rPr>
      </w:pPr>
      <w:r w:rsidRPr="00293620">
        <w:rPr>
          <w:b/>
          <w:sz w:val="24"/>
          <w:szCs w:val="24"/>
        </w:rPr>
        <w:t>Issue 3:  Financial Aid Reporting and Disbursements for Nontraditional and Distance Education</w:t>
      </w:r>
    </w:p>
    <w:p w14:paraId="775E0979" w14:textId="77777777" w:rsidR="00293620" w:rsidRDefault="00293620" w:rsidP="00EA2CCD">
      <w:pPr>
        <w:rPr>
          <w:sz w:val="24"/>
          <w:szCs w:val="24"/>
        </w:rPr>
      </w:pPr>
    </w:p>
    <w:p w14:paraId="6D9E53E6" w14:textId="77777777" w:rsidR="006868A3" w:rsidRDefault="00293620" w:rsidP="006868A3">
      <w:pPr>
        <w:rPr>
          <w:sz w:val="24"/>
          <w:szCs w:val="24"/>
        </w:rPr>
      </w:pPr>
      <w:r>
        <w:rPr>
          <w:sz w:val="24"/>
          <w:szCs w:val="24"/>
        </w:rPr>
        <w:t>WCET agrees with the recommendations made in response to the call for comments by the National Association of Student Financial Aid Administrators. From page 5 of their response</w:t>
      </w:r>
      <w:r>
        <w:rPr>
          <w:rStyle w:val="FootnoteReference"/>
          <w:sz w:val="24"/>
          <w:szCs w:val="24"/>
        </w:rPr>
        <w:footnoteReference w:id="16"/>
      </w:r>
      <w:r>
        <w:rPr>
          <w:sz w:val="24"/>
          <w:szCs w:val="24"/>
        </w:rPr>
        <w:t>:</w:t>
      </w:r>
    </w:p>
    <w:p w14:paraId="6E05A2F3" w14:textId="77777777" w:rsidR="00293620" w:rsidRDefault="00293620" w:rsidP="006868A3">
      <w:pPr>
        <w:rPr>
          <w:sz w:val="24"/>
          <w:szCs w:val="24"/>
        </w:rPr>
      </w:pPr>
    </w:p>
    <w:p w14:paraId="40F793AA" w14:textId="77777777" w:rsidR="002711D2" w:rsidRPr="002711D2" w:rsidRDefault="00293620" w:rsidP="00293620">
      <w:pPr>
        <w:ind w:left="540"/>
        <w:rPr>
          <w:i/>
          <w:sz w:val="24"/>
          <w:szCs w:val="24"/>
        </w:rPr>
      </w:pPr>
      <w:r>
        <w:rPr>
          <w:sz w:val="24"/>
          <w:szCs w:val="24"/>
        </w:rPr>
        <w:t>“</w:t>
      </w:r>
      <w:r w:rsidRPr="002711D2">
        <w:rPr>
          <w:i/>
          <w:sz w:val="24"/>
          <w:szCs w:val="24"/>
        </w:rPr>
        <w:t xml:space="preserve">Nontraditional program formats and distance education </w:t>
      </w:r>
    </w:p>
    <w:p w14:paraId="694942FB" w14:textId="5FBBC168" w:rsidR="00293620" w:rsidRDefault="00293620" w:rsidP="00293620">
      <w:pPr>
        <w:ind w:left="540"/>
        <w:rPr>
          <w:sz w:val="24"/>
          <w:szCs w:val="24"/>
        </w:rPr>
      </w:pPr>
      <w:r w:rsidRPr="00293620">
        <w:rPr>
          <w:sz w:val="24"/>
          <w:szCs w:val="24"/>
        </w:rPr>
        <w:t xml:space="preserve">Perhaps the greatest areas for innovation in higher education are distance education and nontraditional program formats. Multiple attempts have been made over many years to refine regulations so they are more appropriate to nontraditional program formats. We believe it is time to try again. Likewise, distance education is constricted by rules designed to apply to traditional modes of learning at brick and mortar schools. Rules should instead help to facilitate what can be a significantly lower cost alternative and innovative approach to higher education. In 2015, a NASFAA task force on innovative learning models developed several recommendations to help eliminate barriers and encourage success for students in nontraditional learning formats. </w:t>
      </w:r>
    </w:p>
    <w:p w14:paraId="3A9B7704" w14:textId="77777777" w:rsidR="00293620" w:rsidRDefault="00293620" w:rsidP="00293620">
      <w:pPr>
        <w:ind w:left="540"/>
        <w:rPr>
          <w:sz w:val="24"/>
          <w:szCs w:val="24"/>
        </w:rPr>
      </w:pPr>
    </w:p>
    <w:p w14:paraId="7931BA81" w14:textId="77777777" w:rsidR="00293620" w:rsidRDefault="00293620" w:rsidP="00293620">
      <w:pPr>
        <w:ind w:left="540"/>
        <w:rPr>
          <w:sz w:val="24"/>
          <w:szCs w:val="24"/>
        </w:rPr>
      </w:pPr>
      <w:r w:rsidRPr="00293620">
        <w:rPr>
          <w:sz w:val="24"/>
          <w:szCs w:val="24"/>
        </w:rPr>
        <w:t>ED should work with schools and associations with a stake in these areas to identify regulations that inhibit innovation and success.</w:t>
      </w:r>
      <w:r>
        <w:rPr>
          <w:sz w:val="24"/>
          <w:szCs w:val="24"/>
        </w:rPr>
        <w:t>”</w:t>
      </w:r>
    </w:p>
    <w:p w14:paraId="03CCCFD8" w14:textId="77777777" w:rsidR="00293620" w:rsidRDefault="00293620" w:rsidP="00293620">
      <w:pPr>
        <w:ind w:left="540"/>
        <w:rPr>
          <w:sz w:val="24"/>
          <w:szCs w:val="24"/>
        </w:rPr>
      </w:pPr>
    </w:p>
    <w:p w14:paraId="634E3103" w14:textId="1E7F3A70" w:rsidR="00293620" w:rsidRPr="006868A3" w:rsidRDefault="00293620" w:rsidP="00293620">
      <w:pPr>
        <w:rPr>
          <w:sz w:val="24"/>
          <w:szCs w:val="24"/>
        </w:rPr>
      </w:pPr>
      <w:r>
        <w:rPr>
          <w:sz w:val="24"/>
          <w:szCs w:val="24"/>
        </w:rPr>
        <w:t>Echoing the NASFAA recommendation, WCET members stand ready to work with the Depar</w:t>
      </w:r>
      <w:r w:rsidR="002711D2">
        <w:rPr>
          <w:sz w:val="24"/>
          <w:szCs w:val="24"/>
        </w:rPr>
        <w:t>tment of Education to determine</w:t>
      </w:r>
      <w:r>
        <w:rPr>
          <w:sz w:val="24"/>
          <w:szCs w:val="24"/>
        </w:rPr>
        <w:t xml:space="preserve"> solutions to these issues.</w:t>
      </w:r>
    </w:p>
    <w:p w14:paraId="49BB2BFC" w14:textId="77777777" w:rsidR="008F41DC" w:rsidRDefault="008F41DC" w:rsidP="008F41DC">
      <w:pPr>
        <w:rPr>
          <w:sz w:val="24"/>
          <w:szCs w:val="24"/>
        </w:rPr>
      </w:pPr>
    </w:p>
    <w:p w14:paraId="2C9351F7" w14:textId="77777777" w:rsidR="008F41DC" w:rsidRDefault="008F41DC" w:rsidP="008F41DC">
      <w:pPr>
        <w:rPr>
          <w:sz w:val="24"/>
          <w:szCs w:val="24"/>
        </w:rPr>
      </w:pPr>
      <w:r>
        <w:rPr>
          <w:sz w:val="24"/>
          <w:szCs w:val="24"/>
        </w:rPr>
        <w:t>Thank you on behalf of the WCET Membership</w:t>
      </w:r>
    </w:p>
    <w:p w14:paraId="2ABC4E64" w14:textId="77777777" w:rsidR="008F41DC" w:rsidRDefault="008F41DC" w:rsidP="00BB4E2C">
      <w:pPr>
        <w:rPr>
          <w:sz w:val="24"/>
          <w:szCs w:val="24"/>
        </w:rPr>
      </w:pPr>
    </w:p>
    <w:p w14:paraId="5BADFBEE" w14:textId="77777777" w:rsidR="008F41DC" w:rsidRDefault="008F41DC" w:rsidP="00BB4E2C">
      <w:pPr>
        <w:rPr>
          <w:sz w:val="24"/>
          <w:szCs w:val="24"/>
        </w:rPr>
      </w:pPr>
      <w:r>
        <w:rPr>
          <w:sz w:val="24"/>
          <w:szCs w:val="24"/>
        </w:rPr>
        <w:t>Russ Poulin</w:t>
      </w:r>
    </w:p>
    <w:p w14:paraId="3CA6BACB" w14:textId="77777777" w:rsidR="008F41DC" w:rsidRDefault="008F41DC" w:rsidP="00BB4E2C">
      <w:pPr>
        <w:rPr>
          <w:sz w:val="24"/>
          <w:szCs w:val="24"/>
        </w:rPr>
      </w:pPr>
      <w:r>
        <w:rPr>
          <w:sz w:val="24"/>
          <w:szCs w:val="24"/>
        </w:rPr>
        <w:t>Director of Policy &amp; Analysis</w:t>
      </w:r>
    </w:p>
    <w:p w14:paraId="6358D5B6" w14:textId="77777777" w:rsidR="008F41DC" w:rsidRDefault="008F41DC" w:rsidP="00BB4E2C">
      <w:pPr>
        <w:rPr>
          <w:sz w:val="24"/>
          <w:szCs w:val="24"/>
        </w:rPr>
      </w:pPr>
      <w:r>
        <w:rPr>
          <w:sz w:val="24"/>
          <w:szCs w:val="24"/>
        </w:rPr>
        <w:t>WCET</w:t>
      </w:r>
      <w:r w:rsidR="0080058F">
        <w:rPr>
          <w:sz w:val="24"/>
          <w:szCs w:val="24"/>
        </w:rPr>
        <w:t xml:space="preserve"> – WICHE Cooperative for Educational Technologies</w:t>
      </w:r>
    </w:p>
    <w:p w14:paraId="620B8A65" w14:textId="77777777" w:rsidR="008F41DC" w:rsidRPr="00BB4E2C" w:rsidRDefault="008F41DC" w:rsidP="00BB4E2C">
      <w:pPr>
        <w:rPr>
          <w:sz w:val="24"/>
          <w:szCs w:val="24"/>
        </w:rPr>
      </w:pPr>
      <w:r>
        <w:rPr>
          <w:sz w:val="24"/>
          <w:szCs w:val="24"/>
        </w:rPr>
        <w:t>rpoulin@wiche.edu</w:t>
      </w:r>
    </w:p>
    <w:sectPr w:rsidR="008F41DC" w:rsidRPr="00BB4E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27DA8" w14:textId="77777777" w:rsidR="00DD2CE4" w:rsidRDefault="00DD2CE4" w:rsidP="00DF5494">
      <w:r>
        <w:separator/>
      </w:r>
    </w:p>
  </w:endnote>
  <w:endnote w:type="continuationSeparator" w:id="0">
    <w:p w14:paraId="0CB01238" w14:textId="77777777" w:rsidR="00DD2CE4" w:rsidRDefault="00DD2CE4" w:rsidP="00DF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7F9E3" w14:textId="77777777" w:rsidR="00DD2CE4" w:rsidRDefault="00DD2CE4" w:rsidP="00DF5494">
      <w:r>
        <w:separator/>
      </w:r>
    </w:p>
  </w:footnote>
  <w:footnote w:type="continuationSeparator" w:id="0">
    <w:p w14:paraId="5D014ACD" w14:textId="77777777" w:rsidR="00DD2CE4" w:rsidRDefault="00DD2CE4" w:rsidP="00DF5494">
      <w:r>
        <w:continuationSeparator/>
      </w:r>
    </w:p>
  </w:footnote>
  <w:footnote w:id="1">
    <w:p w14:paraId="5BE4D2A3" w14:textId="77777777" w:rsidR="00FC7882" w:rsidRDefault="00FC7882">
      <w:pPr>
        <w:pStyle w:val="FootnoteText"/>
      </w:pPr>
      <w:r>
        <w:rPr>
          <w:rStyle w:val="FootnoteReference"/>
        </w:rPr>
        <w:footnoteRef/>
      </w:r>
      <w:r>
        <w:t xml:space="preserve"> WCET: </w:t>
      </w:r>
      <w:r w:rsidRPr="00FC7882">
        <w:t>http://wcet.wiche.edu/</w:t>
      </w:r>
    </w:p>
  </w:footnote>
  <w:footnote w:id="2">
    <w:p w14:paraId="7471AC8D" w14:textId="77777777" w:rsidR="00C35858" w:rsidRDefault="00C35858">
      <w:pPr>
        <w:pStyle w:val="FootnoteText"/>
      </w:pPr>
      <w:r>
        <w:rPr>
          <w:rStyle w:val="FootnoteReference"/>
        </w:rPr>
        <w:footnoteRef/>
      </w:r>
      <w:r>
        <w:t xml:space="preserve"> Chapter 34, </w:t>
      </w:r>
      <w:r w:rsidRPr="00C35858">
        <w:t xml:space="preserve">§600.2, </w:t>
      </w:r>
      <w:r>
        <w:t xml:space="preserve">Definitions:  </w:t>
      </w:r>
      <w:r w:rsidRPr="00C35858">
        <w:t>https://www.ecfr.gov/cgi-bin/text-idx?SID=45af1ca20d59e76ed61f284eeabeb448&amp;mc=true&amp;node=se34.3.600_12&amp;rgn=div8</w:t>
      </w:r>
    </w:p>
  </w:footnote>
  <w:footnote w:id="3">
    <w:p w14:paraId="47F5884C" w14:textId="77777777" w:rsidR="00C35858" w:rsidRDefault="00C35858">
      <w:pPr>
        <w:pStyle w:val="FootnoteText"/>
      </w:pPr>
      <w:r>
        <w:rPr>
          <w:rStyle w:val="FootnoteReference"/>
        </w:rPr>
        <w:footnoteRef/>
      </w:r>
      <w:r>
        <w:t xml:space="preserve"> “NC-SARA Institutions Report Enrollments”:  </w:t>
      </w:r>
      <w:r w:rsidRPr="00C35858">
        <w:t>http://nc-sara.org/content/nc-sara-institutions-report-enrollments</w:t>
      </w:r>
    </w:p>
  </w:footnote>
  <w:footnote w:id="4">
    <w:p w14:paraId="317A94D1" w14:textId="77777777" w:rsidR="00FC7882" w:rsidRDefault="00FC7882">
      <w:pPr>
        <w:pStyle w:val="FootnoteText"/>
      </w:pPr>
      <w:r>
        <w:rPr>
          <w:rStyle w:val="FootnoteReference"/>
        </w:rPr>
        <w:footnoteRef/>
      </w:r>
      <w:r>
        <w:t xml:space="preserve"> I</w:t>
      </w:r>
      <w:r w:rsidR="00C35858">
        <w:t xml:space="preserve">ntegrated </w:t>
      </w:r>
      <w:r>
        <w:t>P</w:t>
      </w:r>
      <w:r w:rsidR="00C35858">
        <w:t xml:space="preserve">ostsecondary </w:t>
      </w:r>
      <w:r>
        <w:t>E</w:t>
      </w:r>
      <w:r w:rsidR="00C35858">
        <w:t xml:space="preserve">ducation </w:t>
      </w:r>
      <w:r>
        <w:t>D</w:t>
      </w:r>
      <w:r w:rsidR="00C35858">
        <w:t xml:space="preserve">ata </w:t>
      </w:r>
      <w:r>
        <w:t>S</w:t>
      </w:r>
      <w:r w:rsidR="00C35858">
        <w:t>ystem (IPEDS)</w:t>
      </w:r>
      <w:r>
        <w:t xml:space="preserve"> Glossary:  </w:t>
      </w:r>
      <w:r w:rsidRPr="00FC7882">
        <w:t>https://surveys.nces.ed.gov/ipeds/VisGlossaryAll.aspx</w:t>
      </w:r>
    </w:p>
  </w:footnote>
  <w:footnote w:id="5">
    <w:p w14:paraId="46ABDB29" w14:textId="77777777" w:rsidR="00DF5494" w:rsidRDefault="00DF5494">
      <w:pPr>
        <w:pStyle w:val="FootnoteText"/>
      </w:pPr>
      <w:r>
        <w:rPr>
          <w:rStyle w:val="FootnoteReference"/>
        </w:rPr>
        <w:footnoteRef/>
      </w:r>
      <w:r>
        <w:t xml:space="preserve"> Higher Learning Commission: </w:t>
      </w:r>
      <w:r w:rsidR="00FC7882">
        <w:t xml:space="preserve"> </w:t>
      </w:r>
      <w:r w:rsidRPr="00DF5494">
        <w:t>https://www.hlcommission.org/General/glossary.html#InstChange</w:t>
      </w:r>
    </w:p>
  </w:footnote>
  <w:footnote w:id="6">
    <w:p w14:paraId="4A038770" w14:textId="77777777" w:rsidR="00AF0270" w:rsidRDefault="00AF0270">
      <w:pPr>
        <w:pStyle w:val="FootnoteText"/>
      </w:pPr>
      <w:r>
        <w:rPr>
          <w:rStyle w:val="FootnoteReference"/>
        </w:rPr>
        <w:footnoteRef/>
      </w:r>
      <w:r>
        <w:t xml:space="preserve"> Middle States Commission on Higher Education (pp. 57-60):  </w:t>
      </w:r>
      <w:r w:rsidRPr="00AF0270">
        <w:t>http://www.msche.org/publications/CHX-2011-WEB.pdf</w:t>
      </w:r>
    </w:p>
  </w:footnote>
  <w:footnote w:id="7">
    <w:p w14:paraId="046FC1D6" w14:textId="77777777" w:rsidR="00AF0270" w:rsidRDefault="00AF0270">
      <w:pPr>
        <w:pStyle w:val="FootnoteText"/>
      </w:pPr>
      <w:r>
        <w:rPr>
          <w:rStyle w:val="FootnoteReference"/>
        </w:rPr>
        <w:footnoteRef/>
      </w:r>
      <w:r>
        <w:t xml:space="preserve"> New England Association of Schools and Colleges:  </w:t>
      </w:r>
      <w:r w:rsidRPr="0065248F">
        <w:t>https://cihe.neasc.org/sites/cihe.neasc.org/files/downloads/POLICIES/Pp82_Review_of_Electronically_Offered_Degree_and_Certificate_Programs.pdf</w:t>
      </w:r>
    </w:p>
  </w:footnote>
  <w:footnote w:id="8">
    <w:p w14:paraId="4E6BE2AB" w14:textId="77777777" w:rsidR="00AF0270" w:rsidRDefault="00AF0270">
      <w:pPr>
        <w:pStyle w:val="FootnoteText"/>
      </w:pPr>
      <w:r>
        <w:rPr>
          <w:rStyle w:val="FootnoteReference"/>
        </w:rPr>
        <w:footnoteRef/>
      </w:r>
      <w:r>
        <w:t xml:space="preserve"> Northwest Commission on Colleges and Universities: </w:t>
      </w:r>
      <w:r w:rsidRPr="00E82A27">
        <w:t>http://www.nwccu.org/Glossary%20and%20FAQs/Glossary/Glossary.htm#D</w:t>
      </w:r>
    </w:p>
  </w:footnote>
  <w:footnote w:id="9">
    <w:p w14:paraId="1BE38F3E" w14:textId="77777777" w:rsidR="00AF0270" w:rsidRDefault="00AF0270">
      <w:pPr>
        <w:pStyle w:val="FootnoteText"/>
      </w:pPr>
      <w:r>
        <w:rPr>
          <w:rStyle w:val="FootnoteReference"/>
        </w:rPr>
        <w:footnoteRef/>
      </w:r>
      <w:r>
        <w:t xml:space="preserve"> Southern Association of Colleges and Schools: </w:t>
      </w:r>
      <w:r w:rsidRPr="00E82A27">
        <w:t>http://www.sacscoc.org/pdf/DistanceCorrespondenceEducation.pdf</w:t>
      </w:r>
    </w:p>
  </w:footnote>
  <w:footnote w:id="10">
    <w:p w14:paraId="03FAFE31" w14:textId="523DB32A" w:rsidR="00AF0270" w:rsidRDefault="00AF0270">
      <w:pPr>
        <w:pStyle w:val="FootnoteText"/>
      </w:pPr>
      <w:r>
        <w:rPr>
          <w:rStyle w:val="FootnoteReference"/>
        </w:rPr>
        <w:footnoteRef/>
      </w:r>
      <w:r>
        <w:t xml:space="preserve"> WASC – Accreting Commission for Commun</w:t>
      </w:r>
      <w:r w:rsidR="002711D2">
        <w:t>i</w:t>
      </w:r>
      <w:r>
        <w:t xml:space="preserve">ty and Junior Colleges:  </w:t>
      </w:r>
      <w:r w:rsidRPr="00E82A27">
        <w:t>http://accjc.org/wp-content/uploads/Guide-to-Evaluating-DE-and-CE.pdf</w:t>
      </w:r>
      <w:r w:rsidR="00D95B55">
        <w:t>i</w:t>
      </w:r>
    </w:p>
  </w:footnote>
  <w:footnote w:id="11">
    <w:p w14:paraId="4EF647E9" w14:textId="77777777" w:rsidR="00C259B5" w:rsidRDefault="00C259B5">
      <w:pPr>
        <w:pStyle w:val="FootnoteText"/>
      </w:pPr>
      <w:r>
        <w:rPr>
          <w:rStyle w:val="FootnoteReference"/>
        </w:rPr>
        <w:footnoteRef/>
      </w:r>
      <w:r>
        <w:t xml:space="preserve"> WASC – Senior College and University Commission (page 45 of Glossary does not define. Searches of the Handbook and other web resources did not uncover specific definitions):  </w:t>
      </w:r>
      <w:r w:rsidRPr="00C259B5">
        <w:t>https://www.wscuc.org/content/2013-handbook-accreditation</w:t>
      </w:r>
    </w:p>
  </w:footnote>
  <w:footnote w:id="12">
    <w:p w14:paraId="593192A1" w14:textId="77777777" w:rsidR="00C91599" w:rsidRDefault="00C91599">
      <w:pPr>
        <w:pStyle w:val="FootnoteText"/>
      </w:pPr>
      <w:r>
        <w:rPr>
          <w:rStyle w:val="FootnoteReference"/>
        </w:rPr>
        <w:footnoteRef/>
      </w:r>
      <w:r>
        <w:t xml:space="preserve"> Distance Education Accrediting Commission (pp. 5-6): </w:t>
      </w:r>
      <w:r w:rsidRPr="00C91599">
        <w:t>http://www.deac.org/UploadedDocuments/2017-Handbook/2017-DEAC-Accreditation-Handboook.pdf</w:t>
      </w:r>
    </w:p>
  </w:footnote>
  <w:footnote w:id="13">
    <w:p w14:paraId="5DD31449" w14:textId="77777777" w:rsidR="00631558" w:rsidRDefault="00631558">
      <w:pPr>
        <w:pStyle w:val="FootnoteText"/>
      </w:pPr>
      <w:r>
        <w:rPr>
          <w:rStyle w:val="FootnoteReference"/>
        </w:rPr>
        <w:footnoteRef/>
      </w:r>
      <w:r>
        <w:t xml:space="preserve"> Indiana University Office of Online Education and University Student Services and Systems: “Definitions of Distance Education [Courses, Programs and Students] and Reporting Credit Hour Allocations”</w:t>
      </w:r>
    </w:p>
  </w:footnote>
  <w:footnote w:id="14">
    <w:p w14:paraId="05BE20A5" w14:textId="77777777" w:rsidR="00631558" w:rsidRDefault="00631558">
      <w:pPr>
        <w:pStyle w:val="FootnoteText"/>
      </w:pPr>
      <w:r>
        <w:rPr>
          <w:rStyle w:val="FootnoteReference"/>
        </w:rPr>
        <w:footnoteRef/>
      </w:r>
      <w:r>
        <w:t xml:space="preserve"> If a Veteran takes all their courses at a distance, there Basic Allowance for Housing is cut in half.</w:t>
      </w:r>
    </w:p>
  </w:footnote>
  <w:footnote w:id="15">
    <w:p w14:paraId="69F71189" w14:textId="77777777" w:rsidR="0078312C" w:rsidRDefault="0078312C">
      <w:pPr>
        <w:pStyle w:val="FootnoteText"/>
      </w:pPr>
      <w:r>
        <w:rPr>
          <w:rStyle w:val="FootnoteReference"/>
        </w:rPr>
        <w:footnoteRef/>
      </w:r>
      <w:r>
        <w:t xml:space="preserve"> “Interpreting What is Required for ‘Regular and Substantive Interaction’”:  </w:t>
      </w:r>
      <w:r w:rsidRPr="0078312C">
        <w:t>https://wcetfrontiers.org/2016/09/30/interpreting-regular-and-substantive-interaction/</w:t>
      </w:r>
    </w:p>
  </w:footnote>
  <w:footnote w:id="16">
    <w:p w14:paraId="4668AC6E" w14:textId="77777777" w:rsidR="00293620" w:rsidRDefault="00293620">
      <w:pPr>
        <w:pStyle w:val="FootnoteText"/>
      </w:pPr>
      <w:r>
        <w:rPr>
          <w:rStyle w:val="FootnoteReference"/>
        </w:rPr>
        <w:footnoteRef/>
      </w:r>
      <w:r>
        <w:t xml:space="preserve"> NASFAA response: </w:t>
      </w:r>
      <w:r w:rsidRPr="00293620">
        <w:t>https://www.nasfaa.org/uploads/documents/ResponsetoEDSolicitationof6-22-17.pdf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72F55" w14:textId="77777777" w:rsidR="00834F1A" w:rsidRDefault="00834F1A" w:rsidP="00C2489A">
    <w:pPr>
      <w:pStyle w:val="Header"/>
      <w:jc w:val="center"/>
    </w:pPr>
    <w:r w:rsidRPr="00A97B8B">
      <w:rPr>
        <w:noProof/>
      </w:rPr>
      <w:drawing>
        <wp:inline distT="0" distB="0" distL="0" distR="0" wp14:anchorId="43CD3042" wp14:editId="31C13396">
          <wp:extent cx="2346831" cy="467360"/>
          <wp:effectExtent l="19050" t="0" r="0" b="0"/>
          <wp:docPr id="2" name="Picture 1" descr="wcet-cmyk-2015_no 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et-cmyk-2015_no tag.jpg"/>
                  <pic:cNvPicPr/>
                </pic:nvPicPr>
                <pic:blipFill>
                  <a:blip r:embed="rId1"/>
                  <a:stretch>
                    <a:fillRect/>
                  </a:stretch>
                </pic:blipFill>
                <pic:spPr>
                  <a:xfrm>
                    <a:off x="0" y="0"/>
                    <a:ext cx="2348592" cy="467711"/>
                  </a:xfrm>
                  <a:prstGeom prst="rect">
                    <a:avLst/>
                  </a:prstGeom>
                </pic:spPr>
              </pic:pic>
            </a:graphicData>
          </a:graphic>
        </wp:inline>
      </w:drawing>
    </w:r>
  </w:p>
  <w:p w14:paraId="1A8F94E5" w14:textId="77777777" w:rsidR="00834F1A" w:rsidRDefault="00834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0849"/>
    <w:multiLevelType w:val="multilevel"/>
    <w:tmpl w:val="BD028D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E93F63"/>
    <w:multiLevelType w:val="hybridMultilevel"/>
    <w:tmpl w:val="B99E6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10D6A"/>
    <w:multiLevelType w:val="multilevel"/>
    <w:tmpl w:val="BD028D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EB824BC"/>
    <w:multiLevelType w:val="multilevel"/>
    <w:tmpl w:val="BD028DC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648605E"/>
    <w:multiLevelType w:val="multilevel"/>
    <w:tmpl w:val="BD028D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76E23CE"/>
    <w:multiLevelType w:val="multilevel"/>
    <w:tmpl w:val="BD028D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9495EE3"/>
    <w:multiLevelType w:val="multilevel"/>
    <w:tmpl w:val="BD028DC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0523F5B"/>
    <w:multiLevelType w:val="multilevel"/>
    <w:tmpl w:val="BD028DC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86C163D"/>
    <w:multiLevelType w:val="multilevel"/>
    <w:tmpl w:val="B8F04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335F64"/>
    <w:multiLevelType w:val="multilevel"/>
    <w:tmpl w:val="BD028DC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DF472CD"/>
    <w:multiLevelType w:val="hybridMultilevel"/>
    <w:tmpl w:val="D9A4EBB6"/>
    <w:lvl w:ilvl="0" w:tplc="A8822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D61B1"/>
    <w:multiLevelType w:val="multilevel"/>
    <w:tmpl w:val="BD028DC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EFB5EE6"/>
    <w:multiLevelType w:val="multilevel"/>
    <w:tmpl w:val="BD028D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4C56DD5"/>
    <w:multiLevelType w:val="hybridMultilevel"/>
    <w:tmpl w:val="EAB6C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A1FC3"/>
    <w:multiLevelType w:val="multilevel"/>
    <w:tmpl w:val="BD028D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7C938CF"/>
    <w:multiLevelType w:val="multilevel"/>
    <w:tmpl w:val="BD028D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C261ED6"/>
    <w:multiLevelType w:val="multilevel"/>
    <w:tmpl w:val="BD028D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D0D2E4B"/>
    <w:multiLevelType w:val="multilevel"/>
    <w:tmpl w:val="BD028D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3"/>
  </w:num>
  <w:num w:numId="3">
    <w:abstractNumId w:val="10"/>
  </w:num>
  <w:num w:numId="4">
    <w:abstractNumId w:val="1"/>
  </w:num>
  <w:num w:numId="5">
    <w:abstractNumId w:val="5"/>
  </w:num>
  <w:num w:numId="6">
    <w:abstractNumId w:val="12"/>
  </w:num>
  <w:num w:numId="7">
    <w:abstractNumId w:val="17"/>
  </w:num>
  <w:num w:numId="8">
    <w:abstractNumId w:val="0"/>
  </w:num>
  <w:num w:numId="9">
    <w:abstractNumId w:val="2"/>
  </w:num>
  <w:num w:numId="10">
    <w:abstractNumId w:val="14"/>
  </w:num>
  <w:num w:numId="11">
    <w:abstractNumId w:val="16"/>
  </w:num>
  <w:num w:numId="12">
    <w:abstractNumId w:val="15"/>
  </w:num>
  <w:num w:numId="13">
    <w:abstractNumId w:val="4"/>
  </w:num>
  <w:num w:numId="14">
    <w:abstractNumId w:val="7"/>
  </w:num>
  <w:num w:numId="15">
    <w:abstractNumId w:val="9"/>
  </w:num>
  <w:num w:numId="16">
    <w:abstractNumId w:val="6"/>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CD"/>
    <w:rsid w:val="00000971"/>
    <w:rsid w:val="00005536"/>
    <w:rsid w:val="0001746C"/>
    <w:rsid w:val="00056DB9"/>
    <w:rsid w:val="00066EAA"/>
    <w:rsid w:val="000E01BB"/>
    <w:rsid w:val="001D44E4"/>
    <w:rsid w:val="002711D2"/>
    <w:rsid w:val="00293620"/>
    <w:rsid w:val="00295F1E"/>
    <w:rsid w:val="002E6ACF"/>
    <w:rsid w:val="003C1211"/>
    <w:rsid w:val="00425B37"/>
    <w:rsid w:val="00457B54"/>
    <w:rsid w:val="00494940"/>
    <w:rsid w:val="004F7041"/>
    <w:rsid w:val="00507426"/>
    <w:rsid w:val="005A5890"/>
    <w:rsid w:val="005F06B0"/>
    <w:rsid w:val="00631558"/>
    <w:rsid w:val="0065248F"/>
    <w:rsid w:val="006868A3"/>
    <w:rsid w:val="006A7F4C"/>
    <w:rsid w:val="006C69BE"/>
    <w:rsid w:val="00734368"/>
    <w:rsid w:val="0078312C"/>
    <w:rsid w:val="007D65C4"/>
    <w:rsid w:val="0080058F"/>
    <w:rsid w:val="00825559"/>
    <w:rsid w:val="00834F1A"/>
    <w:rsid w:val="00860146"/>
    <w:rsid w:val="008F41DC"/>
    <w:rsid w:val="00920388"/>
    <w:rsid w:val="00984B95"/>
    <w:rsid w:val="00A161E6"/>
    <w:rsid w:val="00A35FDF"/>
    <w:rsid w:val="00AA4C0B"/>
    <w:rsid w:val="00AF0270"/>
    <w:rsid w:val="00B113E5"/>
    <w:rsid w:val="00B22339"/>
    <w:rsid w:val="00B97A5C"/>
    <w:rsid w:val="00BB4E2C"/>
    <w:rsid w:val="00BC2DEA"/>
    <w:rsid w:val="00BE2500"/>
    <w:rsid w:val="00BE2EB6"/>
    <w:rsid w:val="00C2489A"/>
    <w:rsid w:val="00C259B5"/>
    <w:rsid w:val="00C35858"/>
    <w:rsid w:val="00C91599"/>
    <w:rsid w:val="00D95B55"/>
    <w:rsid w:val="00DD2CE4"/>
    <w:rsid w:val="00DF5494"/>
    <w:rsid w:val="00E82A27"/>
    <w:rsid w:val="00EA2CCD"/>
    <w:rsid w:val="00F55D5F"/>
    <w:rsid w:val="00FA17D0"/>
    <w:rsid w:val="00FA7B5E"/>
    <w:rsid w:val="00FC7882"/>
    <w:rsid w:val="00FE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5A5F"/>
  <w15:chartTrackingRefBased/>
  <w15:docId w15:val="{A40708A3-79C7-4256-A6CE-82CCA97D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2CCD"/>
    <w:pPr>
      <w:spacing w:after="0" w:line="240" w:lineRule="auto"/>
    </w:pPr>
    <w:rPr>
      <w:rFonts w:ascii="Calibri" w:hAnsi="Calibri" w:cs="Times New Roman"/>
    </w:rPr>
  </w:style>
  <w:style w:type="paragraph" w:styleId="Heading3">
    <w:name w:val="heading 3"/>
    <w:basedOn w:val="Normal"/>
    <w:next w:val="Normal"/>
    <w:link w:val="Heading3Char"/>
    <w:uiPriority w:val="9"/>
    <w:semiHidden/>
    <w:unhideWhenUsed/>
    <w:qFormat/>
    <w:rsid w:val="00B223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2CCD"/>
    <w:rPr>
      <w:color w:val="0000FF"/>
      <w:u w:val="single"/>
    </w:rPr>
  </w:style>
  <w:style w:type="paragraph" w:styleId="PlainText">
    <w:name w:val="Plain Text"/>
    <w:basedOn w:val="Normal"/>
    <w:link w:val="PlainTextChar"/>
    <w:uiPriority w:val="99"/>
    <w:semiHidden/>
    <w:unhideWhenUsed/>
    <w:rsid w:val="00EA2CCD"/>
    <w:rPr>
      <w:rFonts w:cs="Consolas"/>
      <w:szCs w:val="21"/>
    </w:rPr>
  </w:style>
  <w:style w:type="character" w:customStyle="1" w:styleId="PlainTextChar">
    <w:name w:val="Plain Text Char"/>
    <w:basedOn w:val="DefaultParagraphFont"/>
    <w:link w:val="PlainText"/>
    <w:uiPriority w:val="99"/>
    <w:semiHidden/>
    <w:rsid w:val="00EA2CCD"/>
    <w:rPr>
      <w:rFonts w:ascii="Calibri" w:hAnsi="Calibri" w:cs="Consolas"/>
      <w:szCs w:val="21"/>
    </w:rPr>
  </w:style>
  <w:style w:type="character" w:customStyle="1" w:styleId="spelle">
    <w:name w:val="spelle"/>
    <w:basedOn w:val="DefaultParagraphFont"/>
    <w:rsid w:val="00EA2CCD"/>
  </w:style>
  <w:style w:type="character" w:styleId="Emphasis">
    <w:name w:val="Emphasis"/>
    <w:basedOn w:val="DefaultParagraphFont"/>
    <w:uiPriority w:val="20"/>
    <w:qFormat/>
    <w:rsid w:val="00EA2CCD"/>
    <w:rPr>
      <w:i/>
      <w:iCs/>
    </w:rPr>
  </w:style>
  <w:style w:type="paragraph" w:styleId="ListParagraph">
    <w:name w:val="List Paragraph"/>
    <w:basedOn w:val="Normal"/>
    <w:uiPriority w:val="34"/>
    <w:qFormat/>
    <w:rsid w:val="00FE2B9F"/>
    <w:pPr>
      <w:ind w:left="720"/>
      <w:contextualSpacing/>
    </w:pPr>
  </w:style>
  <w:style w:type="paragraph" w:customStyle="1" w:styleId="Default">
    <w:name w:val="Default"/>
    <w:rsid w:val="00FE2B9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F5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F5494"/>
    <w:rPr>
      <w:sz w:val="20"/>
      <w:szCs w:val="20"/>
    </w:rPr>
  </w:style>
  <w:style w:type="character" w:customStyle="1" w:styleId="FootnoteTextChar">
    <w:name w:val="Footnote Text Char"/>
    <w:basedOn w:val="DefaultParagraphFont"/>
    <w:link w:val="FootnoteText"/>
    <w:uiPriority w:val="99"/>
    <w:semiHidden/>
    <w:rsid w:val="00DF5494"/>
    <w:rPr>
      <w:rFonts w:ascii="Calibri" w:hAnsi="Calibri" w:cs="Times New Roman"/>
      <w:sz w:val="20"/>
      <w:szCs w:val="20"/>
    </w:rPr>
  </w:style>
  <w:style w:type="character" w:styleId="FootnoteReference">
    <w:name w:val="footnote reference"/>
    <w:basedOn w:val="DefaultParagraphFont"/>
    <w:uiPriority w:val="99"/>
    <w:semiHidden/>
    <w:unhideWhenUsed/>
    <w:rsid w:val="00DF5494"/>
    <w:rPr>
      <w:vertAlign w:val="superscript"/>
    </w:rPr>
  </w:style>
  <w:style w:type="table" w:customStyle="1" w:styleId="TableGrid1">
    <w:name w:val="Table Grid1"/>
    <w:basedOn w:val="TableNormal"/>
    <w:next w:val="TableGrid"/>
    <w:uiPriority w:val="59"/>
    <w:rsid w:val="00295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F1A"/>
    <w:pPr>
      <w:tabs>
        <w:tab w:val="center" w:pos="4680"/>
        <w:tab w:val="right" w:pos="9360"/>
      </w:tabs>
    </w:pPr>
  </w:style>
  <w:style w:type="character" w:customStyle="1" w:styleId="HeaderChar">
    <w:name w:val="Header Char"/>
    <w:basedOn w:val="DefaultParagraphFont"/>
    <w:link w:val="Header"/>
    <w:uiPriority w:val="99"/>
    <w:rsid w:val="00834F1A"/>
    <w:rPr>
      <w:rFonts w:ascii="Calibri" w:hAnsi="Calibri" w:cs="Times New Roman"/>
    </w:rPr>
  </w:style>
  <w:style w:type="paragraph" w:styleId="Footer">
    <w:name w:val="footer"/>
    <w:basedOn w:val="Normal"/>
    <w:link w:val="FooterChar"/>
    <w:uiPriority w:val="99"/>
    <w:unhideWhenUsed/>
    <w:rsid w:val="00834F1A"/>
    <w:pPr>
      <w:tabs>
        <w:tab w:val="center" w:pos="4680"/>
        <w:tab w:val="right" w:pos="9360"/>
      </w:tabs>
    </w:pPr>
  </w:style>
  <w:style w:type="character" w:customStyle="1" w:styleId="FooterChar">
    <w:name w:val="Footer Char"/>
    <w:basedOn w:val="DefaultParagraphFont"/>
    <w:link w:val="Footer"/>
    <w:uiPriority w:val="99"/>
    <w:rsid w:val="00834F1A"/>
    <w:rPr>
      <w:rFonts w:ascii="Calibri" w:hAnsi="Calibri" w:cs="Times New Roman"/>
    </w:rPr>
  </w:style>
  <w:style w:type="character" w:customStyle="1" w:styleId="Heading3Char">
    <w:name w:val="Heading 3 Char"/>
    <w:basedOn w:val="DefaultParagraphFont"/>
    <w:link w:val="Heading3"/>
    <w:uiPriority w:val="9"/>
    <w:semiHidden/>
    <w:rsid w:val="00B2233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05536"/>
    <w:pPr>
      <w:spacing w:before="100" w:beforeAutospacing="1" w:after="100" w:afterAutospacing="1"/>
    </w:pPr>
    <w:rPr>
      <w:rFonts w:ascii="Times New Roman" w:eastAsia="Times New Roman" w:hAnsi="Times New Roman"/>
      <w:sz w:val="24"/>
      <w:szCs w:val="24"/>
    </w:rPr>
  </w:style>
  <w:style w:type="paragraph" w:styleId="Revision">
    <w:name w:val="Revision"/>
    <w:hidden/>
    <w:uiPriority w:val="99"/>
    <w:semiHidden/>
    <w:rsid w:val="00A35FDF"/>
    <w:pPr>
      <w:spacing w:after="0" w:line="240" w:lineRule="auto"/>
    </w:pPr>
    <w:rPr>
      <w:rFonts w:ascii="Calibri" w:hAnsi="Calibri" w:cs="Times New Roman"/>
    </w:rPr>
  </w:style>
  <w:style w:type="paragraph" w:styleId="BalloonText">
    <w:name w:val="Balloon Text"/>
    <w:basedOn w:val="Normal"/>
    <w:link w:val="BalloonTextChar"/>
    <w:uiPriority w:val="99"/>
    <w:semiHidden/>
    <w:unhideWhenUsed/>
    <w:rsid w:val="00A35F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FDF"/>
    <w:rPr>
      <w:rFonts w:ascii="Segoe UI" w:hAnsi="Segoe UI" w:cs="Segoe UI"/>
      <w:sz w:val="18"/>
      <w:szCs w:val="18"/>
    </w:rPr>
  </w:style>
  <w:style w:type="character" w:styleId="CommentReference">
    <w:name w:val="annotation reference"/>
    <w:basedOn w:val="DefaultParagraphFont"/>
    <w:uiPriority w:val="99"/>
    <w:semiHidden/>
    <w:unhideWhenUsed/>
    <w:rsid w:val="00A35FDF"/>
    <w:rPr>
      <w:sz w:val="16"/>
      <w:szCs w:val="16"/>
    </w:rPr>
  </w:style>
  <w:style w:type="paragraph" w:styleId="CommentText">
    <w:name w:val="annotation text"/>
    <w:basedOn w:val="Normal"/>
    <w:link w:val="CommentTextChar"/>
    <w:uiPriority w:val="99"/>
    <w:semiHidden/>
    <w:unhideWhenUsed/>
    <w:rsid w:val="00A35FDF"/>
    <w:rPr>
      <w:sz w:val="20"/>
      <w:szCs w:val="20"/>
    </w:rPr>
  </w:style>
  <w:style w:type="character" w:customStyle="1" w:styleId="CommentTextChar">
    <w:name w:val="Comment Text Char"/>
    <w:basedOn w:val="DefaultParagraphFont"/>
    <w:link w:val="CommentText"/>
    <w:uiPriority w:val="99"/>
    <w:semiHidden/>
    <w:rsid w:val="00A35FD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35FDF"/>
    <w:rPr>
      <w:b/>
      <w:bCs/>
    </w:rPr>
  </w:style>
  <w:style w:type="character" w:customStyle="1" w:styleId="CommentSubjectChar">
    <w:name w:val="Comment Subject Char"/>
    <w:basedOn w:val="CommentTextChar"/>
    <w:link w:val="CommentSubject"/>
    <w:uiPriority w:val="99"/>
    <w:semiHidden/>
    <w:rsid w:val="00A35FDF"/>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6214">
      <w:bodyDiv w:val="1"/>
      <w:marLeft w:val="0"/>
      <w:marRight w:val="0"/>
      <w:marTop w:val="0"/>
      <w:marBottom w:val="0"/>
      <w:divBdr>
        <w:top w:val="none" w:sz="0" w:space="0" w:color="auto"/>
        <w:left w:val="none" w:sz="0" w:space="0" w:color="auto"/>
        <w:bottom w:val="none" w:sz="0" w:space="0" w:color="auto"/>
        <w:right w:val="none" w:sz="0" w:space="0" w:color="auto"/>
      </w:divBdr>
    </w:div>
    <w:div w:id="414713088">
      <w:bodyDiv w:val="1"/>
      <w:marLeft w:val="0"/>
      <w:marRight w:val="0"/>
      <w:marTop w:val="0"/>
      <w:marBottom w:val="0"/>
      <w:divBdr>
        <w:top w:val="none" w:sz="0" w:space="0" w:color="auto"/>
        <w:left w:val="none" w:sz="0" w:space="0" w:color="auto"/>
        <w:bottom w:val="none" w:sz="0" w:space="0" w:color="auto"/>
        <w:right w:val="none" w:sz="0" w:space="0" w:color="auto"/>
      </w:divBdr>
    </w:div>
    <w:div w:id="521481786">
      <w:bodyDiv w:val="1"/>
      <w:marLeft w:val="0"/>
      <w:marRight w:val="0"/>
      <w:marTop w:val="0"/>
      <w:marBottom w:val="0"/>
      <w:divBdr>
        <w:top w:val="none" w:sz="0" w:space="0" w:color="auto"/>
        <w:left w:val="none" w:sz="0" w:space="0" w:color="auto"/>
        <w:bottom w:val="none" w:sz="0" w:space="0" w:color="auto"/>
        <w:right w:val="none" w:sz="0" w:space="0" w:color="auto"/>
      </w:divBdr>
    </w:div>
    <w:div w:id="924265761">
      <w:bodyDiv w:val="1"/>
      <w:marLeft w:val="0"/>
      <w:marRight w:val="0"/>
      <w:marTop w:val="0"/>
      <w:marBottom w:val="0"/>
      <w:divBdr>
        <w:top w:val="none" w:sz="0" w:space="0" w:color="auto"/>
        <w:left w:val="none" w:sz="0" w:space="0" w:color="auto"/>
        <w:bottom w:val="none" w:sz="0" w:space="0" w:color="auto"/>
        <w:right w:val="none" w:sz="0" w:space="0" w:color="auto"/>
      </w:divBdr>
      <w:divsChild>
        <w:div w:id="1172334079">
          <w:marLeft w:val="0"/>
          <w:marRight w:val="0"/>
          <w:marTop w:val="0"/>
          <w:marBottom w:val="0"/>
          <w:divBdr>
            <w:top w:val="none" w:sz="0" w:space="0" w:color="auto"/>
            <w:left w:val="none" w:sz="0" w:space="0" w:color="auto"/>
            <w:bottom w:val="none" w:sz="0" w:space="0" w:color="auto"/>
            <w:right w:val="none" w:sz="0" w:space="0" w:color="auto"/>
          </w:divBdr>
        </w:div>
        <w:div w:id="521555067">
          <w:marLeft w:val="0"/>
          <w:marRight w:val="0"/>
          <w:marTop w:val="0"/>
          <w:marBottom w:val="0"/>
          <w:divBdr>
            <w:top w:val="none" w:sz="0" w:space="0" w:color="auto"/>
            <w:left w:val="none" w:sz="0" w:space="0" w:color="auto"/>
            <w:bottom w:val="none" w:sz="0" w:space="0" w:color="auto"/>
            <w:right w:val="none" w:sz="0" w:space="0" w:color="auto"/>
          </w:divBdr>
        </w:div>
      </w:divsChild>
    </w:div>
    <w:div w:id="1183476174">
      <w:bodyDiv w:val="1"/>
      <w:marLeft w:val="0"/>
      <w:marRight w:val="0"/>
      <w:marTop w:val="0"/>
      <w:marBottom w:val="0"/>
      <w:divBdr>
        <w:top w:val="none" w:sz="0" w:space="0" w:color="auto"/>
        <w:left w:val="none" w:sz="0" w:space="0" w:color="auto"/>
        <w:bottom w:val="none" w:sz="0" w:space="0" w:color="auto"/>
        <w:right w:val="none" w:sz="0" w:space="0" w:color="auto"/>
      </w:divBdr>
    </w:div>
    <w:div w:id="1358195536">
      <w:bodyDiv w:val="1"/>
      <w:marLeft w:val="0"/>
      <w:marRight w:val="0"/>
      <w:marTop w:val="0"/>
      <w:marBottom w:val="0"/>
      <w:divBdr>
        <w:top w:val="none" w:sz="0" w:space="0" w:color="auto"/>
        <w:left w:val="none" w:sz="0" w:space="0" w:color="auto"/>
        <w:bottom w:val="none" w:sz="0" w:space="0" w:color="auto"/>
        <w:right w:val="none" w:sz="0" w:space="0" w:color="auto"/>
      </w:divBdr>
    </w:div>
    <w:div w:id="206008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E3A13-BAF0-45E6-86D5-3E9FBD80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Poulin</dc:creator>
  <cp:keywords/>
  <dc:description/>
  <cp:lastModifiedBy>Russell Poulin</cp:lastModifiedBy>
  <cp:revision>3</cp:revision>
  <dcterms:created xsi:type="dcterms:W3CDTF">2017-09-20T04:39:00Z</dcterms:created>
  <dcterms:modified xsi:type="dcterms:W3CDTF">2017-09-20T04:39:00Z</dcterms:modified>
</cp:coreProperties>
</file>