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FE4" w:rsidRDefault="00E272E1" w:rsidP="00E272E1">
      <w:pPr>
        <w:jc w:val="center"/>
        <w:rPr>
          <w:sz w:val="32"/>
          <w:szCs w:val="32"/>
        </w:rPr>
      </w:pPr>
      <w:r>
        <w:rPr>
          <w:sz w:val="32"/>
          <w:szCs w:val="32"/>
        </w:rPr>
        <w:t>Virginia Department for the Blind and Vision Impaired</w:t>
      </w:r>
    </w:p>
    <w:p w:rsidR="00E272E1" w:rsidRPr="00E272E1" w:rsidRDefault="00EF4AFD" w:rsidP="00EF4AFD">
      <w:pPr>
        <w:pStyle w:val="NoSpacing"/>
        <w:tabs>
          <w:tab w:val="left" w:pos="1125"/>
          <w:tab w:val="center" w:pos="4680"/>
        </w:tabs>
        <w:rPr>
          <w:sz w:val="32"/>
          <w:szCs w:val="32"/>
        </w:rPr>
      </w:pPr>
      <w:r>
        <w:rPr>
          <w:sz w:val="32"/>
          <w:szCs w:val="32"/>
        </w:rPr>
        <w:tab/>
      </w:r>
      <w:r>
        <w:rPr>
          <w:sz w:val="32"/>
          <w:szCs w:val="32"/>
        </w:rPr>
        <w:tab/>
      </w:r>
      <w:r w:rsidR="00E272E1" w:rsidRPr="00E272E1">
        <w:rPr>
          <w:sz w:val="32"/>
          <w:szCs w:val="32"/>
        </w:rPr>
        <w:t>Regulatory Reform Comments</w:t>
      </w:r>
    </w:p>
    <w:p w:rsidR="0022400E" w:rsidRDefault="00EF4AFD" w:rsidP="00E272E1">
      <w:pPr>
        <w:pStyle w:val="NoSpacing"/>
        <w:jc w:val="center"/>
        <w:rPr>
          <w:sz w:val="32"/>
          <w:szCs w:val="32"/>
        </w:rPr>
      </w:pPr>
      <w:r>
        <w:rPr>
          <w:sz w:val="32"/>
          <w:szCs w:val="32"/>
        </w:rPr>
        <w:t>September 19, 2017</w:t>
      </w:r>
    </w:p>
    <w:p w:rsidR="00EF4AFD" w:rsidRPr="00E272E1" w:rsidRDefault="00EF4AFD" w:rsidP="00E272E1">
      <w:pPr>
        <w:pStyle w:val="NoSpacing"/>
        <w:jc w:val="center"/>
        <w:rPr>
          <w:sz w:val="32"/>
          <w:szCs w:val="32"/>
        </w:rPr>
      </w:pPr>
    </w:p>
    <w:p w:rsidR="00697689" w:rsidRPr="00965801" w:rsidRDefault="00F92E11" w:rsidP="00E272E1">
      <w:pPr>
        <w:rPr>
          <w:sz w:val="32"/>
          <w:szCs w:val="32"/>
        </w:rPr>
      </w:pPr>
      <w:r w:rsidRPr="00965801">
        <w:rPr>
          <w:sz w:val="32"/>
          <w:szCs w:val="32"/>
        </w:rPr>
        <w:t>Pursuit</w:t>
      </w:r>
      <w:r w:rsidR="000F1313" w:rsidRPr="00965801">
        <w:rPr>
          <w:sz w:val="32"/>
          <w:szCs w:val="32"/>
        </w:rPr>
        <w:t xml:space="preserve"> to Presidential Executive Order (EO) </w:t>
      </w:r>
      <w:r w:rsidRPr="00965801">
        <w:rPr>
          <w:sz w:val="32"/>
          <w:szCs w:val="32"/>
        </w:rPr>
        <w:t xml:space="preserve">13777,  Federal agencies are directed to </w:t>
      </w:r>
      <w:r w:rsidR="000F1313" w:rsidRPr="00965801">
        <w:rPr>
          <w:sz w:val="32"/>
          <w:szCs w:val="32"/>
        </w:rPr>
        <w:t xml:space="preserve">establish a Regulatory Reform Task Force (Task Force) </w:t>
      </w:r>
      <w:r w:rsidRPr="00965801">
        <w:rPr>
          <w:sz w:val="32"/>
          <w:szCs w:val="32"/>
        </w:rPr>
        <w:t xml:space="preserve">to </w:t>
      </w:r>
      <w:r w:rsidR="000F1313" w:rsidRPr="00965801">
        <w:rPr>
          <w:sz w:val="32"/>
          <w:szCs w:val="32"/>
        </w:rPr>
        <w:t xml:space="preserve">evaluate existing regulations and make recommendations to agency </w:t>
      </w:r>
      <w:bookmarkStart w:id="0" w:name="_GoBack"/>
      <w:r w:rsidR="000F1313" w:rsidRPr="00965801">
        <w:rPr>
          <w:sz w:val="32"/>
          <w:szCs w:val="32"/>
        </w:rPr>
        <w:t>heads to</w:t>
      </w:r>
      <w:r w:rsidR="00A9254C" w:rsidRPr="00965801">
        <w:rPr>
          <w:sz w:val="32"/>
          <w:szCs w:val="32"/>
        </w:rPr>
        <w:t xml:space="preserve"> </w:t>
      </w:r>
      <w:r w:rsidR="000F1313" w:rsidRPr="00965801">
        <w:rPr>
          <w:sz w:val="32"/>
          <w:szCs w:val="32"/>
        </w:rPr>
        <w:t xml:space="preserve">repeal, replace, or modify relevant regulations.  </w:t>
      </w:r>
      <w:r w:rsidR="00697689" w:rsidRPr="00965801">
        <w:rPr>
          <w:sz w:val="32"/>
          <w:szCs w:val="32"/>
        </w:rPr>
        <w:t xml:space="preserve">Among other </w:t>
      </w:r>
      <w:bookmarkEnd w:id="0"/>
      <w:r w:rsidR="00697689" w:rsidRPr="00965801">
        <w:rPr>
          <w:sz w:val="32"/>
          <w:szCs w:val="32"/>
        </w:rPr>
        <w:t>activities</w:t>
      </w:r>
      <w:r w:rsidR="000F1313" w:rsidRPr="00965801">
        <w:rPr>
          <w:sz w:val="32"/>
          <w:szCs w:val="32"/>
        </w:rPr>
        <w:t xml:space="preserve">, the Task Force must seek input from </w:t>
      </w:r>
      <w:r w:rsidRPr="00965801">
        <w:rPr>
          <w:sz w:val="32"/>
          <w:szCs w:val="32"/>
        </w:rPr>
        <w:t xml:space="preserve">key </w:t>
      </w:r>
      <w:r w:rsidR="000F1313" w:rsidRPr="00965801">
        <w:rPr>
          <w:sz w:val="32"/>
          <w:szCs w:val="32"/>
        </w:rPr>
        <w:t xml:space="preserve">stakeholders on regulations that meet certain </w:t>
      </w:r>
      <w:r w:rsidRPr="00965801">
        <w:rPr>
          <w:sz w:val="32"/>
          <w:szCs w:val="32"/>
        </w:rPr>
        <w:t>criteria.</w:t>
      </w:r>
      <w:r w:rsidR="000F1313" w:rsidRPr="00965801">
        <w:rPr>
          <w:sz w:val="32"/>
          <w:szCs w:val="32"/>
        </w:rPr>
        <w:t xml:space="preserve">  In the context of EO 13777,  “regulation” means an agency statement of general or particular applicability and future effort designed to implement, interpre</w:t>
      </w:r>
      <w:r w:rsidR="00697689" w:rsidRPr="00965801">
        <w:rPr>
          <w:sz w:val="32"/>
          <w:szCs w:val="32"/>
        </w:rPr>
        <w:t xml:space="preserve">t, or prescribe law or policy or to describe the procedure or practice requirements of an agency excluding specific regulations.  </w:t>
      </w:r>
    </w:p>
    <w:p w:rsidR="00A9254C" w:rsidRPr="00965801" w:rsidRDefault="00E741E3" w:rsidP="00E272E1">
      <w:pPr>
        <w:rPr>
          <w:sz w:val="32"/>
          <w:szCs w:val="32"/>
        </w:rPr>
      </w:pPr>
      <w:r w:rsidRPr="00965801">
        <w:rPr>
          <w:sz w:val="32"/>
          <w:szCs w:val="32"/>
        </w:rPr>
        <w:t xml:space="preserve">The Virginia </w:t>
      </w:r>
      <w:r w:rsidR="00A9254C" w:rsidRPr="00965801">
        <w:rPr>
          <w:sz w:val="32"/>
          <w:szCs w:val="32"/>
        </w:rPr>
        <w:t xml:space="preserve">Department of the Blind and Vision Impaired </w:t>
      </w:r>
      <w:r w:rsidR="00693714" w:rsidRPr="00965801">
        <w:rPr>
          <w:sz w:val="32"/>
          <w:szCs w:val="32"/>
        </w:rPr>
        <w:t xml:space="preserve">(DBVI) </w:t>
      </w:r>
      <w:r w:rsidR="00A9254C" w:rsidRPr="00965801">
        <w:rPr>
          <w:sz w:val="32"/>
          <w:szCs w:val="32"/>
        </w:rPr>
        <w:t xml:space="preserve">has reviewed </w:t>
      </w:r>
      <w:r w:rsidR="00697689" w:rsidRPr="00965801">
        <w:rPr>
          <w:sz w:val="32"/>
          <w:szCs w:val="32"/>
        </w:rPr>
        <w:t>the Rehabilitation Act of 1973 as amended, the United States</w:t>
      </w:r>
      <w:r w:rsidR="00693714" w:rsidRPr="00965801">
        <w:rPr>
          <w:sz w:val="32"/>
          <w:szCs w:val="32"/>
        </w:rPr>
        <w:t xml:space="preserve"> Department </w:t>
      </w:r>
      <w:r w:rsidR="00697689" w:rsidRPr="00965801">
        <w:rPr>
          <w:sz w:val="32"/>
          <w:szCs w:val="32"/>
        </w:rPr>
        <w:t>of Education (DOE) regulations found at 34 CFR Part 361,</w:t>
      </w:r>
      <w:r w:rsidRPr="00965801">
        <w:rPr>
          <w:sz w:val="32"/>
          <w:szCs w:val="32"/>
        </w:rPr>
        <w:t xml:space="preserve"> and the DOE</w:t>
      </w:r>
      <w:r w:rsidR="00697689" w:rsidRPr="00965801">
        <w:rPr>
          <w:sz w:val="32"/>
          <w:szCs w:val="32"/>
        </w:rPr>
        <w:t xml:space="preserve"> </w:t>
      </w:r>
      <w:r w:rsidR="00693714" w:rsidRPr="00965801">
        <w:rPr>
          <w:sz w:val="32"/>
          <w:szCs w:val="32"/>
        </w:rPr>
        <w:t xml:space="preserve">Rehabilitation Services Administration (RSA) guidance and policy statements to identify </w:t>
      </w:r>
      <w:r w:rsidR="00697689" w:rsidRPr="00965801">
        <w:rPr>
          <w:sz w:val="32"/>
          <w:szCs w:val="32"/>
        </w:rPr>
        <w:t xml:space="preserve">regulatory provisions that </w:t>
      </w:r>
      <w:r w:rsidRPr="00965801">
        <w:rPr>
          <w:sz w:val="32"/>
          <w:szCs w:val="32"/>
        </w:rPr>
        <w:t xml:space="preserve">are </w:t>
      </w:r>
      <w:r w:rsidR="00697689" w:rsidRPr="00965801">
        <w:rPr>
          <w:sz w:val="32"/>
          <w:szCs w:val="32"/>
        </w:rPr>
        <w:t>unduly costly or unnecessarily burdensome</w:t>
      </w:r>
      <w:r w:rsidRPr="00965801">
        <w:rPr>
          <w:sz w:val="32"/>
          <w:szCs w:val="32"/>
        </w:rPr>
        <w:t xml:space="preserve"> to </w:t>
      </w:r>
      <w:r w:rsidR="00693714" w:rsidRPr="00965801">
        <w:rPr>
          <w:sz w:val="32"/>
          <w:szCs w:val="32"/>
        </w:rPr>
        <w:t xml:space="preserve">State Vocational Rehabilitation Programs in the administration of VR Services to individuals with disabilities.  </w:t>
      </w:r>
    </w:p>
    <w:p w:rsidR="00E741E3" w:rsidRPr="00965801" w:rsidRDefault="00693714" w:rsidP="00E741E3">
      <w:pPr>
        <w:rPr>
          <w:rFonts w:ascii="Times New Roman" w:hAnsi="Times New Roman" w:cs="Times New Roman"/>
          <w:sz w:val="24"/>
          <w:szCs w:val="24"/>
        </w:rPr>
      </w:pPr>
      <w:r w:rsidRPr="00965801">
        <w:rPr>
          <w:sz w:val="32"/>
          <w:szCs w:val="32"/>
        </w:rPr>
        <w:t xml:space="preserve">Included in these comments are issues that impact DBVI’s ability to provide efficient and effective services to potentially eligible and eligible individuals, including students and youth, who are blind, vision impaired, and deaf blind.  </w:t>
      </w:r>
    </w:p>
    <w:p w:rsidR="00514A60" w:rsidRPr="00965801" w:rsidRDefault="00514A60" w:rsidP="00514A60">
      <w:pPr>
        <w:keepNext/>
        <w:keepLines/>
        <w:spacing w:before="40" w:after="0" w:line="259" w:lineRule="auto"/>
        <w:outlineLvl w:val="2"/>
        <w:rPr>
          <w:rFonts w:eastAsiaTheme="majorEastAsia" w:cstheme="minorHAnsi"/>
          <w:sz w:val="32"/>
          <w:szCs w:val="32"/>
        </w:rPr>
      </w:pPr>
      <w:r w:rsidRPr="00965801">
        <w:rPr>
          <w:rFonts w:eastAsiaTheme="majorEastAsia" w:cstheme="minorHAnsi"/>
          <w:b/>
          <w:sz w:val="32"/>
          <w:szCs w:val="32"/>
        </w:rPr>
        <w:lastRenderedPageBreak/>
        <w:t>ISSUE</w:t>
      </w:r>
      <w:r w:rsidR="009A0285">
        <w:rPr>
          <w:rFonts w:eastAsiaTheme="majorEastAsia" w:cstheme="minorHAnsi"/>
          <w:b/>
          <w:sz w:val="32"/>
          <w:szCs w:val="32"/>
        </w:rPr>
        <w:t xml:space="preserve"> 1</w:t>
      </w:r>
      <w:r w:rsidRPr="00965801">
        <w:rPr>
          <w:rFonts w:eastAsiaTheme="majorEastAsia" w:cstheme="minorHAnsi"/>
          <w:b/>
          <w:sz w:val="32"/>
          <w:szCs w:val="32"/>
        </w:rPr>
        <w:t>:  Recordkeeping regarding the provision of Pre-ETS services and the accounting for use of those funds</w:t>
      </w:r>
      <w:r w:rsidR="00D340D0" w:rsidRPr="00965801">
        <w:rPr>
          <w:rFonts w:eastAsiaTheme="majorEastAsia" w:cstheme="minorHAnsi"/>
          <w:b/>
          <w:sz w:val="32"/>
          <w:szCs w:val="32"/>
        </w:rPr>
        <w:t xml:space="preserve"> causes Administrative Burden.</w:t>
      </w:r>
    </w:p>
    <w:p w:rsidR="00514A60" w:rsidRPr="00965801" w:rsidRDefault="00514A60" w:rsidP="00514A60">
      <w:pPr>
        <w:spacing w:after="0" w:line="240" w:lineRule="auto"/>
      </w:pPr>
    </w:p>
    <w:p w:rsidR="00DB3244" w:rsidRPr="00965801" w:rsidRDefault="00DB3244" w:rsidP="00514A60">
      <w:pPr>
        <w:spacing w:after="0" w:line="240" w:lineRule="auto"/>
        <w:rPr>
          <w:sz w:val="32"/>
          <w:szCs w:val="32"/>
        </w:rPr>
      </w:pPr>
      <w:r w:rsidRPr="00965801">
        <w:rPr>
          <w:sz w:val="32"/>
          <w:szCs w:val="32"/>
        </w:rPr>
        <w:t xml:space="preserve">RSA has issued guidance and provided training regarding states’ </w:t>
      </w:r>
      <w:r w:rsidR="00C21FEC" w:rsidRPr="00965801">
        <w:rPr>
          <w:sz w:val="32"/>
          <w:szCs w:val="32"/>
        </w:rPr>
        <w:t>responsibilities</w:t>
      </w:r>
      <w:r w:rsidRPr="00965801">
        <w:rPr>
          <w:sz w:val="32"/>
          <w:szCs w:val="32"/>
        </w:rPr>
        <w:t xml:space="preserve"> for accounting of Pre-ETS expenditures that is burdensome and places unrealistic expectations for</w:t>
      </w:r>
      <w:r w:rsidR="00C21FEC" w:rsidRPr="00965801">
        <w:rPr>
          <w:sz w:val="32"/>
          <w:szCs w:val="32"/>
        </w:rPr>
        <w:t xml:space="preserve"> </w:t>
      </w:r>
      <w:r w:rsidR="00D340D0" w:rsidRPr="00965801">
        <w:rPr>
          <w:sz w:val="32"/>
          <w:szCs w:val="32"/>
        </w:rPr>
        <w:t xml:space="preserve">VR agencies </w:t>
      </w:r>
      <w:r w:rsidR="00C21FEC" w:rsidRPr="00965801">
        <w:rPr>
          <w:sz w:val="32"/>
          <w:szCs w:val="32"/>
        </w:rPr>
        <w:t xml:space="preserve">as they attempt to document accounting of the 15% set-aside funds </w:t>
      </w:r>
      <w:r w:rsidR="00D340D0" w:rsidRPr="00965801">
        <w:rPr>
          <w:sz w:val="32"/>
          <w:szCs w:val="32"/>
        </w:rPr>
        <w:t xml:space="preserve">and </w:t>
      </w:r>
      <w:r w:rsidR="00C21FEC" w:rsidRPr="00965801">
        <w:rPr>
          <w:sz w:val="32"/>
          <w:szCs w:val="32"/>
        </w:rPr>
        <w:t>the provision of Pre-ETS.</w:t>
      </w:r>
    </w:p>
    <w:p w:rsidR="00C21FEC" w:rsidRPr="00965801" w:rsidRDefault="00C21FEC" w:rsidP="00514A60">
      <w:pPr>
        <w:spacing w:after="0" w:line="240" w:lineRule="auto"/>
        <w:rPr>
          <w:rFonts w:cstheme="minorHAnsi"/>
          <w:sz w:val="32"/>
          <w:szCs w:val="32"/>
        </w:rPr>
      </w:pPr>
    </w:p>
    <w:p w:rsidR="00514A60" w:rsidRPr="00965801" w:rsidRDefault="00C21FEC" w:rsidP="00514A60">
      <w:pPr>
        <w:spacing w:after="0" w:line="240" w:lineRule="auto"/>
        <w:rPr>
          <w:rFonts w:cstheme="minorHAnsi"/>
          <w:sz w:val="32"/>
          <w:szCs w:val="32"/>
        </w:rPr>
      </w:pPr>
      <w:r w:rsidRPr="00965801">
        <w:rPr>
          <w:rFonts w:cstheme="minorHAnsi"/>
          <w:sz w:val="32"/>
          <w:szCs w:val="32"/>
        </w:rPr>
        <w:t>The provision of Pre-ETS ensures that students with disabilities are provided with more finely tuned services t</w:t>
      </w:r>
      <w:r w:rsidR="0000599E" w:rsidRPr="00965801">
        <w:rPr>
          <w:rFonts w:cstheme="minorHAnsi"/>
          <w:sz w:val="32"/>
          <w:szCs w:val="32"/>
        </w:rPr>
        <w:t xml:space="preserve">hat ultimately lead to better </w:t>
      </w:r>
      <w:r w:rsidRPr="00965801">
        <w:rPr>
          <w:rFonts w:cstheme="minorHAnsi"/>
          <w:sz w:val="32"/>
          <w:szCs w:val="32"/>
        </w:rPr>
        <w:t>competitive integrated employment</w:t>
      </w:r>
      <w:r w:rsidR="0000599E" w:rsidRPr="00965801">
        <w:rPr>
          <w:rFonts w:cstheme="minorHAnsi"/>
          <w:sz w:val="32"/>
          <w:szCs w:val="32"/>
        </w:rPr>
        <w:t xml:space="preserve"> options</w:t>
      </w:r>
      <w:r w:rsidRPr="00965801">
        <w:rPr>
          <w:rFonts w:cstheme="minorHAnsi"/>
          <w:sz w:val="32"/>
          <w:szCs w:val="32"/>
        </w:rPr>
        <w:t>.  However,</w:t>
      </w:r>
      <w:r w:rsidR="0000599E" w:rsidRPr="00965801">
        <w:rPr>
          <w:rFonts w:cstheme="minorHAnsi"/>
          <w:sz w:val="32"/>
          <w:szCs w:val="32"/>
        </w:rPr>
        <w:t xml:space="preserve"> new</w:t>
      </w:r>
      <w:r w:rsidRPr="00965801">
        <w:rPr>
          <w:rFonts w:cstheme="minorHAnsi"/>
          <w:sz w:val="32"/>
          <w:szCs w:val="32"/>
        </w:rPr>
        <w:t xml:space="preserve"> data collection </w:t>
      </w:r>
      <w:r w:rsidR="0000599E" w:rsidRPr="00965801">
        <w:rPr>
          <w:rFonts w:cstheme="minorHAnsi"/>
          <w:sz w:val="32"/>
          <w:szCs w:val="32"/>
        </w:rPr>
        <w:t xml:space="preserve">requirements </w:t>
      </w:r>
      <w:r w:rsidRPr="00965801">
        <w:rPr>
          <w:rFonts w:cstheme="minorHAnsi"/>
          <w:sz w:val="32"/>
          <w:szCs w:val="32"/>
        </w:rPr>
        <w:t>and</w:t>
      </w:r>
      <w:r w:rsidR="0000599E" w:rsidRPr="00965801">
        <w:rPr>
          <w:rFonts w:cstheme="minorHAnsi"/>
          <w:sz w:val="32"/>
          <w:szCs w:val="32"/>
        </w:rPr>
        <w:t xml:space="preserve"> develop</w:t>
      </w:r>
      <w:r w:rsidR="00D340D0" w:rsidRPr="00965801">
        <w:rPr>
          <w:rFonts w:cstheme="minorHAnsi"/>
          <w:sz w:val="32"/>
          <w:szCs w:val="32"/>
        </w:rPr>
        <w:t>ment of</w:t>
      </w:r>
      <w:r w:rsidR="0000599E" w:rsidRPr="00965801">
        <w:rPr>
          <w:rFonts w:cstheme="minorHAnsi"/>
          <w:sz w:val="32"/>
          <w:szCs w:val="32"/>
        </w:rPr>
        <w:t xml:space="preserve"> new </w:t>
      </w:r>
      <w:r w:rsidRPr="00965801">
        <w:rPr>
          <w:rFonts w:cstheme="minorHAnsi"/>
          <w:sz w:val="32"/>
          <w:szCs w:val="32"/>
        </w:rPr>
        <w:t xml:space="preserve">reporting systems specific to Pre-ETS causes </w:t>
      </w:r>
      <w:r w:rsidR="0000599E" w:rsidRPr="00965801">
        <w:rPr>
          <w:rFonts w:cstheme="minorHAnsi"/>
          <w:sz w:val="32"/>
          <w:szCs w:val="32"/>
        </w:rPr>
        <w:t xml:space="preserve">undue </w:t>
      </w:r>
      <w:r w:rsidRPr="00965801">
        <w:rPr>
          <w:rFonts w:cstheme="minorHAnsi"/>
          <w:sz w:val="32"/>
          <w:szCs w:val="32"/>
        </w:rPr>
        <w:t xml:space="preserve">administrative burden </w:t>
      </w:r>
      <w:r w:rsidR="00D340D0" w:rsidRPr="00965801">
        <w:rPr>
          <w:rFonts w:cstheme="minorHAnsi"/>
          <w:sz w:val="32"/>
          <w:szCs w:val="32"/>
        </w:rPr>
        <w:t xml:space="preserve">on agencies </w:t>
      </w:r>
      <w:r w:rsidRPr="00965801">
        <w:rPr>
          <w:rFonts w:cstheme="minorHAnsi"/>
          <w:sz w:val="32"/>
          <w:szCs w:val="32"/>
        </w:rPr>
        <w:t xml:space="preserve">and </w:t>
      </w:r>
      <w:r w:rsidR="0000599E" w:rsidRPr="00965801">
        <w:rPr>
          <w:rFonts w:cstheme="minorHAnsi"/>
          <w:sz w:val="32"/>
          <w:szCs w:val="32"/>
        </w:rPr>
        <w:t>have the unintended consequence of taking</w:t>
      </w:r>
      <w:r w:rsidRPr="00965801">
        <w:rPr>
          <w:rFonts w:cstheme="minorHAnsi"/>
          <w:sz w:val="32"/>
          <w:szCs w:val="32"/>
        </w:rPr>
        <w:t xml:space="preserve"> valuable time from </w:t>
      </w:r>
      <w:r w:rsidR="0000599E" w:rsidRPr="00965801">
        <w:rPr>
          <w:rFonts w:cstheme="minorHAnsi"/>
          <w:sz w:val="32"/>
          <w:szCs w:val="32"/>
        </w:rPr>
        <w:t xml:space="preserve">VR Counselors and other staff </w:t>
      </w:r>
      <w:r w:rsidR="00D340D0" w:rsidRPr="00965801">
        <w:rPr>
          <w:rFonts w:cstheme="minorHAnsi"/>
          <w:sz w:val="32"/>
          <w:szCs w:val="32"/>
        </w:rPr>
        <w:t>that could be spent</w:t>
      </w:r>
      <w:r w:rsidRPr="00965801">
        <w:rPr>
          <w:rFonts w:cstheme="minorHAnsi"/>
          <w:sz w:val="32"/>
          <w:szCs w:val="32"/>
        </w:rPr>
        <w:t xml:space="preserve"> on identifying progressive ways to provide services to students.  </w:t>
      </w:r>
    </w:p>
    <w:p w:rsidR="0000599E" w:rsidRPr="00965801" w:rsidRDefault="0000599E" w:rsidP="00514A60">
      <w:pPr>
        <w:spacing w:after="0" w:line="240" w:lineRule="auto"/>
        <w:rPr>
          <w:rFonts w:cstheme="minorHAnsi"/>
          <w:sz w:val="32"/>
          <w:szCs w:val="32"/>
        </w:rPr>
      </w:pPr>
    </w:p>
    <w:p w:rsidR="0000599E" w:rsidRPr="00965801" w:rsidRDefault="0000599E" w:rsidP="00514A60">
      <w:pPr>
        <w:spacing w:after="0" w:line="240" w:lineRule="auto"/>
        <w:rPr>
          <w:rFonts w:cstheme="minorHAnsi"/>
          <w:sz w:val="32"/>
          <w:szCs w:val="32"/>
        </w:rPr>
      </w:pPr>
      <w:r w:rsidRPr="00965801">
        <w:rPr>
          <w:rFonts w:cstheme="minorHAnsi"/>
          <w:b/>
          <w:sz w:val="32"/>
          <w:szCs w:val="32"/>
        </w:rPr>
        <w:t>Recommendation</w:t>
      </w:r>
      <w:r w:rsidR="00D7489A" w:rsidRPr="00965801">
        <w:rPr>
          <w:rFonts w:cstheme="minorHAnsi"/>
          <w:b/>
          <w:sz w:val="32"/>
          <w:szCs w:val="32"/>
        </w:rPr>
        <w:t>/Solution</w:t>
      </w:r>
      <w:r w:rsidRPr="00965801">
        <w:rPr>
          <w:rFonts w:cstheme="minorHAnsi"/>
          <w:b/>
          <w:sz w:val="32"/>
          <w:szCs w:val="32"/>
        </w:rPr>
        <w:t>:</w:t>
      </w:r>
      <w:r w:rsidRPr="00965801">
        <w:rPr>
          <w:rFonts w:cstheme="minorHAnsi"/>
          <w:sz w:val="32"/>
          <w:szCs w:val="32"/>
        </w:rPr>
        <w:t xml:space="preserve">  That RSA and State VR agencies collaborate to establish reasonable and accomplishable document</w:t>
      </w:r>
      <w:r w:rsidR="000638CE" w:rsidRPr="00965801">
        <w:rPr>
          <w:rFonts w:cstheme="minorHAnsi"/>
          <w:sz w:val="32"/>
          <w:szCs w:val="32"/>
        </w:rPr>
        <w:t>ation</w:t>
      </w:r>
      <w:r w:rsidRPr="00965801">
        <w:rPr>
          <w:rFonts w:cstheme="minorHAnsi"/>
          <w:sz w:val="32"/>
          <w:szCs w:val="32"/>
        </w:rPr>
        <w:t xml:space="preserve"> standards for </w:t>
      </w:r>
      <w:r w:rsidR="00D340D0" w:rsidRPr="00965801">
        <w:rPr>
          <w:rFonts w:cstheme="minorHAnsi"/>
          <w:sz w:val="32"/>
          <w:szCs w:val="32"/>
        </w:rPr>
        <w:t>Pre</w:t>
      </w:r>
      <w:r w:rsidRPr="00965801">
        <w:rPr>
          <w:rFonts w:cstheme="minorHAnsi"/>
          <w:sz w:val="32"/>
          <w:szCs w:val="32"/>
        </w:rPr>
        <w:t>-ETS</w:t>
      </w:r>
      <w:r w:rsidR="000638CE" w:rsidRPr="00965801">
        <w:rPr>
          <w:rFonts w:cstheme="minorHAnsi"/>
          <w:sz w:val="32"/>
          <w:szCs w:val="32"/>
        </w:rPr>
        <w:t xml:space="preserve"> 15% </w:t>
      </w:r>
      <w:r w:rsidR="00D340D0" w:rsidRPr="00965801">
        <w:rPr>
          <w:rFonts w:cstheme="minorHAnsi"/>
          <w:sz w:val="32"/>
          <w:szCs w:val="32"/>
        </w:rPr>
        <w:t xml:space="preserve">reserved funds </w:t>
      </w:r>
      <w:r w:rsidR="000638CE" w:rsidRPr="00965801">
        <w:rPr>
          <w:rFonts w:cstheme="minorHAnsi"/>
          <w:sz w:val="32"/>
          <w:szCs w:val="32"/>
        </w:rPr>
        <w:t xml:space="preserve">and case records </w:t>
      </w:r>
      <w:r w:rsidRPr="00965801">
        <w:rPr>
          <w:rFonts w:cstheme="minorHAnsi"/>
          <w:sz w:val="32"/>
          <w:szCs w:val="32"/>
        </w:rPr>
        <w:t>that do not</w:t>
      </w:r>
      <w:r w:rsidR="000638CE" w:rsidRPr="00965801">
        <w:rPr>
          <w:rFonts w:cstheme="minorHAnsi"/>
          <w:sz w:val="32"/>
          <w:szCs w:val="32"/>
        </w:rPr>
        <w:t xml:space="preserve"> place unnecessary administrative burden on VR agencies.</w:t>
      </w:r>
    </w:p>
    <w:p w:rsidR="00514A60" w:rsidRPr="00965801" w:rsidRDefault="00514A60" w:rsidP="000C5FE4">
      <w:pPr>
        <w:rPr>
          <w:sz w:val="32"/>
          <w:szCs w:val="32"/>
        </w:rPr>
      </w:pPr>
    </w:p>
    <w:p w:rsidR="00514A60" w:rsidRPr="00965801" w:rsidRDefault="00514A60" w:rsidP="00514A60">
      <w:pPr>
        <w:rPr>
          <w:b/>
          <w:sz w:val="32"/>
          <w:szCs w:val="32"/>
        </w:rPr>
      </w:pPr>
      <w:r w:rsidRPr="00965801">
        <w:rPr>
          <w:b/>
          <w:sz w:val="32"/>
          <w:szCs w:val="32"/>
        </w:rPr>
        <w:t>ISSUE</w:t>
      </w:r>
      <w:r w:rsidR="009A0285">
        <w:rPr>
          <w:b/>
          <w:sz w:val="32"/>
          <w:szCs w:val="32"/>
        </w:rPr>
        <w:t xml:space="preserve"> 2</w:t>
      </w:r>
      <w:r w:rsidRPr="00965801">
        <w:rPr>
          <w:b/>
          <w:sz w:val="32"/>
          <w:szCs w:val="32"/>
        </w:rPr>
        <w:t xml:space="preserve">:  </w:t>
      </w:r>
      <w:r w:rsidR="00D340D0" w:rsidRPr="00965801">
        <w:rPr>
          <w:b/>
          <w:sz w:val="32"/>
          <w:szCs w:val="32"/>
        </w:rPr>
        <w:t xml:space="preserve">34 CFR §361.5(c)(51)(i)(A)(2) </w:t>
      </w:r>
      <w:r w:rsidR="00D7489A" w:rsidRPr="00965801">
        <w:rPr>
          <w:b/>
          <w:sz w:val="32"/>
          <w:szCs w:val="32"/>
        </w:rPr>
        <w:t xml:space="preserve">and 361.5(c)(51)(B)(2) </w:t>
      </w:r>
      <w:r w:rsidRPr="00965801">
        <w:rPr>
          <w:b/>
          <w:sz w:val="32"/>
          <w:szCs w:val="32"/>
        </w:rPr>
        <w:t xml:space="preserve"> definition of ‘student with a disability”</w:t>
      </w:r>
      <w:r w:rsidR="00D340D0" w:rsidRPr="00965801">
        <w:rPr>
          <w:b/>
          <w:sz w:val="32"/>
          <w:szCs w:val="32"/>
        </w:rPr>
        <w:t xml:space="preserve"> </w:t>
      </w:r>
      <w:r w:rsidR="00CA494A" w:rsidRPr="00965801">
        <w:rPr>
          <w:b/>
          <w:sz w:val="32"/>
          <w:szCs w:val="32"/>
        </w:rPr>
        <w:t>and 361.5(c)(51)(B)(2) definition of “State”</w:t>
      </w:r>
      <w:r w:rsidR="00D604C3" w:rsidRPr="00965801">
        <w:rPr>
          <w:b/>
          <w:sz w:val="32"/>
          <w:szCs w:val="32"/>
        </w:rPr>
        <w:t xml:space="preserve"> cause</w:t>
      </w:r>
      <w:r w:rsidR="00D340D0" w:rsidRPr="00965801">
        <w:rPr>
          <w:b/>
          <w:sz w:val="32"/>
          <w:szCs w:val="32"/>
        </w:rPr>
        <w:t xml:space="preserve"> unintended consequences.</w:t>
      </w:r>
    </w:p>
    <w:p w:rsidR="007170D4" w:rsidRPr="00965801" w:rsidRDefault="00CE45D7" w:rsidP="00514A60">
      <w:pPr>
        <w:rPr>
          <w:sz w:val="32"/>
          <w:szCs w:val="32"/>
        </w:rPr>
      </w:pPr>
      <w:r w:rsidRPr="00965801">
        <w:rPr>
          <w:sz w:val="32"/>
          <w:szCs w:val="32"/>
        </w:rPr>
        <w:t xml:space="preserve">DBVI is one of two </w:t>
      </w:r>
      <w:r w:rsidR="007170D4" w:rsidRPr="00965801">
        <w:rPr>
          <w:sz w:val="32"/>
          <w:szCs w:val="32"/>
        </w:rPr>
        <w:t>designated</w:t>
      </w:r>
      <w:r w:rsidR="003E2C28" w:rsidRPr="00965801">
        <w:rPr>
          <w:sz w:val="32"/>
          <w:szCs w:val="32"/>
        </w:rPr>
        <w:t xml:space="preserve"> state units</w:t>
      </w:r>
      <w:r w:rsidR="00D340D0" w:rsidRPr="00965801">
        <w:rPr>
          <w:sz w:val="32"/>
          <w:szCs w:val="32"/>
        </w:rPr>
        <w:t xml:space="preserve"> (DSU)</w:t>
      </w:r>
      <w:r w:rsidR="003E2C28" w:rsidRPr="00965801">
        <w:rPr>
          <w:sz w:val="32"/>
          <w:szCs w:val="32"/>
        </w:rPr>
        <w:t>,</w:t>
      </w:r>
      <w:r w:rsidRPr="00965801">
        <w:rPr>
          <w:sz w:val="32"/>
          <w:szCs w:val="32"/>
        </w:rPr>
        <w:t xml:space="preserve"> providing vocational rehabilitation services to people with disabilities in Virginia; DBVI serves individuals who are blind, vision impaired, and deaf blind, including </w:t>
      </w:r>
      <w:r w:rsidRPr="00965801">
        <w:rPr>
          <w:sz w:val="32"/>
          <w:szCs w:val="32"/>
        </w:rPr>
        <w:lastRenderedPageBreak/>
        <w:t>students</w:t>
      </w:r>
      <w:r w:rsidR="001C4BEA" w:rsidRPr="00965801">
        <w:rPr>
          <w:sz w:val="32"/>
          <w:szCs w:val="32"/>
        </w:rPr>
        <w:t xml:space="preserve"> and youth</w:t>
      </w:r>
      <w:r w:rsidRPr="00965801">
        <w:rPr>
          <w:sz w:val="32"/>
          <w:szCs w:val="32"/>
        </w:rPr>
        <w:t xml:space="preserve">. </w:t>
      </w:r>
      <w:r w:rsidR="003E2C28" w:rsidRPr="00965801">
        <w:rPr>
          <w:sz w:val="32"/>
          <w:szCs w:val="32"/>
        </w:rPr>
        <w:t>34 CFR 361.5(c)(51)(</w:t>
      </w:r>
      <w:r w:rsidR="007170D4" w:rsidRPr="00965801">
        <w:rPr>
          <w:sz w:val="32"/>
          <w:szCs w:val="32"/>
        </w:rPr>
        <w:t xml:space="preserve">A)(2) </w:t>
      </w:r>
      <w:r w:rsidR="005F5DE7" w:rsidRPr="00965801">
        <w:rPr>
          <w:sz w:val="32"/>
          <w:szCs w:val="32"/>
        </w:rPr>
        <w:t xml:space="preserve">and 34 CFR 361.5(c)(51)(B)(2) </w:t>
      </w:r>
      <w:r w:rsidR="00D340D0" w:rsidRPr="00965801">
        <w:rPr>
          <w:sz w:val="32"/>
          <w:szCs w:val="32"/>
        </w:rPr>
        <w:t xml:space="preserve">contain </w:t>
      </w:r>
      <w:r w:rsidR="001C4BEA" w:rsidRPr="00965801">
        <w:rPr>
          <w:sz w:val="32"/>
          <w:szCs w:val="32"/>
        </w:rPr>
        <w:t>defining language</w:t>
      </w:r>
      <w:r w:rsidR="007170D4" w:rsidRPr="00965801">
        <w:rPr>
          <w:sz w:val="32"/>
          <w:szCs w:val="32"/>
        </w:rPr>
        <w:t xml:space="preserve"> of “student with a disability” that provides for states to elect to use lower minimum age or higher maximum </w:t>
      </w:r>
      <w:r w:rsidR="00D604C3" w:rsidRPr="00965801">
        <w:rPr>
          <w:sz w:val="32"/>
          <w:szCs w:val="32"/>
        </w:rPr>
        <w:t>age for the provision of Pre-ETS</w:t>
      </w:r>
      <w:r w:rsidR="007170D4" w:rsidRPr="00965801">
        <w:rPr>
          <w:sz w:val="32"/>
          <w:szCs w:val="32"/>
        </w:rPr>
        <w:t xml:space="preserve"> as long as the minimum </w:t>
      </w:r>
      <w:r w:rsidR="001357D7" w:rsidRPr="00965801">
        <w:rPr>
          <w:sz w:val="32"/>
          <w:szCs w:val="32"/>
        </w:rPr>
        <w:t xml:space="preserve">or </w:t>
      </w:r>
      <w:r w:rsidR="00D340D0" w:rsidRPr="00965801">
        <w:rPr>
          <w:sz w:val="32"/>
          <w:szCs w:val="32"/>
        </w:rPr>
        <w:t>maximum</w:t>
      </w:r>
      <w:r w:rsidR="007170D4" w:rsidRPr="00965801">
        <w:rPr>
          <w:sz w:val="32"/>
          <w:szCs w:val="32"/>
        </w:rPr>
        <w:t xml:space="preserve"> age</w:t>
      </w:r>
      <w:r w:rsidR="001357D7" w:rsidRPr="00965801">
        <w:rPr>
          <w:sz w:val="32"/>
          <w:szCs w:val="32"/>
        </w:rPr>
        <w:t>s</w:t>
      </w:r>
      <w:r w:rsidR="007170D4" w:rsidRPr="00965801">
        <w:rPr>
          <w:sz w:val="32"/>
          <w:szCs w:val="32"/>
        </w:rPr>
        <w:t xml:space="preserve"> are in </w:t>
      </w:r>
      <w:r w:rsidR="001357D7" w:rsidRPr="00965801">
        <w:rPr>
          <w:sz w:val="32"/>
          <w:szCs w:val="32"/>
        </w:rPr>
        <w:t xml:space="preserve">compliance with </w:t>
      </w:r>
      <w:r w:rsidR="007170D4" w:rsidRPr="00965801">
        <w:rPr>
          <w:sz w:val="32"/>
          <w:szCs w:val="32"/>
        </w:rPr>
        <w:t xml:space="preserve">WIOA and IDEA respectively.   </w:t>
      </w:r>
      <w:r w:rsidRPr="00965801">
        <w:rPr>
          <w:sz w:val="32"/>
          <w:szCs w:val="32"/>
        </w:rPr>
        <w:t>G</w:t>
      </w:r>
      <w:r w:rsidR="005F5DE7" w:rsidRPr="00965801">
        <w:rPr>
          <w:sz w:val="32"/>
          <w:szCs w:val="32"/>
        </w:rPr>
        <w:t>uidance from RSA has been that S</w:t>
      </w:r>
      <w:r w:rsidRPr="00965801">
        <w:rPr>
          <w:sz w:val="32"/>
          <w:szCs w:val="32"/>
        </w:rPr>
        <w:t>tate</w:t>
      </w:r>
      <w:r w:rsidR="003E2C28" w:rsidRPr="00965801">
        <w:rPr>
          <w:sz w:val="32"/>
          <w:szCs w:val="32"/>
        </w:rPr>
        <w:t>s</w:t>
      </w:r>
      <w:r w:rsidRPr="00965801">
        <w:rPr>
          <w:sz w:val="32"/>
          <w:szCs w:val="32"/>
        </w:rPr>
        <w:t xml:space="preserve"> with two </w:t>
      </w:r>
      <w:r w:rsidR="007170D4" w:rsidRPr="00965801">
        <w:rPr>
          <w:sz w:val="32"/>
          <w:szCs w:val="32"/>
        </w:rPr>
        <w:t>DSUs</w:t>
      </w:r>
      <w:r w:rsidR="001357D7" w:rsidRPr="00965801">
        <w:rPr>
          <w:sz w:val="32"/>
          <w:szCs w:val="32"/>
        </w:rPr>
        <w:t>, like Virginia,</w:t>
      </w:r>
      <w:r w:rsidR="007170D4" w:rsidRPr="00965801">
        <w:rPr>
          <w:sz w:val="32"/>
          <w:szCs w:val="32"/>
        </w:rPr>
        <w:t xml:space="preserve"> </w:t>
      </w:r>
      <w:r w:rsidRPr="00965801">
        <w:rPr>
          <w:sz w:val="32"/>
          <w:szCs w:val="32"/>
        </w:rPr>
        <w:t>must agree on the ag</w:t>
      </w:r>
      <w:r w:rsidR="003E2C28" w:rsidRPr="00965801">
        <w:rPr>
          <w:sz w:val="32"/>
          <w:szCs w:val="32"/>
        </w:rPr>
        <w:t>e at which</w:t>
      </w:r>
      <w:r w:rsidR="00D340D0" w:rsidRPr="00965801">
        <w:rPr>
          <w:sz w:val="32"/>
          <w:szCs w:val="32"/>
        </w:rPr>
        <w:t xml:space="preserve"> P</w:t>
      </w:r>
      <w:r w:rsidRPr="00965801">
        <w:rPr>
          <w:sz w:val="32"/>
          <w:szCs w:val="32"/>
        </w:rPr>
        <w:t>re-ETS</w:t>
      </w:r>
      <w:r w:rsidR="003E2C28" w:rsidRPr="00965801">
        <w:rPr>
          <w:sz w:val="32"/>
          <w:szCs w:val="32"/>
        </w:rPr>
        <w:t xml:space="preserve"> </w:t>
      </w:r>
      <w:r w:rsidRPr="00965801">
        <w:rPr>
          <w:sz w:val="32"/>
          <w:szCs w:val="32"/>
        </w:rPr>
        <w:t>must be available to students.</w:t>
      </w:r>
      <w:r w:rsidR="003E2C28" w:rsidRPr="00965801">
        <w:rPr>
          <w:sz w:val="32"/>
          <w:szCs w:val="32"/>
        </w:rPr>
        <w:t xml:space="preserve"> </w:t>
      </w:r>
      <w:r w:rsidRPr="00965801">
        <w:rPr>
          <w:sz w:val="32"/>
          <w:szCs w:val="32"/>
        </w:rPr>
        <w:t xml:space="preserve">  The regulatory justification for RSA’s guidance is found at </w:t>
      </w:r>
      <w:r w:rsidR="003E2C28" w:rsidRPr="00965801">
        <w:rPr>
          <w:sz w:val="32"/>
          <w:szCs w:val="32"/>
        </w:rPr>
        <w:t>34 CFR 361.5(c)(48) where “state” is defined as any of the 50 state</w:t>
      </w:r>
      <w:r w:rsidR="00772C38" w:rsidRPr="00965801">
        <w:rPr>
          <w:sz w:val="32"/>
          <w:szCs w:val="32"/>
        </w:rPr>
        <w:t xml:space="preserve">s…; </w:t>
      </w:r>
      <w:r w:rsidR="005C24A6" w:rsidRPr="00965801">
        <w:rPr>
          <w:sz w:val="32"/>
          <w:szCs w:val="32"/>
        </w:rPr>
        <w:t>unfor</w:t>
      </w:r>
      <w:r w:rsidR="00772C38" w:rsidRPr="00965801">
        <w:rPr>
          <w:sz w:val="32"/>
          <w:szCs w:val="32"/>
        </w:rPr>
        <w:t>tunately</w:t>
      </w:r>
      <w:r w:rsidR="007170D4" w:rsidRPr="00965801">
        <w:rPr>
          <w:sz w:val="32"/>
          <w:szCs w:val="32"/>
        </w:rPr>
        <w:t>, this definition does not account for states in which there are more than one DSU.</w:t>
      </w:r>
    </w:p>
    <w:p w:rsidR="00514A60" w:rsidRPr="00965801" w:rsidRDefault="007170D4" w:rsidP="00514A60">
      <w:pPr>
        <w:rPr>
          <w:sz w:val="32"/>
          <w:szCs w:val="32"/>
        </w:rPr>
      </w:pPr>
      <w:r w:rsidRPr="00965801">
        <w:rPr>
          <w:sz w:val="32"/>
          <w:szCs w:val="32"/>
        </w:rPr>
        <w:t>There are significant and ser</w:t>
      </w:r>
      <w:r w:rsidR="00D604C3" w:rsidRPr="00965801">
        <w:rPr>
          <w:sz w:val="32"/>
          <w:szCs w:val="32"/>
        </w:rPr>
        <w:t>ious unintended consequences of</w:t>
      </w:r>
      <w:r w:rsidRPr="00965801">
        <w:rPr>
          <w:sz w:val="32"/>
          <w:szCs w:val="32"/>
        </w:rPr>
        <w:t xml:space="preserve"> RSA’s</w:t>
      </w:r>
      <w:r w:rsidR="00514A60" w:rsidRPr="00965801">
        <w:rPr>
          <w:sz w:val="32"/>
          <w:szCs w:val="32"/>
        </w:rPr>
        <w:t xml:space="preserve"> interpretation</w:t>
      </w:r>
      <w:r w:rsidR="00772C38" w:rsidRPr="00965801">
        <w:rPr>
          <w:sz w:val="32"/>
          <w:szCs w:val="32"/>
        </w:rPr>
        <w:t>,</w:t>
      </w:r>
      <w:r w:rsidRPr="00965801">
        <w:rPr>
          <w:sz w:val="32"/>
          <w:szCs w:val="32"/>
        </w:rPr>
        <w:t xml:space="preserve"> especially for DSU</w:t>
      </w:r>
      <w:r w:rsidR="001357D7" w:rsidRPr="00965801">
        <w:rPr>
          <w:sz w:val="32"/>
          <w:szCs w:val="32"/>
        </w:rPr>
        <w:t>s like DBVI</w:t>
      </w:r>
      <w:r w:rsidR="00772C38" w:rsidRPr="00965801">
        <w:rPr>
          <w:sz w:val="32"/>
          <w:szCs w:val="32"/>
        </w:rPr>
        <w:t>,</w:t>
      </w:r>
      <w:r w:rsidR="00D604C3" w:rsidRPr="00965801">
        <w:rPr>
          <w:sz w:val="32"/>
          <w:szCs w:val="32"/>
        </w:rPr>
        <w:t xml:space="preserve"> who is</w:t>
      </w:r>
      <w:r w:rsidRPr="00965801">
        <w:rPr>
          <w:sz w:val="32"/>
          <w:szCs w:val="32"/>
        </w:rPr>
        <w:t xml:space="preserve"> providing Pre-ETS for students who are blind, vision impaired, and deafblind where </w:t>
      </w:r>
      <w:r w:rsidR="009A42F1" w:rsidRPr="00965801">
        <w:rPr>
          <w:sz w:val="32"/>
          <w:szCs w:val="32"/>
        </w:rPr>
        <w:t>more than 80</w:t>
      </w:r>
      <w:r w:rsidR="00F24794" w:rsidRPr="00965801">
        <w:rPr>
          <w:sz w:val="32"/>
          <w:szCs w:val="32"/>
        </w:rPr>
        <w:t>% of</w:t>
      </w:r>
      <w:r w:rsidR="009A42F1" w:rsidRPr="00965801">
        <w:rPr>
          <w:sz w:val="32"/>
          <w:szCs w:val="32"/>
        </w:rPr>
        <w:t xml:space="preserve"> total number of eligible individuals served in the VR program</w:t>
      </w:r>
      <w:r w:rsidR="007F55F9" w:rsidRPr="00965801">
        <w:rPr>
          <w:sz w:val="32"/>
          <w:szCs w:val="32"/>
        </w:rPr>
        <w:t xml:space="preserve"> are older than the defined age of students with disabilities.  </w:t>
      </w:r>
      <w:r w:rsidR="001357D7" w:rsidRPr="00965801">
        <w:rPr>
          <w:sz w:val="32"/>
          <w:szCs w:val="32"/>
        </w:rPr>
        <w:t>Because the population of school aged students (14 to 21) served by DBVI is much smaller than the number of students served by the general VR agency, DBVI has the capacity to serve more students at an earlier age.</w:t>
      </w:r>
      <w:r w:rsidR="00B275FE" w:rsidRPr="00965801">
        <w:rPr>
          <w:sz w:val="32"/>
          <w:szCs w:val="32"/>
        </w:rPr>
        <w:t xml:space="preserve">  </w:t>
      </w:r>
      <w:r w:rsidR="00D340D0" w:rsidRPr="00965801">
        <w:rPr>
          <w:sz w:val="32"/>
          <w:szCs w:val="32"/>
        </w:rPr>
        <w:t>In fact, DBVI could serve</w:t>
      </w:r>
      <w:r w:rsidR="00D7489A" w:rsidRPr="00965801">
        <w:rPr>
          <w:sz w:val="32"/>
          <w:szCs w:val="32"/>
        </w:rPr>
        <w:t xml:space="preserve"> approximately 75% </w:t>
      </w:r>
      <w:r w:rsidR="00D340D0" w:rsidRPr="00965801">
        <w:rPr>
          <w:sz w:val="32"/>
          <w:szCs w:val="32"/>
        </w:rPr>
        <w:t>more students</w:t>
      </w:r>
      <w:r w:rsidR="00D7489A" w:rsidRPr="00965801">
        <w:rPr>
          <w:sz w:val="32"/>
          <w:szCs w:val="32"/>
        </w:rPr>
        <w:t xml:space="preserve">, including middle school students, if allowed to determine the minimum and maximum age at which Pre-ETS could potentially begin independent of the general VR agency.  </w:t>
      </w:r>
      <w:r w:rsidR="00B275FE" w:rsidRPr="00965801">
        <w:rPr>
          <w:sz w:val="32"/>
          <w:szCs w:val="32"/>
        </w:rPr>
        <w:t xml:space="preserve">DBVI has found over time that providing services such as orientation and mobility instruction and assistive technology as soon as possible raises expectations for students’ academic accomplishments and leads to greater opportunities for employment.  </w:t>
      </w:r>
      <w:r w:rsidR="009A0285">
        <w:rPr>
          <w:sz w:val="32"/>
          <w:szCs w:val="32"/>
        </w:rPr>
        <w:t xml:space="preserve">The requirement to </w:t>
      </w:r>
      <w:r w:rsidR="00B275FE" w:rsidRPr="00965801">
        <w:rPr>
          <w:sz w:val="32"/>
          <w:szCs w:val="32"/>
        </w:rPr>
        <w:t xml:space="preserve">establish minimum and maximum ages in conjunction with the general agency causes </w:t>
      </w:r>
      <w:r w:rsidR="00F24794" w:rsidRPr="00965801">
        <w:rPr>
          <w:sz w:val="32"/>
          <w:szCs w:val="32"/>
        </w:rPr>
        <w:lastRenderedPageBreak/>
        <w:t xml:space="preserve">agencies like </w:t>
      </w:r>
      <w:r w:rsidR="00B275FE" w:rsidRPr="00965801">
        <w:rPr>
          <w:sz w:val="32"/>
          <w:szCs w:val="32"/>
        </w:rPr>
        <w:t>DBVI to be unable to engage with students at the earliest possible age</w:t>
      </w:r>
      <w:r w:rsidR="00CA494A" w:rsidRPr="00965801">
        <w:rPr>
          <w:sz w:val="32"/>
          <w:szCs w:val="32"/>
        </w:rPr>
        <w:t xml:space="preserve"> and to continue Pre-ETS as students become older</w:t>
      </w:r>
      <w:r w:rsidR="00B275FE" w:rsidRPr="00965801">
        <w:rPr>
          <w:sz w:val="32"/>
          <w:szCs w:val="32"/>
        </w:rPr>
        <w:t>.</w:t>
      </w:r>
    </w:p>
    <w:p w:rsidR="00B275FE" w:rsidRPr="00965801" w:rsidRDefault="00D7489A" w:rsidP="00514A60">
      <w:pPr>
        <w:rPr>
          <w:sz w:val="32"/>
          <w:szCs w:val="32"/>
        </w:rPr>
      </w:pPr>
      <w:r w:rsidRPr="00965801">
        <w:rPr>
          <w:b/>
          <w:sz w:val="32"/>
          <w:szCs w:val="32"/>
        </w:rPr>
        <w:t>Recommendation/</w:t>
      </w:r>
      <w:r w:rsidR="00B275FE" w:rsidRPr="00965801">
        <w:rPr>
          <w:b/>
          <w:sz w:val="32"/>
          <w:szCs w:val="32"/>
        </w:rPr>
        <w:t>Solution</w:t>
      </w:r>
      <w:r w:rsidRPr="00965801">
        <w:rPr>
          <w:sz w:val="32"/>
          <w:szCs w:val="32"/>
        </w:rPr>
        <w:t xml:space="preserve">:  Modify regulation at 34 CFR 361.5(c)(48) </w:t>
      </w:r>
      <w:r w:rsidR="00B275FE" w:rsidRPr="00965801">
        <w:rPr>
          <w:sz w:val="32"/>
          <w:szCs w:val="32"/>
        </w:rPr>
        <w:t xml:space="preserve"> and RSA policy guidance to allow each DSU to establish </w:t>
      </w:r>
      <w:r w:rsidR="005F5DE7" w:rsidRPr="00965801">
        <w:rPr>
          <w:sz w:val="32"/>
          <w:szCs w:val="32"/>
        </w:rPr>
        <w:t xml:space="preserve">the </w:t>
      </w:r>
      <w:r w:rsidR="00B275FE" w:rsidRPr="00965801">
        <w:rPr>
          <w:sz w:val="32"/>
          <w:szCs w:val="32"/>
        </w:rPr>
        <w:t xml:space="preserve">minimum and maximum age at which Pre-ETS can be provided to students with disabilities.  </w:t>
      </w:r>
    </w:p>
    <w:p w:rsidR="00FD5F31" w:rsidRPr="00965801" w:rsidRDefault="00D604C3" w:rsidP="00FD5F31">
      <w:pPr>
        <w:rPr>
          <w:b/>
          <w:sz w:val="32"/>
          <w:szCs w:val="32"/>
        </w:rPr>
      </w:pPr>
      <w:r w:rsidRPr="00965801">
        <w:rPr>
          <w:b/>
          <w:sz w:val="32"/>
          <w:szCs w:val="32"/>
        </w:rPr>
        <w:t>ISSUE</w:t>
      </w:r>
      <w:r w:rsidR="009A0285">
        <w:rPr>
          <w:b/>
          <w:sz w:val="32"/>
          <w:szCs w:val="32"/>
        </w:rPr>
        <w:t xml:space="preserve"> 3</w:t>
      </w:r>
      <w:r w:rsidRPr="00965801">
        <w:rPr>
          <w:b/>
          <w:sz w:val="32"/>
          <w:szCs w:val="32"/>
        </w:rPr>
        <w:t>:  34 CFR §361.48(a)(2)</w:t>
      </w:r>
      <w:r w:rsidR="00514A60" w:rsidRPr="00965801">
        <w:rPr>
          <w:b/>
          <w:sz w:val="32"/>
          <w:szCs w:val="32"/>
        </w:rPr>
        <w:t xml:space="preserve"> Pre-ETS Required Activities</w:t>
      </w:r>
      <w:r w:rsidRPr="00965801">
        <w:rPr>
          <w:b/>
          <w:sz w:val="32"/>
          <w:szCs w:val="32"/>
        </w:rPr>
        <w:t xml:space="preserve"> - regulations restricting</w:t>
      </w:r>
      <w:r w:rsidR="00FD5F31" w:rsidRPr="00965801">
        <w:rPr>
          <w:b/>
          <w:sz w:val="32"/>
          <w:szCs w:val="32"/>
        </w:rPr>
        <w:t xml:space="preserve"> the continuum of VR services </w:t>
      </w:r>
    </w:p>
    <w:p w:rsidR="00B275FE" w:rsidRPr="00965801" w:rsidRDefault="00FD5F31" w:rsidP="00514A60">
      <w:pPr>
        <w:rPr>
          <w:sz w:val="32"/>
          <w:szCs w:val="32"/>
        </w:rPr>
      </w:pPr>
      <w:r w:rsidRPr="00965801">
        <w:rPr>
          <w:sz w:val="32"/>
          <w:szCs w:val="32"/>
        </w:rPr>
        <w:t>34 CFR 361.48(a)(2)</w:t>
      </w:r>
      <w:r w:rsidR="00B275FE" w:rsidRPr="00965801">
        <w:rPr>
          <w:sz w:val="32"/>
          <w:szCs w:val="32"/>
        </w:rPr>
        <w:t xml:space="preserve"> </w:t>
      </w:r>
      <w:r w:rsidRPr="00965801">
        <w:rPr>
          <w:sz w:val="32"/>
          <w:szCs w:val="32"/>
        </w:rPr>
        <w:t>regulations and policy guidance</w:t>
      </w:r>
      <w:r w:rsidR="00656AAE" w:rsidRPr="00965801">
        <w:rPr>
          <w:sz w:val="32"/>
          <w:szCs w:val="32"/>
        </w:rPr>
        <w:t xml:space="preserve"> from RSA identify confusing</w:t>
      </w:r>
      <w:r w:rsidR="009970C3" w:rsidRPr="00965801">
        <w:rPr>
          <w:sz w:val="32"/>
          <w:szCs w:val="32"/>
        </w:rPr>
        <w:t xml:space="preserve"> and unnecessary</w:t>
      </w:r>
      <w:r w:rsidRPr="00965801">
        <w:rPr>
          <w:sz w:val="32"/>
          <w:szCs w:val="32"/>
        </w:rPr>
        <w:t xml:space="preserve"> distinction</w:t>
      </w:r>
      <w:r w:rsidR="00656AAE" w:rsidRPr="00965801">
        <w:rPr>
          <w:sz w:val="32"/>
          <w:szCs w:val="32"/>
        </w:rPr>
        <w:t>s</w:t>
      </w:r>
      <w:r w:rsidRPr="00965801">
        <w:rPr>
          <w:sz w:val="32"/>
          <w:szCs w:val="32"/>
        </w:rPr>
        <w:t xml:space="preserve"> between </w:t>
      </w:r>
      <w:r w:rsidR="009970C3" w:rsidRPr="00965801">
        <w:rPr>
          <w:sz w:val="32"/>
          <w:szCs w:val="32"/>
        </w:rPr>
        <w:t>vocational rehabilitation</w:t>
      </w:r>
      <w:r w:rsidR="00656AAE" w:rsidRPr="00965801">
        <w:rPr>
          <w:sz w:val="32"/>
          <w:szCs w:val="32"/>
        </w:rPr>
        <w:t xml:space="preserve"> services available to eligible and potentially eligible students and newly established </w:t>
      </w:r>
      <w:r w:rsidRPr="00965801">
        <w:rPr>
          <w:sz w:val="32"/>
          <w:szCs w:val="32"/>
        </w:rPr>
        <w:t>Pre-ETS</w:t>
      </w:r>
      <w:r w:rsidR="00B275FE" w:rsidRPr="00965801">
        <w:rPr>
          <w:sz w:val="32"/>
          <w:szCs w:val="32"/>
        </w:rPr>
        <w:t xml:space="preserve"> required and authorized services</w:t>
      </w:r>
      <w:r w:rsidRPr="00965801">
        <w:rPr>
          <w:sz w:val="32"/>
          <w:szCs w:val="32"/>
        </w:rPr>
        <w:t xml:space="preserve">. </w:t>
      </w:r>
      <w:r w:rsidR="00656AAE" w:rsidRPr="00965801">
        <w:rPr>
          <w:sz w:val="32"/>
          <w:szCs w:val="32"/>
        </w:rPr>
        <w:t xml:space="preserve"> Based on</w:t>
      </w:r>
      <w:r w:rsidR="009970C3" w:rsidRPr="00965801">
        <w:rPr>
          <w:sz w:val="32"/>
          <w:szCs w:val="32"/>
        </w:rPr>
        <w:t xml:space="preserve"> these distinctions and subsequent</w:t>
      </w:r>
      <w:r w:rsidR="00656AAE" w:rsidRPr="00965801">
        <w:rPr>
          <w:sz w:val="32"/>
          <w:szCs w:val="32"/>
        </w:rPr>
        <w:t xml:space="preserve"> RSA guidance, VR agencies cannot include</w:t>
      </w:r>
      <w:r w:rsidRPr="00965801">
        <w:rPr>
          <w:sz w:val="32"/>
          <w:szCs w:val="32"/>
        </w:rPr>
        <w:t xml:space="preserve"> services available to individuals who are receiving VR under other subsections of 34 CRF Part 361.48 </w:t>
      </w:r>
      <w:r w:rsidR="00656AAE" w:rsidRPr="00965801">
        <w:rPr>
          <w:sz w:val="32"/>
          <w:szCs w:val="32"/>
        </w:rPr>
        <w:t>in the 15% Pre-ETS reservation of funds.  This prohibition</w:t>
      </w:r>
      <w:r w:rsidR="009970C3" w:rsidRPr="00965801">
        <w:rPr>
          <w:sz w:val="32"/>
          <w:szCs w:val="32"/>
        </w:rPr>
        <w:t xml:space="preserve"> causes significant burden on states because the 15% Pre-ETS</w:t>
      </w:r>
      <w:r w:rsidRPr="00965801">
        <w:rPr>
          <w:sz w:val="32"/>
          <w:szCs w:val="32"/>
        </w:rPr>
        <w:t xml:space="preserve"> reservation of funds</w:t>
      </w:r>
      <w:r w:rsidR="009970C3" w:rsidRPr="00965801">
        <w:rPr>
          <w:sz w:val="32"/>
          <w:szCs w:val="32"/>
        </w:rPr>
        <w:t xml:space="preserve"> is removed from basic VR grants which ultimately reduces funding for provision of services to the largest proportion of individuals receiving VR services.  This separation not only restricts use of funds that inherently should be expansive of other services documented at 34 CFR 361 as service options to facilitate competitive integrated employment for students, it also causes un</w:t>
      </w:r>
      <w:r w:rsidR="005F63ED" w:rsidRPr="00965801">
        <w:rPr>
          <w:sz w:val="32"/>
          <w:szCs w:val="32"/>
        </w:rPr>
        <w:t>necessary administrative burden.</w:t>
      </w:r>
    </w:p>
    <w:p w:rsidR="00FD5F31" w:rsidRPr="00965801" w:rsidRDefault="00FD5F31" w:rsidP="00514A60">
      <w:pPr>
        <w:rPr>
          <w:b/>
          <w:sz w:val="32"/>
          <w:szCs w:val="32"/>
        </w:rPr>
      </w:pPr>
      <w:r w:rsidRPr="00965801">
        <w:rPr>
          <w:b/>
          <w:sz w:val="32"/>
          <w:szCs w:val="32"/>
        </w:rPr>
        <w:t>Recommendation</w:t>
      </w:r>
      <w:r w:rsidR="00D604C3" w:rsidRPr="00965801">
        <w:rPr>
          <w:b/>
          <w:sz w:val="32"/>
          <w:szCs w:val="32"/>
        </w:rPr>
        <w:t>/Solution</w:t>
      </w:r>
      <w:r w:rsidRPr="00965801">
        <w:rPr>
          <w:b/>
          <w:sz w:val="32"/>
          <w:szCs w:val="32"/>
        </w:rPr>
        <w:t xml:space="preserve">: </w:t>
      </w:r>
      <w:r w:rsidRPr="00965801">
        <w:rPr>
          <w:sz w:val="32"/>
          <w:szCs w:val="32"/>
        </w:rPr>
        <w:t>DBVI recommends that all vocational rehabilitation services</w:t>
      </w:r>
      <w:r w:rsidR="005F63ED" w:rsidRPr="00965801">
        <w:rPr>
          <w:sz w:val="32"/>
          <w:szCs w:val="32"/>
        </w:rPr>
        <w:t xml:space="preserve"> documented at 34 CFE 361.48 (Scope of Services) be considered as costs or expenditures </w:t>
      </w:r>
      <w:r w:rsidR="009970C3" w:rsidRPr="00965801">
        <w:rPr>
          <w:sz w:val="32"/>
          <w:szCs w:val="32"/>
        </w:rPr>
        <w:t xml:space="preserve">that can be </w:t>
      </w:r>
      <w:r w:rsidR="005F63ED" w:rsidRPr="00965801">
        <w:rPr>
          <w:sz w:val="32"/>
          <w:szCs w:val="32"/>
        </w:rPr>
        <w:t>funded by the DSUs</w:t>
      </w:r>
      <w:r w:rsidR="009970C3" w:rsidRPr="00965801">
        <w:rPr>
          <w:sz w:val="32"/>
          <w:szCs w:val="32"/>
        </w:rPr>
        <w:t xml:space="preserve"> </w:t>
      </w:r>
      <w:r w:rsidRPr="00965801">
        <w:rPr>
          <w:sz w:val="32"/>
          <w:szCs w:val="32"/>
        </w:rPr>
        <w:t>15% pre-employment set-aside</w:t>
      </w:r>
      <w:r w:rsidR="005F5DE7" w:rsidRPr="00965801">
        <w:rPr>
          <w:sz w:val="32"/>
          <w:szCs w:val="32"/>
        </w:rPr>
        <w:t xml:space="preserve"> for students and youth who are blind, </w:t>
      </w:r>
      <w:r w:rsidR="005F5DE7" w:rsidRPr="00965801">
        <w:rPr>
          <w:sz w:val="32"/>
          <w:szCs w:val="32"/>
        </w:rPr>
        <w:lastRenderedPageBreak/>
        <w:t>vision impaired, and deafblind</w:t>
      </w:r>
      <w:r w:rsidRPr="00965801">
        <w:rPr>
          <w:sz w:val="32"/>
          <w:szCs w:val="32"/>
        </w:rPr>
        <w:t xml:space="preserve">.  These services would include, but not be limited to, </w:t>
      </w:r>
      <w:r w:rsidR="005F63ED" w:rsidRPr="00965801">
        <w:rPr>
          <w:sz w:val="32"/>
          <w:szCs w:val="32"/>
        </w:rPr>
        <w:t xml:space="preserve">the </w:t>
      </w:r>
      <w:r w:rsidRPr="00965801">
        <w:rPr>
          <w:sz w:val="32"/>
          <w:szCs w:val="32"/>
        </w:rPr>
        <w:t xml:space="preserve">required and authorized </w:t>
      </w:r>
      <w:r w:rsidR="00856C89" w:rsidRPr="00965801">
        <w:rPr>
          <w:sz w:val="32"/>
          <w:szCs w:val="32"/>
        </w:rPr>
        <w:t>Pre-ETS</w:t>
      </w:r>
      <w:r w:rsidR="005F63ED" w:rsidRPr="00965801">
        <w:rPr>
          <w:sz w:val="32"/>
          <w:szCs w:val="32"/>
        </w:rPr>
        <w:t xml:space="preserve">, postsecondary </w:t>
      </w:r>
      <w:r w:rsidR="00856C89" w:rsidRPr="00965801">
        <w:rPr>
          <w:sz w:val="32"/>
          <w:szCs w:val="32"/>
        </w:rPr>
        <w:t>education and vocational</w:t>
      </w:r>
      <w:r w:rsidR="005F63ED" w:rsidRPr="00965801">
        <w:rPr>
          <w:sz w:val="32"/>
          <w:szCs w:val="32"/>
        </w:rPr>
        <w:t xml:space="preserve"> training tuition and fees, transportation, assistive technology, orientation and mobility instruction.</w:t>
      </w:r>
      <w:r w:rsidRPr="00965801">
        <w:rPr>
          <w:b/>
          <w:sz w:val="32"/>
          <w:szCs w:val="32"/>
        </w:rPr>
        <w:t xml:space="preserve"> </w:t>
      </w:r>
    </w:p>
    <w:p w:rsidR="00514A60" w:rsidRPr="00965801" w:rsidRDefault="00514A60" w:rsidP="00A45BE0">
      <w:pPr>
        <w:rPr>
          <w:rFonts w:cstheme="minorHAnsi"/>
          <w:b/>
          <w:sz w:val="32"/>
          <w:szCs w:val="32"/>
        </w:rPr>
      </w:pPr>
      <w:r w:rsidRPr="00965801">
        <w:rPr>
          <w:rFonts w:cstheme="minorHAnsi"/>
          <w:b/>
          <w:sz w:val="32"/>
          <w:szCs w:val="32"/>
        </w:rPr>
        <w:t>ISSUE</w:t>
      </w:r>
      <w:r w:rsidR="009A0285">
        <w:rPr>
          <w:rFonts w:cstheme="minorHAnsi"/>
          <w:b/>
          <w:sz w:val="32"/>
          <w:szCs w:val="32"/>
        </w:rPr>
        <w:t xml:space="preserve"> 4</w:t>
      </w:r>
      <w:r w:rsidRPr="00965801">
        <w:rPr>
          <w:rFonts w:cstheme="minorHAnsi"/>
          <w:b/>
          <w:sz w:val="32"/>
          <w:szCs w:val="32"/>
        </w:rPr>
        <w:t xml:space="preserve">:  </w:t>
      </w:r>
      <w:r w:rsidR="00D604C3" w:rsidRPr="00965801">
        <w:rPr>
          <w:rFonts w:cstheme="minorHAnsi"/>
          <w:b/>
          <w:sz w:val="32"/>
          <w:szCs w:val="32"/>
        </w:rPr>
        <w:t>34 CFR §361.5(c)(9) definition of “competitive integrated employment”</w:t>
      </w:r>
      <w:r w:rsidRPr="00965801">
        <w:rPr>
          <w:rFonts w:cstheme="minorHAnsi"/>
          <w:b/>
          <w:sz w:val="32"/>
          <w:szCs w:val="32"/>
        </w:rPr>
        <w:t xml:space="preserve"> and </w:t>
      </w:r>
      <w:r w:rsidR="00D604C3" w:rsidRPr="00965801">
        <w:rPr>
          <w:rFonts w:cstheme="minorHAnsi"/>
          <w:b/>
          <w:sz w:val="32"/>
          <w:szCs w:val="32"/>
        </w:rPr>
        <w:t>34 CFR §361.5(c)(32)(ii) definition of “integrated settings” conflict with legislative language</w:t>
      </w:r>
    </w:p>
    <w:p w:rsidR="00D555F6" w:rsidRPr="00965801" w:rsidRDefault="00D555F6" w:rsidP="003109EE">
      <w:pPr>
        <w:rPr>
          <w:sz w:val="32"/>
          <w:szCs w:val="32"/>
        </w:rPr>
      </w:pPr>
      <w:r w:rsidRPr="00965801">
        <w:rPr>
          <w:sz w:val="32"/>
          <w:szCs w:val="32"/>
        </w:rPr>
        <w:t>DBVI is generally in</w:t>
      </w:r>
      <w:r w:rsidR="003109EE" w:rsidRPr="00965801">
        <w:rPr>
          <w:sz w:val="32"/>
          <w:szCs w:val="32"/>
        </w:rPr>
        <w:t xml:space="preserve"> support of the definitions of “competitive integrated </w:t>
      </w:r>
      <w:r w:rsidR="00FD5F31" w:rsidRPr="00965801">
        <w:rPr>
          <w:sz w:val="32"/>
          <w:szCs w:val="32"/>
        </w:rPr>
        <w:t>employment</w:t>
      </w:r>
      <w:r w:rsidR="003109EE" w:rsidRPr="00965801">
        <w:rPr>
          <w:sz w:val="32"/>
          <w:szCs w:val="32"/>
        </w:rPr>
        <w:t xml:space="preserve">” and “integrated settings” found at 34 CFR 361.5 (c)(9) and </w:t>
      </w:r>
      <w:r w:rsidRPr="00965801">
        <w:rPr>
          <w:sz w:val="32"/>
          <w:szCs w:val="32"/>
        </w:rPr>
        <w:t xml:space="preserve">34 CFR </w:t>
      </w:r>
      <w:r w:rsidR="003109EE" w:rsidRPr="00965801">
        <w:rPr>
          <w:sz w:val="32"/>
          <w:szCs w:val="32"/>
        </w:rPr>
        <w:t xml:space="preserve">361.5(c)(32)(ii), respectively.  However, DBVI is concerned that the language within the regulations is more restrictive than that </w:t>
      </w:r>
      <w:r w:rsidRPr="00965801">
        <w:rPr>
          <w:sz w:val="32"/>
          <w:szCs w:val="32"/>
        </w:rPr>
        <w:t>found under section 7(5) of the Rehabilitation Act of 1973, as amended by the Workforce Innovation and Opportunity Act of 2014</w:t>
      </w:r>
      <w:r w:rsidR="00DB3244" w:rsidRPr="00965801">
        <w:rPr>
          <w:sz w:val="32"/>
          <w:szCs w:val="32"/>
        </w:rPr>
        <w:t xml:space="preserve"> (the Act)</w:t>
      </w:r>
      <w:r w:rsidRPr="00965801">
        <w:rPr>
          <w:sz w:val="32"/>
          <w:szCs w:val="32"/>
        </w:rPr>
        <w:t>.</w:t>
      </w:r>
    </w:p>
    <w:p w:rsidR="00D555F6" w:rsidRPr="00965801" w:rsidRDefault="00D555F6" w:rsidP="003109EE">
      <w:pPr>
        <w:rPr>
          <w:sz w:val="32"/>
          <w:szCs w:val="32"/>
        </w:rPr>
      </w:pPr>
      <w:r w:rsidRPr="00965801">
        <w:rPr>
          <w:b/>
          <w:sz w:val="32"/>
          <w:szCs w:val="32"/>
        </w:rPr>
        <w:t>Recommendation</w:t>
      </w:r>
      <w:r w:rsidR="00D604C3" w:rsidRPr="00965801">
        <w:rPr>
          <w:b/>
          <w:sz w:val="32"/>
          <w:szCs w:val="32"/>
        </w:rPr>
        <w:t>/Solution</w:t>
      </w:r>
      <w:r w:rsidRPr="00965801">
        <w:rPr>
          <w:sz w:val="32"/>
          <w:szCs w:val="32"/>
        </w:rPr>
        <w:t xml:space="preserve">: </w:t>
      </w:r>
      <w:r w:rsidR="00DB3244" w:rsidRPr="00965801">
        <w:rPr>
          <w:sz w:val="32"/>
          <w:szCs w:val="32"/>
        </w:rPr>
        <w:t>RSA should amend 34 CFR</w:t>
      </w:r>
      <w:r w:rsidRPr="00965801">
        <w:rPr>
          <w:sz w:val="32"/>
          <w:szCs w:val="32"/>
        </w:rPr>
        <w:t xml:space="preserve"> 361.5(c)(9) to reflect only the legislative language at section 7(5) of the Act and that the regulation at</w:t>
      </w:r>
      <w:r w:rsidR="00DB3244" w:rsidRPr="00965801">
        <w:rPr>
          <w:sz w:val="32"/>
          <w:szCs w:val="32"/>
        </w:rPr>
        <w:t xml:space="preserve"> 34 CFR </w:t>
      </w:r>
      <w:r w:rsidRPr="00965801">
        <w:rPr>
          <w:sz w:val="32"/>
          <w:szCs w:val="32"/>
        </w:rPr>
        <w:t xml:space="preserve">361.5(c)(32)(ii) be deleted </w:t>
      </w:r>
      <w:r w:rsidR="00DB3244" w:rsidRPr="00965801">
        <w:rPr>
          <w:sz w:val="32"/>
          <w:szCs w:val="32"/>
        </w:rPr>
        <w:t xml:space="preserve">because </w:t>
      </w:r>
      <w:r w:rsidRPr="00965801">
        <w:rPr>
          <w:sz w:val="32"/>
          <w:szCs w:val="32"/>
        </w:rPr>
        <w:t xml:space="preserve">the legislative definition includes the requirements for employment in an integrated setting.  </w:t>
      </w:r>
    </w:p>
    <w:p w:rsidR="0075493C" w:rsidRPr="00965801" w:rsidRDefault="00A45BE0" w:rsidP="0075493C">
      <w:pPr>
        <w:rPr>
          <w:b/>
          <w:sz w:val="32"/>
          <w:szCs w:val="32"/>
        </w:rPr>
      </w:pPr>
      <w:r w:rsidRPr="00965801">
        <w:rPr>
          <w:b/>
          <w:sz w:val="32"/>
          <w:szCs w:val="32"/>
        </w:rPr>
        <w:t>Issue</w:t>
      </w:r>
      <w:r w:rsidR="009A0285">
        <w:rPr>
          <w:b/>
          <w:sz w:val="32"/>
          <w:szCs w:val="32"/>
        </w:rPr>
        <w:t xml:space="preserve"> 5</w:t>
      </w:r>
      <w:r w:rsidRPr="00965801">
        <w:rPr>
          <w:b/>
          <w:sz w:val="32"/>
          <w:szCs w:val="32"/>
        </w:rPr>
        <w:t xml:space="preserve">:  </w:t>
      </w:r>
      <w:r w:rsidR="0075493C" w:rsidRPr="00965801">
        <w:rPr>
          <w:b/>
          <w:sz w:val="32"/>
          <w:szCs w:val="32"/>
        </w:rPr>
        <w:t xml:space="preserve">Regulatory guidance at 34 CFR 361.17(a) and </w:t>
      </w:r>
      <w:r w:rsidR="00D604C3" w:rsidRPr="00965801">
        <w:rPr>
          <w:b/>
          <w:sz w:val="32"/>
          <w:szCs w:val="32"/>
        </w:rPr>
        <w:t>s</w:t>
      </w:r>
      <w:r w:rsidR="0075493C" w:rsidRPr="00965801">
        <w:rPr>
          <w:b/>
          <w:sz w:val="32"/>
          <w:szCs w:val="32"/>
        </w:rPr>
        <w:t>ub-regulatory guidance in RSA Technical Assistance Circular (TAC) 12-01</w:t>
      </w:r>
      <w:r w:rsidR="00D604C3" w:rsidRPr="00965801">
        <w:rPr>
          <w:b/>
          <w:sz w:val="32"/>
          <w:szCs w:val="32"/>
        </w:rPr>
        <w:t xml:space="preserve"> conflict with governing legislation </w:t>
      </w:r>
    </w:p>
    <w:p w:rsidR="00E272E1" w:rsidRPr="00965801" w:rsidRDefault="0075493C" w:rsidP="0075493C">
      <w:pPr>
        <w:rPr>
          <w:sz w:val="32"/>
          <w:szCs w:val="32"/>
        </w:rPr>
      </w:pPr>
      <w:r w:rsidRPr="00965801">
        <w:rPr>
          <w:sz w:val="32"/>
          <w:szCs w:val="32"/>
        </w:rPr>
        <w:t>Regulatory gu</w:t>
      </w:r>
      <w:r w:rsidR="00B72FB1" w:rsidRPr="00965801">
        <w:rPr>
          <w:sz w:val="32"/>
          <w:szCs w:val="32"/>
        </w:rPr>
        <w:t>idance at 34 CFR 361.17</w:t>
      </w:r>
      <w:r w:rsidRPr="00965801">
        <w:rPr>
          <w:sz w:val="32"/>
          <w:szCs w:val="32"/>
        </w:rPr>
        <w:t>(a) and RSA sub-regulatory guidance issued through Technical Assistance Circular (TAC) 12-1 contains requirements that members of the State Rehabilitation Council, including the Director of the Designated State Unit (DSU)</w:t>
      </w:r>
      <w:r w:rsidR="00110188" w:rsidRPr="00965801">
        <w:rPr>
          <w:sz w:val="32"/>
          <w:szCs w:val="32"/>
        </w:rPr>
        <w:t>,</w:t>
      </w:r>
      <w:r w:rsidRPr="00965801">
        <w:rPr>
          <w:sz w:val="32"/>
          <w:szCs w:val="32"/>
        </w:rPr>
        <w:t xml:space="preserve"> must </w:t>
      </w:r>
      <w:r w:rsidRPr="00965801">
        <w:rPr>
          <w:sz w:val="32"/>
          <w:szCs w:val="32"/>
        </w:rPr>
        <w:lastRenderedPageBreak/>
        <w:t>be appointed by the Governor of a state.  However, the Rehabilitation Act of 1973, as amended, specifies in section 105(b)(2) that “The D</w:t>
      </w:r>
      <w:r w:rsidR="009A0285">
        <w:rPr>
          <w:sz w:val="32"/>
          <w:szCs w:val="32"/>
        </w:rPr>
        <w:t>irector of the DSU shall be an e</w:t>
      </w:r>
      <w:r w:rsidRPr="00965801">
        <w:rPr>
          <w:sz w:val="32"/>
          <w:szCs w:val="32"/>
        </w:rPr>
        <w:t>x</w:t>
      </w:r>
      <w:r w:rsidR="009A0285">
        <w:rPr>
          <w:sz w:val="32"/>
          <w:szCs w:val="32"/>
        </w:rPr>
        <w:t>-</w:t>
      </w:r>
      <w:r w:rsidRPr="00965801">
        <w:rPr>
          <w:sz w:val="32"/>
          <w:szCs w:val="32"/>
        </w:rPr>
        <w:t>officio, nonvoting member of the council</w:t>
      </w:r>
      <w:r w:rsidR="00110188" w:rsidRPr="00965801">
        <w:rPr>
          <w:sz w:val="32"/>
          <w:szCs w:val="32"/>
        </w:rPr>
        <w:t xml:space="preserve">”.   </w:t>
      </w:r>
      <w:r w:rsidR="00B72FB1" w:rsidRPr="00965801">
        <w:rPr>
          <w:sz w:val="32"/>
          <w:szCs w:val="32"/>
        </w:rPr>
        <w:t xml:space="preserve">The regulatory guidance described at 34 CFR 361.19(a) and RSA’s guidance </w:t>
      </w:r>
      <w:r w:rsidR="00110188" w:rsidRPr="00965801">
        <w:rPr>
          <w:sz w:val="32"/>
          <w:szCs w:val="32"/>
        </w:rPr>
        <w:t xml:space="preserve">adds unnecessary administrative burden </w:t>
      </w:r>
      <w:r w:rsidR="00B72FB1" w:rsidRPr="00965801">
        <w:rPr>
          <w:sz w:val="32"/>
          <w:szCs w:val="32"/>
        </w:rPr>
        <w:t>as both require</w:t>
      </w:r>
      <w:r w:rsidR="00110188" w:rsidRPr="00965801">
        <w:rPr>
          <w:sz w:val="32"/>
          <w:szCs w:val="32"/>
        </w:rPr>
        <w:t xml:space="preserve"> DBVI to comply with the Gubernatorial appointment process in Virginia.  </w:t>
      </w:r>
    </w:p>
    <w:p w:rsidR="00110188" w:rsidRPr="00965801" w:rsidRDefault="00965801" w:rsidP="0075493C">
      <w:pPr>
        <w:rPr>
          <w:sz w:val="32"/>
          <w:szCs w:val="32"/>
        </w:rPr>
      </w:pPr>
      <w:r w:rsidRPr="00965801">
        <w:rPr>
          <w:b/>
          <w:sz w:val="32"/>
          <w:szCs w:val="32"/>
        </w:rPr>
        <w:t>Recommendation/</w:t>
      </w:r>
      <w:r w:rsidR="00110188" w:rsidRPr="00965801">
        <w:rPr>
          <w:b/>
          <w:sz w:val="32"/>
          <w:szCs w:val="32"/>
        </w:rPr>
        <w:t>Solution:</w:t>
      </w:r>
      <w:r w:rsidR="00110188" w:rsidRPr="00965801">
        <w:rPr>
          <w:sz w:val="32"/>
          <w:szCs w:val="32"/>
        </w:rPr>
        <w:t xml:space="preserve">  DBVI recommends that RSA recognize</w:t>
      </w:r>
      <w:r w:rsidR="00B72FB1" w:rsidRPr="00965801">
        <w:rPr>
          <w:sz w:val="32"/>
          <w:szCs w:val="32"/>
        </w:rPr>
        <w:t xml:space="preserve"> and provide guidance</w:t>
      </w:r>
      <w:r w:rsidR="00110188" w:rsidRPr="00965801">
        <w:rPr>
          <w:sz w:val="32"/>
          <w:szCs w:val="32"/>
        </w:rPr>
        <w:t xml:space="preserve"> that the Director of the DSU serves as a statutory member of the</w:t>
      </w:r>
      <w:r w:rsidR="00B72FB1" w:rsidRPr="00965801">
        <w:rPr>
          <w:sz w:val="32"/>
          <w:szCs w:val="32"/>
        </w:rPr>
        <w:t xml:space="preserve"> State Rehabilitation Council and that the regulation at 34 CFR 361.17 be replaced with language that is consistent with section 105(b)(2) of the Rehabilitation Act.</w:t>
      </w:r>
    </w:p>
    <w:p w:rsidR="00F71819" w:rsidRPr="00965801" w:rsidRDefault="00514A60" w:rsidP="00F71819">
      <w:pPr>
        <w:rPr>
          <w:rFonts w:cstheme="minorHAnsi"/>
          <w:b/>
          <w:sz w:val="32"/>
          <w:szCs w:val="32"/>
        </w:rPr>
      </w:pPr>
      <w:r w:rsidRPr="00965801">
        <w:rPr>
          <w:rFonts w:eastAsiaTheme="majorEastAsia" w:cstheme="minorHAnsi"/>
          <w:b/>
          <w:sz w:val="32"/>
          <w:szCs w:val="32"/>
        </w:rPr>
        <w:t>ISSUE</w:t>
      </w:r>
      <w:r w:rsidR="00AA5961">
        <w:rPr>
          <w:rFonts w:eastAsiaTheme="majorEastAsia" w:cstheme="minorHAnsi"/>
          <w:b/>
          <w:sz w:val="32"/>
          <w:szCs w:val="32"/>
        </w:rPr>
        <w:t xml:space="preserve"> 6</w:t>
      </w:r>
      <w:r w:rsidRPr="00965801">
        <w:rPr>
          <w:rFonts w:eastAsiaTheme="majorEastAsia" w:cstheme="minorHAnsi"/>
          <w:b/>
          <w:sz w:val="32"/>
          <w:szCs w:val="32"/>
        </w:rPr>
        <w:t>: Policy Directive RSA-PD-16-04 and Reporting Manual for the Case Service Report (RSA-911) (OMB Control Number 1820-0508, June 2017)</w:t>
      </w:r>
      <w:r w:rsidR="00965801" w:rsidRPr="00965801">
        <w:rPr>
          <w:rFonts w:eastAsiaTheme="majorEastAsia" w:cstheme="minorHAnsi"/>
          <w:b/>
          <w:sz w:val="32"/>
          <w:szCs w:val="32"/>
        </w:rPr>
        <w:t xml:space="preserve"> case</w:t>
      </w:r>
      <w:r w:rsidR="00F71819" w:rsidRPr="00965801">
        <w:rPr>
          <w:rFonts w:cstheme="minorHAnsi"/>
          <w:b/>
          <w:sz w:val="32"/>
          <w:szCs w:val="32"/>
        </w:rPr>
        <w:t xml:space="preserve"> </w:t>
      </w:r>
      <w:r w:rsidR="00965801" w:rsidRPr="00965801">
        <w:rPr>
          <w:rFonts w:eastAsiaTheme="majorEastAsia" w:cstheme="minorHAnsi"/>
          <w:b/>
          <w:sz w:val="32"/>
          <w:szCs w:val="32"/>
        </w:rPr>
        <w:t>administrative burden</w:t>
      </w:r>
    </w:p>
    <w:p w:rsidR="00F71819" w:rsidRPr="00965801" w:rsidRDefault="005C24A6" w:rsidP="00F71819">
      <w:pPr>
        <w:rPr>
          <w:sz w:val="32"/>
          <w:szCs w:val="32"/>
        </w:rPr>
      </w:pPr>
      <w:r w:rsidRPr="00965801">
        <w:rPr>
          <w:sz w:val="32"/>
          <w:szCs w:val="32"/>
        </w:rPr>
        <w:t>Q</w:t>
      </w:r>
      <w:r w:rsidR="00081E4D" w:rsidRPr="00965801">
        <w:rPr>
          <w:sz w:val="32"/>
          <w:szCs w:val="32"/>
        </w:rPr>
        <w:t>uarterly r</w:t>
      </w:r>
      <w:r w:rsidR="00F71819" w:rsidRPr="00965801">
        <w:rPr>
          <w:sz w:val="32"/>
          <w:szCs w:val="32"/>
        </w:rPr>
        <w:t>eporting requirements described in the new RSA 911 Case Service Report Manual are u</w:t>
      </w:r>
      <w:r w:rsidR="00F3481E" w:rsidRPr="00965801">
        <w:rPr>
          <w:sz w:val="32"/>
          <w:szCs w:val="32"/>
        </w:rPr>
        <w:t>nduly burdensome for</w:t>
      </w:r>
      <w:r w:rsidR="00965801" w:rsidRPr="00965801">
        <w:rPr>
          <w:sz w:val="32"/>
          <w:szCs w:val="32"/>
        </w:rPr>
        <w:t xml:space="preserve"> states</w:t>
      </w:r>
      <w:r w:rsidR="00F3481E" w:rsidRPr="00965801">
        <w:rPr>
          <w:sz w:val="32"/>
          <w:szCs w:val="32"/>
        </w:rPr>
        <w:t xml:space="preserve">.  </w:t>
      </w:r>
      <w:r w:rsidR="00081E4D" w:rsidRPr="00965801">
        <w:rPr>
          <w:sz w:val="32"/>
          <w:szCs w:val="32"/>
        </w:rPr>
        <w:t>The increase in data elements require</w:t>
      </w:r>
      <w:r w:rsidR="00BB547E" w:rsidRPr="00965801">
        <w:rPr>
          <w:sz w:val="32"/>
          <w:szCs w:val="32"/>
        </w:rPr>
        <w:t>s</w:t>
      </w:r>
      <w:r w:rsidR="00081E4D" w:rsidRPr="00965801">
        <w:rPr>
          <w:sz w:val="32"/>
          <w:szCs w:val="32"/>
        </w:rPr>
        <w:t xml:space="preserve"> additional staff time </w:t>
      </w:r>
      <w:r w:rsidR="00965801" w:rsidRPr="00965801">
        <w:rPr>
          <w:sz w:val="32"/>
          <w:szCs w:val="32"/>
        </w:rPr>
        <w:t xml:space="preserve">for DBVI </w:t>
      </w:r>
      <w:r w:rsidR="00081E4D" w:rsidRPr="00965801">
        <w:rPr>
          <w:sz w:val="32"/>
          <w:szCs w:val="32"/>
        </w:rPr>
        <w:t>to collect and maintain</w:t>
      </w:r>
      <w:r w:rsidRPr="00965801">
        <w:rPr>
          <w:sz w:val="32"/>
          <w:szCs w:val="32"/>
        </w:rPr>
        <w:t xml:space="preserve"> and </w:t>
      </w:r>
      <w:r w:rsidR="00BB547E" w:rsidRPr="00965801">
        <w:rPr>
          <w:sz w:val="32"/>
          <w:szCs w:val="32"/>
        </w:rPr>
        <w:t>state</w:t>
      </w:r>
      <w:r w:rsidRPr="00965801">
        <w:rPr>
          <w:sz w:val="32"/>
          <w:szCs w:val="32"/>
        </w:rPr>
        <w:t>s</w:t>
      </w:r>
      <w:r w:rsidR="00BB547E" w:rsidRPr="00965801">
        <w:rPr>
          <w:sz w:val="32"/>
          <w:szCs w:val="32"/>
        </w:rPr>
        <w:t xml:space="preserve"> will not receive additional funding</w:t>
      </w:r>
      <w:r w:rsidR="00081E4D" w:rsidRPr="00965801">
        <w:rPr>
          <w:sz w:val="32"/>
          <w:szCs w:val="32"/>
        </w:rPr>
        <w:t xml:space="preserve"> to support the increase in</w:t>
      </w:r>
      <w:r w:rsidR="00BB547E" w:rsidRPr="00965801">
        <w:rPr>
          <w:sz w:val="32"/>
          <w:szCs w:val="32"/>
        </w:rPr>
        <w:t xml:space="preserve"> the administrative</w:t>
      </w:r>
      <w:r w:rsidR="00081E4D" w:rsidRPr="00965801">
        <w:rPr>
          <w:sz w:val="32"/>
          <w:szCs w:val="32"/>
        </w:rPr>
        <w:t xml:space="preserve"> workload.  </w:t>
      </w:r>
      <w:r w:rsidR="00BB547E" w:rsidRPr="00965801">
        <w:rPr>
          <w:sz w:val="32"/>
          <w:szCs w:val="32"/>
        </w:rPr>
        <w:t xml:space="preserve">Additionally, this </w:t>
      </w:r>
      <w:r w:rsidR="00081E4D" w:rsidRPr="00965801">
        <w:rPr>
          <w:sz w:val="32"/>
          <w:szCs w:val="32"/>
        </w:rPr>
        <w:t>increase in staff time and resources doesn’t include the time it takes to input data into</w:t>
      </w:r>
      <w:r w:rsidR="00965801" w:rsidRPr="00965801">
        <w:rPr>
          <w:sz w:val="32"/>
          <w:szCs w:val="32"/>
        </w:rPr>
        <w:t xml:space="preserve"> the</w:t>
      </w:r>
      <w:r w:rsidR="00081E4D" w:rsidRPr="00965801">
        <w:rPr>
          <w:sz w:val="32"/>
          <w:szCs w:val="32"/>
        </w:rPr>
        <w:t xml:space="preserve"> DBVI case management system.  In the first year alone, </w:t>
      </w:r>
      <w:r w:rsidR="00BB547E" w:rsidRPr="00965801">
        <w:rPr>
          <w:sz w:val="32"/>
          <w:szCs w:val="32"/>
        </w:rPr>
        <w:t>DBVI staff responsible for the RSA 911 report have spent potentially half of their work time preparing and collecting data for the first quarterly report; DBVI estimates that a full quarter of their time will be spent performing these same functions in years to come.</w:t>
      </w:r>
      <w:r w:rsidRPr="00965801">
        <w:rPr>
          <w:sz w:val="32"/>
          <w:szCs w:val="32"/>
        </w:rPr>
        <w:t xml:space="preserve"> The new requirements, in general, beg the question as to what is the purpose of quarterly reporting and what is the return for </w:t>
      </w:r>
      <w:r w:rsidR="00965801" w:rsidRPr="00965801">
        <w:rPr>
          <w:sz w:val="32"/>
          <w:szCs w:val="32"/>
        </w:rPr>
        <w:t>states?</w:t>
      </w:r>
    </w:p>
    <w:p w:rsidR="00BB547E" w:rsidRPr="00965801" w:rsidRDefault="00965801" w:rsidP="00F71819">
      <w:pPr>
        <w:rPr>
          <w:rFonts w:cstheme="minorHAnsi"/>
          <w:sz w:val="32"/>
          <w:szCs w:val="32"/>
        </w:rPr>
      </w:pPr>
      <w:r w:rsidRPr="00965801">
        <w:rPr>
          <w:b/>
          <w:sz w:val="32"/>
          <w:szCs w:val="32"/>
        </w:rPr>
        <w:lastRenderedPageBreak/>
        <w:t>Recommendation/</w:t>
      </w:r>
      <w:r w:rsidR="00BB547E" w:rsidRPr="00965801">
        <w:rPr>
          <w:b/>
          <w:sz w:val="32"/>
          <w:szCs w:val="32"/>
        </w:rPr>
        <w:t>Solution:  DBVI recommends that RSA</w:t>
      </w:r>
      <w:r w:rsidRPr="00965801">
        <w:rPr>
          <w:b/>
          <w:sz w:val="32"/>
          <w:szCs w:val="32"/>
        </w:rPr>
        <w:t xml:space="preserve"> amend</w:t>
      </w:r>
      <w:r w:rsidR="00BB547E" w:rsidRPr="00965801">
        <w:rPr>
          <w:b/>
          <w:sz w:val="32"/>
          <w:szCs w:val="32"/>
        </w:rPr>
        <w:t xml:space="preserve"> data elements in the latest version </w:t>
      </w:r>
      <w:r w:rsidR="00BB547E" w:rsidRPr="00965801">
        <w:rPr>
          <w:rFonts w:cstheme="minorHAnsi"/>
          <w:b/>
          <w:sz w:val="32"/>
          <w:szCs w:val="32"/>
        </w:rPr>
        <w:t>of the RSA-911 Case Services Reporting Manual to include</w:t>
      </w:r>
      <w:r w:rsidR="00BB547E" w:rsidRPr="00965801">
        <w:rPr>
          <w:rFonts w:cstheme="minorHAnsi"/>
          <w:sz w:val="32"/>
          <w:szCs w:val="32"/>
        </w:rPr>
        <w:t>:</w:t>
      </w:r>
    </w:p>
    <w:p w:rsidR="00BB547E" w:rsidRPr="00965801" w:rsidRDefault="00BB547E" w:rsidP="00BB547E">
      <w:pPr>
        <w:pStyle w:val="ListParagraph"/>
        <w:numPr>
          <w:ilvl w:val="0"/>
          <w:numId w:val="7"/>
        </w:numPr>
        <w:rPr>
          <w:rFonts w:cstheme="minorHAnsi"/>
          <w:b/>
          <w:i/>
          <w:sz w:val="32"/>
          <w:szCs w:val="32"/>
          <w:u w:val="single"/>
        </w:rPr>
      </w:pPr>
      <w:r w:rsidRPr="00965801">
        <w:rPr>
          <w:rFonts w:eastAsiaTheme="minorEastAsia" w:cstheme="minorHAnsi"/>
          <w:b/>
          <w:i/>
          <w:sz w:val="32"/>
          <w:szCs w:val="32"/>
          <w:u w:val="single"/>
        </w:rPr>
        <w:t>Removing</w:t>
      </w:r>
      <w:r w:rsidR="00514A60" w:rsidRPr="00965801">
        <w:rPr>
          <w:rFonts w:eastAsiaTheme="minorEastAsia" w:cstheme="minorHAnsi"/>
          <w:b/>
          <w:i/>
          <w:sz w:val="32"/>
          <w:szCs w:val="32"/>
          <w:u w:val="single"/>
        </w:rPr>
        <w:t xml:space="preserve"> Section XVIII:  Post-Exit Data Elements from the RSA-911 reporting requirements.</w:t>
      </w:r>
    </w:p>
    <w:p w:rsidR="00BB547E" w:rsidRPr="00965801" w:rsidRDefault="00514A60" w:rsidP="00BB547E">
      <w:pPr>
        <w:pStyle w:val="ListParagraph"/>
        <w:numPr>
          <w:ilvl w:val="0"/>
          <w:numId w:val="7"/>
        </w:numPr>
        <w:rPr>
          <w:rFonts w:cstheme="minorHAnsi"/>
          <w:b/>
          <w:i/>
          <w:sz w:val="32"/>
          <w:szCs w:val="32"/>
          <w:u w:val="single"/>
        </w:rPr>
      </w:pPr>
      <w:r w:rsidRPr="00965801">
        <w:rPr>
          <w:rFonts w:eastAsiaTheme="minorEastAsia" w:cstheme="minorHAnsi"/>
          <w:b/>
          <w:i/>
          <w:sz w:val="32"/>
          <w:szCs w:val="32"/>
          <w:u w:val="single"/>
        </w:rPr>
        <w:t>Allow</w:t>
      </w:r>
      <w:r w:rsidR="00BB547E" w:rsidRPr="00965801">
        <w:rPr>
          <w:rFonts w:eastAsiaTheme="minorEastAsia" w:cstheme="minorHAnsi"/>
          <w:b/>
          <w:i/>
          <w:sz w:val="32"/>
          <w:szCs w:val="32"/>
          <w:u w:val="single"/>
        </w:rPr>
        <w:t>ing</w:t>
      </w:r>
      <w:r w:rsidRPr="00965801">
        <w:rPr>
          <w:rFonts w:eastAsiaTheme="minorEastAsia" w:cstheme="minorHAnsi"/>
          <w:b/>
          <w:i/>
          <w:sz w:val="32"/>
          <w:szCs w:val="32"/>
          <w:u w:val="single"/>
        </w:rPr>
        <w:t xml:space="preserve"> all individuals to not sel</w:t>
      </w:r>
      <w:r w:rsidR="00BB547E" w:rsidRPr="00965801">
        <w:rPr>
          <w:rFonts w:eastAsiaTheme="minorEastAsia" w:cstheme="minorHAnsi"/>
          <w:b/>
          <w:i/>
          <w:sz w:val="32"/>
          <w:szCs w:val="32"/>
          <w:u w:val="single"/>
        </w:rPr>
        <w:t>f-identify their race and striking</w:t>
      </w:r>
      <w:r w:rsidRPr="00965801">
        <w:rPr>
          <w:rFonts w:eastAsiaTheme="minorEastAsia" w:cstheme="minorHAnsi"/>
          <w:b/>
          <w:i/>
          <w:sz w:val="32"/>
          <w:szCs w:val="32"/>
          <w:u w:val="single"/>
        </w:rPr>
        <w:t xml:space="preserve"> instructions mandat</w:t>
      </w:r>
      <w:r w:rsidR="00BB547E" w:rsidRPr="00965801">
        <w:rPr>
          <w:rFonts w:eastAsiaTheme="minorEastAsia" w:cstheme="minorHAnsi"/>
          <w:b/>
          <w:i/>
          <w:sz w:val="32"/>
          <w:szCs w:val="32"/>
          <w:u w:val="single"/>
        </w:rPr>
        <w:t>ing staff to identify race</w:t>
      </w:r>
      <w:r w:rsidRPr="00965801">
        <w:rPr>
          <w:rFonts w:eastAsiaTheme="minorEastAsia" w:cstheme="minorHAnsi"/>
          <w:b/>
          <w:i/>
          <w:sz w:val="32"/>
          <w:szCs w:val="32"/>
          <w:u w:val="single"/>
        </w:rPr>
        <w:t xml:space="preserve">. </w:t>
      </w:r>
    </w:p>
    <w:p w:rsidR="00514A60" w:rsidRPr="00965801" w:rsidRDefault="00514A60" w:rsidP="00BB547E">
      <w:pPr>
        <w:pStyle w:val="ListParagraph"/>
        <w:numPr>
          <w:ilvl w:val="0"/>
          <w:numId w:val="7"/>
        </w:numPr>
        <w:rPr>
          <w:rFonts w:cstheme="minorHAnsi"/>
          <w:b/>
          <w:i/>
          <w:sz w:val="32"/>
          <w:szCs w:val="32"/>
          <w:u w:val="single"/>
        </w:rPr>
      </w:pPr>
      <w:r w:rsidRPr="00965801">
        <w:rPr>
          <w:rFonts w:eastAsiaTheme="minorEastAsia" w:cstheme="minorHAnsi"/>
          <w:b/>
          <w:i/>
          <w:sz w:val="32"/>
          <w:szCs w:val="32"/>
          <w:u w:val="single"/>
        </w:rPr>
        <w:t>Remove data elements 64, 67, 69, 70, and 71.</w:t>
      </w:r>
    </w:p>
    <w:p w:rsidR="00514A60" w:rsidRPr="00965801" w:rsidRDefault="00514A60" w:rsidP="00514A60">
      <w:pPr>
        <w:spacing w:after="0" w:line="240" w:lineRule="auto"/>
        <w:rPr>
          <w:rFonts w:ascii="Times New Roman" w:eastAsiaTheme="minorEastAsia" w:hAnsi="Times New Roman" w:cs="Times New Roman"/>
          <w:sz w:val="24"/>
          <w:szCs w:val="24"/>
        </w:rPr>
      </w:pPr>
    </w:p>
    <w:p w:rsidR="00514A60" w:rsidRPr="00965801" w:rsidRDefault="00514A60" w:rsidP="00514A60">
      <w:pPr>
        <w:spacing w:after="0" w:line="240" w:lineRule="auto"/>
        <w:rPr>
          <w:rFonts w:ascii="Times New Roman" w:hAnsi="Times New Roman" w:cs="Times New Roman"/>
          <w:sz w:val="24"/>
          <w:szCs w:val="24"/>
        </w:rPr>
      </w:pPr>
    </w:p>
    <w:p w:rsidR="00A9254C" w:rsidRPr="00965801" w:rsidRDefault="00AA5961" w:rsidP="00E272E1">
      <w:pPr>
        <w:rPr>
          <w:rFonts w:cstheme="minorHAnsi"/>
          <w:b/>
          <w:sz w:val="32"/>
          <w:szCs w:val="32"/>
        </w:rPr>
      </w:pPr>
      <w:proofErr w:type="gramStart"/>
      <w:r>
        <w:rPr>
          <w:rFonts w:cstheme="minorHAnsi"/>
          <w:b/>
          <w:sz w:val="32"/>
          <w:szCs w:val="32"/>
        </w:rPr>
        <w:t>Issue 7</w:t>
      </w:r>
      <w:r w:rsidR="00E272E1" w:rsidRPr="00965801">
        <w:rPr>
          <w:rFonts w:cstheme="minorHAnsi"/>
          <w:b/>
          <w:sz w:val="32"/>
          <w:szCs w:val="32"/>
        </w:rPr>
        <w:t xml:space="preserve">: </w:t>
      </w:r>
      <w:r w:rsidR="00FC7A62" w:rsidRPr="00965801">
        <w:rPr>
          <w:rFonts w:cstheme="minorHAnsi"/>
          <w:b/>
          <w:sz w:val="32"/>
          <w:szCs w:val="32"/>
        </w:rPr>
        <w:t xml:space="preserve"> P</w:t>
      </w:r>
      <w:r w:rsidR="007732BB" w:rsidRPr="00965801">
        <w:rPr>
          <w:rFonts w:cstheme="minorHAnsi"/>
          <w:b/>
          <w:sz w:val="32"/>
          <w:szCs w:val="32"/>
        </w:rPr>
        <w:t>rior approval of administrative costs over $5000</w:t>
      </w:r>
      <w:r w:rsidR="00A9254C" w:rsidRPr="00965801">
        <w:rPr>
          <w:rFonts w:cstheme="minorHAnsi"/>
          <w:b/>
          <w:sz w:val="32"/>
          <w:szCs w:val="32"/>
        </w:rPr>
        <w:t>.</w:t>
      </w:r>
      <w:proofErr w:type="gramEnd"/>
      <w:r w:rsidR="00A9254C" w:rsidRPr="00965801">
        <w:rPr>
          <w:rFonts w:cstheme="minorHAnsi"/>
          <w:b/>
          <w:sz w:val="32"/>
          <w:szCs w:val="32"/>
        </w:rPr>
        <w:t xml:space="preserve">  </w:t>
      </w:r>
    </w:p>
    <w:p w:rsidR="007732BB" w:rsidRPr="00965801" w:rsidRDefault="007732BB" w:rsidP="00E272E1">
      <w:pPr>
        <w:rPr>
          <w:rFonts w:cstheme="minorHAnsi"/>
          <w:sz w:val="32"/>
          <w:szCs w:val="32"/>
        </w:rPr>
      </w:pPr>
      <w:r w:rsidRPr="00965801">
        <w:rPr>
          <w:rFonts w:cstheme="minorHAnsi"/>
          <w:sz w:val="32"/>
          <w:szCs w:val="32"/>
        </w:rPr>
        <w:t>Prior to expiration of EDGAR 34 CFR Part 80, State VR programs were exempt from prior approval requirements included in 2 CFR Part 200.407</w:t>
      </w:r>
      <w:r w:rsidR="00FC7A62" w:rsidRPr="00965801">
        <w:rPr>
          <w:rFonts w:cstheme="minorHAnsi"/>
          <w:sz w:val="32"/>
          <w:szCs w:val="32"/>
        </w:rPr>
        <w:t xml:space="preserve"> (Uniform Administrative Requirements, Cost Principals, and Audit Requirements</w:t>
      </w:r>
      <w:r w:rsidR="00A9254C" w:rsidRPr="00965801">
        <w:rPr>
          <w:rFonts w:cstheme="minorHAnsi"/>
          <w:sz w:val="32"/>
          <w:szCs w:val="32"/>
        </w:rPr>
        <w:t>)</w:t>
      </w:r>
      <w:r w:rsidRPr="00965801">
        <w:rPr>
          <w:rFonts w:cstheme="minorHAnsi"/>
          <w:sz w:val="32"/>
          <w:szCs w:val="32"/>
        </w:rPr>
        <w:t xml:space="preserve">.  </w:t>
      </w:r>
      <w:r w:rsidR="00A9254C" w:rsidRPr="00965801">
        <w:rPr>
          <w:rFonts w:cstheme="minorHAnsi"/>
          <w:sz w:val="32"/>
          <w:szCs w:val="32"/>
        </w:rPr>
        <w:t>Current regulations for the State Vocational Rehabilitation Program described at</w:t>
      </w:r>
      <w:r w:rsidR="00FC7A62" w:rsidRPr="00965801">
        <w:rPr>
          <w:rFonts w:cstheme="minorHAnsi"/>
          <w:sz w:val="32"/>
          <w:szCs w:val="32"/>
        </w:rPr>
        <w:t xml:space="preserve"> 34 CFR 361.4(d)</w:t>
      </w:r>
      <w:r w:rsidR="00A9254C" w:rsidRPr="00965801">
        <w:rPr>
          <w:rFonts w:cstheme="minorHAnsi"/>
          <w:sz w:val="32"/>
          <w:szCs w:val="32"/>
        </w:rPr>
        <w:t xml:space="preserve"> (Applicable regulations)</w:t>
      </w:r>
      <w:r w:rsidR="00FC7A62" w:rsidRPr="00965801">
        <w:rPr>
          <w:rFonts w:cstheme="minorHAnsi"/>
          <w:sz w:val="32"/>
          <w:szCs w:val="32"/>
        </w:rPr>
        <w:t xml:space="preserve"> </w:t>
      </w:r>
      <w:r w:rsidR="00A9254C" w:rsidRPr="00965801">
        <w:rPr>
          <w:rFonts w:cstheme="minorHAnsi"/>
          <w:sz w:val="32"/>
          <w:szCs w:val="32"/>
        </w:rPr>
        <w:t xml:space="preserve">and guidance from </w:t>
      </w:r>
      <w:r w:rsidR="00965801" w:rsidRPr="00965801">
        <w:rPr>
          <w:rFonts w:cstheme="minorHAnsi"/>
          <w:sz w:val="32"/>
          <w:szCs w:val="32"/>
        </w:rPr>
        <w:t xml:space="preserve">RSA, </w:t>
      </w:r>
      <w:r w:rsidR="00FC7A62" w:rsidRPr="00965801">
        <w:rPr>
          <w:rFonts w:cstheme="minorHAnsi"/>
          <w:sz w:val="32"/>
          <w:szCs w:val="32"/>
        </w:rPr>
        <w:t xml:space="preserve">make applicable the requirements under 2 CFR Part 200.407 which </w:t>
      </w:r>
      <w:r w:rsidR="00A9254C" w:rsidRPr="00965801">
        <w:rPr>
          <w:rFonts w:cstheme="minorHAnsi"/>
          <w:sz w:val="32"/>
          <w:szCs w:val="32"/>
        </w:rPr>
        <w:t>places additional administrative burden on State VR Agencies</w:t>
      </w:r>
      <w:r w:rsidR="00FC7A62" w:rsidRPr="00965801">
        <w:rPr>
          <w:rFonts w:cstheme="minorHAnsi"/>
          <w:sz w:val="32"/>
          <w:szCs w:val="32"/>
        </w:rPr>
        <w:t xml:space="preserve">.  An increase in paperwork and potential delays in </w:t>
      </w:r>
      <w:r w:rsidR="00A9254C" w:rsidRPr="00965801">
        <w:rPr>
          <w:rFonts w:cstheme="minorHAnsi"/>
          <w:sz w:val="32"/>
          <w:szCs w:val="32"/>
        </w:rPr>
        <w:t>an agency’s</w:t>
      </w:r>
      <w:r w:rsidR="00FC7A62" w:rsidRPr="00965801">
        <w:rPr>
          <w:rFonts w:cstheme="minorHAnsi"/>
          <w:sz w:val="32"/>
          <w:szCs w:val="32"/>
        </w:rPr>
        <w:t xml:space="preserve"> ability to expend funds without prior approval will res</w:t>
      </w:r>
      <w:r w:rsidR="00A9254C" w:rsidRPr="00965801">
        <w:rPr>
          <w:rFonts w:cstheme="minorHAnsi"/>
          <w:sz w:val="32"/>
          <w:szCs w:val="32"/>
        </w:rPr>
        <w:t>ult in the unintended consequence</w:t>
      </w:r>
      <w:r w:rsidR="00FC7A62" w:rsidRPr="00965801">
        <w:rPr>
          <w:rFonts w:cstheme="minorHAnsi"/>
          <w:sz w:val="32"/>
          <w:szCs w:val="32"/>
        </w:rPr>
        <w:t xml:space="preserve"> of extra and unnecessary</w:t>
      </w:r>
      <w:r w:rsidR="00A9254C" w:rsidRPr="00965801">
        <w:rPr>
          <w:rFonts w:cstheme="minorHAnsi"/>
          <w:sz w:val="32"/>
          <w:szCs w:val="32"/>
        </w:rPr>
        <w:t xml:space="preserve"> administrative</w:t>
      </w:r>
      <w:r w:rsidR="00FC7A62" w:rsidRPr="00965801">
        <w:rPr>
          <w:rFonts w:cstheme="minorHAnsi"/>
          <w:sz w:val="32"/>
          <w:szCs w:val="32"/>
        </w:rPr>
        <w:t xml:space="preserve"> burden. </w:t>
      </w:r>
    </w:p>
    <w:p w:rsidR="00E272E1" w:rsidRPr="00965801" w:rsidRDefault="00965801" w:rsidP="00E272E1">
      <w:pPr>
        <w:spacing w:after="0" w:line="240" w:lineRule="auto"/>
        <w:rPr>
          <w:rFonts w:cstheme="minorHAnsi"/>
          <w:sz w:val="32"/>
          <w:szCs w:val="32"/>
        </w:rPr>
      </w:pPr>
      <w:r w:rsidRPr="00965801">
        <w:rPr>
          <w:rFonts w:cstheme="minorHAnsi"/>
          <w:b/>
          <w:bCs/>
          <w:sz w:val="32"/>
          <w:szCs w:val="32"/>
        </w:rPr>
        <w:t>Recommendation/</w:t>
      </w:r>
      <w:r w:rsidR="007732BB" w:rsidRPr="00965801">
        <w:rPr>
          <w:rFonts w:cstheme="minorHAnsi"/>
          <w:b/>
          <w:bCs/>
          <w:sz w:val="32"/>
          <w:szCs w:val="32"/>
        </w:rPr>
        <w:t>Solution:</w:t>
      </w:r>
      <w:r w:rsidR="007732BB" w:rsidRPr="00965801">
        <w:rPr>
          <w:rFonts w:cstheme="minorHAnsi"/>
          <w:bCs/>
          <w:sz w:val="32"/>
          <w:szCs w:val="32"/>
        </w:rPr>
        <w:t xml:space="preserve">  DBVI suggests that the Department of Education seek exemption to Uniform Administrative Regulations</w:t>
      </w:r>
      <w:r w:rsidR="00A9254C" w:rsidRPr="00965801">
        <w:rPr>
          <w:rFonts w:cstheme="minorHAnsi"/>
          <w:bCs/>
          <w:sz w:val="32"/>
          <w:szCs w:val="32"/>
        </w:rPr>
        <w:t xml:space="preserve"> for the State VR Program </w:t>
      </w:r>
      <w:r w:rsidR="00FC7A62" w:rsidRPr="00965801">
        <w:rPr>
          <w:rFonts w:cstheme="minorHAnsi"/>
          <w:bCs/>
          <w:sz w:val="32"/>
          <w:szCs w:val="32"/>
        </w:rPr>
        <w:t xml:space="preserve">as a means of decreasing administrative burden.  </w:t>
      </w:r>
    </w:p>
    <w:p w:rsidR="00514A60" w:rsidRPr="00965801" w:rsidRDefault="00514A60" w:rsidP="00E272E1">
      <w:pPr>
        <w:rPr>
          <w:sz w:val="32"/>
          <w:szCs w:val="32"/>
        </w:rPr>
      </w:pPr>
    </w:p>
    <w:p w:rsidR="0040167A" w:rsidRPr="00965801" w:rsidRDefault="0040167A" w:rsidP="00D66DCE">
      <w:pPr>
        <w:pStyle w:val="ListParagraph"/>
        <w:jc w:val="right"/>
        <w:rPr>
          <w:sz w:val="32"/>
          <w:szCs w:val="32"/>
        </w:rPr>
      </w:pPr>
    </w:p>
    <w:p w:rsidR="0040167A" w:rsidRPr="0040167A" w:rsidRDefault="0040167A" w:rsidP="0040167A">
      <w:pPr>
        <w:rPr>
          <w:sz w:val="32"/>
          <w:szCs w:val="32"/>
        </w:rPr>
      </w:pPr>
    </w:p>
    <w:p w:rsidR="00437256" w:rsidRDefault="00437256" w:rsidP="00433DFA">
      <w:pPr>
        <w:rPr>
          <w:sz w:val="32"/>
          <w:szCs w:val="32"/>
        </w:rPr>
      </w:pPr>
    </w:p>
    <w:p w:rsidR="00437256" w:rsidRDefault="00437256" w:rsidP="00433DFA">
      <w:pPr>
        <w:rPr>
          <w:sz w:val="32"/>
          <w:szCs w:val="32"/>
        </w:rPr>
      </w:pPr>
    </w:p>
    <w:p w:rsidR="00437256" w:rsidRPr="00433DFA" w:rsidRDefault="00437256" w:rsidP="00433DFA">
      <w:pPr>
        <w:rPr>
          <w:sz w:val="32"/>
          <w:szCs w:val="32"/>
        </w:rPr>
      </w:pPr>
    </w:p>
    <w:sectPr w:rsidR="00437256" w:rsidRPr="00433D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2E1" w:rsidRDefault="00E272E1" w:rsidP="00E272E1">
      <w:pPr>
        <w:spacing w:after="0" w:line="240" w:lineRule="auto"/>
      </w:pPr>
      <w:r>
        <w:separator/>
      </w:r>
    </w:p>
  </w:endnote>
  <w:endnote w:type="continuationSeparator" w:id="0">
    <w:p w:rsidR="00E272E1" w:rsidRDefault="00E272E1" w:rsidP="00E2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052539"/>
      <w:docPartObj>
        <w:docPartGallery w:val="Page Numbers (Bottom of Page)"/>
        <w:docPartUnique/>
      </w:docPartObj>
    </w:sdtPr>
    <w:sdtEndPr>
      <w:rPr>
        <w:noProof/>
      </w:rPr>
    </w:sdtEndPr>
    <w:sdtContent>
      <w:p w:rsidR="00EF4AFD" w:rsidRDefault="00EF4AFD">
        <w:pPr>
          <w:pStyle w:val="Footer"/>
          <w:jc w:val="right"/>
        </w:pPr>
        <w:r>
          <w:fldChar w:fldCharType="begin"/>
        </w:r>
        <w:r>
          <w:instrText xml:space="preserve"> PAGE   \* MERGEFORMAT </w:instrText>
        </w:r>
        <w:r>
          <w:fldChar w:fldCharType="separate"/>
        </w:r>
        <w:r w:rsidR="00D66DCE">
          <w:rPr>
            <w:noProof/>
          </w:rPr>
          <w:t>1</w:t>
        </w:r>
        <w:r>
          <w:rPr>
            <w:noProof/>
          </w:rPr>
          <w:fldChar w:fldCharType="end"/>
        </w:r>
      </w:p>
    </w:sdtContent>
  </w:sdt>
  <w:p w:rsidR="00EF4AFD" w:rsidRDefault="00EF4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2E1" w:rsidRDefault="00E272E1" w:rsidP="00E272E1">
      <w:pPr>
        <w:spacing w:after="0" w:line="240" w:lineRule="auto"/>
      </w:pPr>
      <w:r>
        <w:separator/>
      </w:r>
    </w:p>
  </w:footnote>
  <w:footnote w:type="continuationSeparator" w:id="0">
    <w:p w:rsidR="00E272E1" w:rsidRDefault="00E272E1" w:rsidP="00E27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2E1" w:rsidRDefault="00EF4AFD">
    <w:pPr>
      <w:pStyle w:val="Header"/>
    </w:pPr>
    <w:r>
      <w:t>Policy, Planning, Evaluation Unit</w:t>
    </w:r>
  </w:p>
  <w:p w:rsidR="00EF4AFD" w:rsidRDefault="00EF4AFD">
    <w:pPr>
      <w:pStyle w:val="Header"/>
    </w:pPr>
    <w:r>
      <w:t>SDP</w:t>
    </w:r>
  </w:p>
  <w:p w:rsidR="00EF4AFD" w:rsidRDefault="00EF4AFD">
    <w:pPr>
      <w:pStyle w:val="Header"/>
    </w:pPr>
    <w:r>
      <w:t>9/19/2017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928A8"/>
    <w:multiLevelType w:val="hybridMultilevel"/>
    <w:tmpl w:val="7C14A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2E66EF"/>
    <w:multiLevelType w:val="hybridMultilevel"/>
    <w:tmpl w:val="320C5EBA"/>
    <w:lvl w:ilvl="0" w:tplc="4E3CC69E">
      <w:start w:val="202"/>
      <w:numFmt w:val="bullet"/>
      <w:lvlText w:val=""/>
      <w:lvlJc w:val="left"/>
      <w:pPr>
        <w:ind w:left="720" w:hanging="360"/>
      </w:pPr>
      <w:rPr>
        <w:rFonts w:ascii="Symbol" w:hAnsi="Symbol" w:cs="Times New Roman"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6332FF5"/>
    <w:multiLevelType w:val="hybridMultilevel"/>
    <w:tmpl w:val="E71804B2"/>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2F6F6F74"/>
    <w:multiLevelType w:val="hybridMultilevel"/>
    <w:tmpl w:val="1158BD7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nsid w:val="58034151"/>
    <w:multiLevelType w:val="hybridMultilevel"/>
    <w:tmpl w:val="2D8EE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8E6B51"/>
    <w:multiLevelType w:val="hybridMultilevel"/>
    <w:tmpl w:val="B516A2A6"/>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6">
    <w:nsid w:val="6E9776EA"/>
    <w:multiLevelType w:val="hybridMultilevel"/>
    <w:tmpl w:val="BD82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FA"/>
    <w:rsid w:val="0000599E"/>
    <w:rsid w:val="000638CE"/>
    <w:rsid w:val="00081E4D"/>
    <w:rsid w:val="000C5FE4"/>
    <w:rsid w:val="000F1313"/>
    <w:rsid w:val="00110188"/>
    <w:rsid w:val="001357D7"/>
    <w:rsid w:val="001C4BEA"/>
    <w:rsid w:val="0022400E"/>
    <w:rsid w:val="002471C1"/>
    <w:rsid w:val="003109EE"/>
    <w:rsid w:val="003917C1"/>
    <w:rsid w:val="003E2C28"/>
    <w:rsid w:val="0040167A"/>
    <w:rsid w:val="00433DFA"/>
    <w:rsid w:val="00437256"/>
    <w:rsid w:val="00482330"/>
    <w:rsid w:val="004E392D"/>
    <w:rsid w:val="00514A60"/>
    <w:rsid w:val="005C24A6"/>
    <w:rsid w:val="005F5DE7"/>
    <w:rsid w:val="005F63ED"/>
    <w:rsid w:val="00656AAE"/>
    <w:rsid w:val="00693714"/>
    <w:rsid w:val="00697689"/>
    <w:rsid w:val="007170D4"/>
    <w:rsid w:val="0072692F"/>
    <w:rsid w:val="0075493C"/>
    <w:rsid w:val="00772C38"/>
    <w:rsid w:val="007732BB"/>
    <w:rsid w:val="007F55F9"/>
    <w:rsid w:val="00856C89"/>
    <w:rsid w:val="00965801"/>
    <w:rsid w:val="009970C3"/>
    <w:rsid w:val="009A0285"/>
    <w:rsid w:val="009A42F1"/>
    <w:rsid w:val="009F0510"/>
    <w:rsid w:val="00A45BE0"/>
    <w:rsid w:val="00A9254C"/>
    <w:rsid w:val="00AA5961"/>
    <w:rsid w:val="00B275FE"/>
    <w:rsid w:val="00B414C2"/>
    <w:rsid w:val="00B72FB1"/>
    <w:rsid w:val="00BB547E"/>
    <w:rsid w:val="00C21FEC"/>
    <w:rsid w:val="00CA494A"/>
    <w:rsid w:val="00CD4C0F"/>
    <w:rsid w:val="00CE45D7"/>
    <w:rsid w:val="00D340D0"/>
    <w:rsid w:val="00D555F6"/>
    <w:rsid w:val="00D604C3"/>
    <w:rsid w:val="00D66DCE"/>
    <w:rsid w:val="00D7489A"/>
    <w:rsid w:val="00DB3244"/>
    <w:rsid w:val="00DD6174"/>
    <w:rsid w:val="00E272E1"/>
    <w:rsid w:val="00E741E3"/>
    <w:rsid w:val="00EF4AFD"/>
    <w:rsid w:val="00F24794"/>
    <w:rsid w:val="00F3481E"/>
    <w:rsid w:val="00F71819"/>
    <w:rsid w:val="00F92E11"/>
    <w:rsid w:val="00FC7A62"/>
    <w:rsid w:val="00FD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56"/>
    <w:pPr>
      <w:ind w:left="720"/>
      <w:contextualSpacing/>
    </w:pPr>
  </w:style>
  <w:style w:type="paragraph" w:styleId="Header">
    <w:name w:val="header"/>
    <w:basedOn w:val="Normal"/>
    <w:link w:val="HeaderChar"/>
    <w:uiPriority w:val="99"/>
    <w:unhideWhenUsed/>
    <w:rsid w:val="00E2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E1"/>
  </w:style>
  <w:style w:type="paragraph" w:styleId="Footer">
    <w:name w:val="footer"/>
    <w:basedOn w:val="Normal"/>
    <w:link w:val="FooterChar"/>
    <w:uiPriority w:val="99"/>
    <w:unhideWhenUsed/>
    <w:rsid w:val="00E2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E1"/>
  </w:style>
  <w:style w:type="paragraph" w:styleId="NoSpacing">
    <w:name w:val="No Spacing"/>
    <w:uiPriority w:val="1"/>
    <w:qFormat/>
    <w:rsid w:val="00E272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256"/>
    <w:pPr>
      <w:ind w:left="720"/>
      <w:contextualSpacing/>
    </w:pPr>
  </w:style>
  <w:style w:type="paragraph" w:styleId="Header">
    <w:name w:val="header"/>
    <w:basedOn w:val="Normal"/>
    <w:link w:val="HeaderChar"/>
    <w:uiPriority w:val="99"/>
    <w:unhideWhenUsed/>
    <w:rsid w:val="00E2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2E1"/>
  </w:style>
  <w:style w:type="paragraph" w:styleId="Footer">
    <w:name w:val="footer"/>
    <w:basedOn w:val="Normal"/>
    <w:link w:val="FooterChar"/>
    <w:uiPriority w:val="99"/>
    <w:unhideWhenUsed/>
    <w:rsid w:val="00E2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2E1"/>
  </w:style>
  <w:style w:type="paragraph" w:styleId="NoSpacing">
    <w:name w:val="No Spacing"/>
    <w:uiPriority w:val="1"/>
    <w:qFormat/>
    <w:rsid w:val="00E272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7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1678</Words>
  <Characters>9770</Characters>
  <Application>Microsoft Office Word</Application>
  <DocSecurity>0</DocSecurity>
  <Lines>195</Lines>
  <Paragraphs>37</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dch63445</dc:creator>
  <cp:lastModifiedBy>dch63445</cp:lastModifiedBy>
  <cp:revision>2</cp:revision>
  <dcterms:created xsi:type="dcterms:W3CDTF">2017-09-18T17:43:00Z</dcterms:created>
  <dcterms:modified xsi:type="dcterms:W3CDTF">2017-09-18T17:43:00Z</dcterms:modified>
</cp:coreProperties>
</file>