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312" w:rsidRDefault="00D65312" w:rsidP="00175845">
      <w:pPr>
        <w:pStyle w:val="NormalWeb"/>
        <w:shd w:val="clear" w:color="auto" w:fill="FFFFFF"/>
        <w:spacing w:before="0" w:beforeAutospacing="0" w:after="0" w:afterAutospacing="0"/>
        <w:rPr>
          <w:rFonts w:ascii="Arial" w:hAnsi="Arial" w:cs="Arial"/>
          <w:color w:val="505050"/>
          <w:sz w:val="21"/>
          <w:szCs w:val="21"/>
          <w:shd w:val="clear" w:color="auto" w:fill="FFFFFF"/>
        </w:rPr>
      </w:pPr>
      <w:r w:rsidRPr="00222F3B">
        <w:rPr>
          <w:rFonts w:ascii="Arial" w:hAnsi="Arial" w:cs="Arial"/>
          <w:color w:val="505050"/>
          <w:sz w:val="21"/>
          <w:szCs w:val="21"/>
        </w:rPr>
        <w:t>Docket ED-2017-OS-0074-0001.</w:t>
      </w:r>
      <w:r w:rsidRPr="00222F3B">
        <w:rPr>
          <w:rFonts w:ascii="Arial" w:hAnsi="Arial" w:cs="Arial"/>
          <w:color w:val="505050"/>
          <w:sz w:val="21"/>
          <w:szCs w:val="21"/>
        </w:rPr>
        <w:br/>
      </w:r>
    </w:p>
    <w:p w:rsidR="00F70DB2" w:rsidRDefault="00F70DB2">
      <w:pPr>
        <w:rPr>
          <w:rFonts w:ascii="Arial" w:hAnsi="Arial" w:cs="Arial"/>
          <w:color w:val="505050"/>
          <w:sz w:val="21"/>
          <w:szCs w:val="21"/>
          <w:shd w:val="clear" w:color="auto" w:fill="FFFFFF"/>
        </w:rPr>
      </w:pPr>
      <w:r>
        <w:rPr>
          <w:rFonts w:ascii="Arial" w:hAnsi="Arial" w:cs="Arial"/>
          <w:color w:val="505050"/>
          <w:sz w:val="21"/>
          <w:szCs w:val="21"/>
          <w:shd w:val="clear" w:color="auto" w:fill="FFFFFF"/>
        </w:rPr>
        <w:t xml:space="preserve">Hilary </w:t>
      </w:r>
      <w:proofErr w:type="spellStart"/>
      <w:r>
        <w:rPr>
          <w:rFonts w:ascii="Arial" w:hAnsi="Arial" w:cs="Arial"/>
          <w:color w:val="505050"/>
          <w:sz w:val="21"/>
          <w:szCs w:val="21"/>
          <w:shd w:val="clear" w:color="auto" w:fill="FFFFFF"/>
        </w:rPr>
        <w:t>Malawer</w:t>
      </w:r>
      <w:proofErr w:type="spellEnd"/>
      <w:r>
        <w:rPr>
          <w:rFonts w:ascii="Arial" w:hAnsi="Arial" w:cs="Arial"/>
          <w:color w:val="505050"/>
          <w:sz w:val="21"/>
          <w:szCs w:val="21"/>
          <w:shd w:val="clear" w:color="auto" w:fill="FFFFFF"/>
        </w:rPr>
        <w:t>, Esq.</w:t>
      </w:r>
      <w:r>
        <w:rPr>
          <w:rFonts w:ascii="Arial" w:hAnsi="Arial" w:cs="Arial"/>
          <w:color w:val="505050"/>
          <w:sz w:val="21"/>
          <w:szCs w:val="21"/>
        </w:rPr>
        <w:br/>
      </w:r>
      <w:r>
        <w:rPr>
          <w:rFonts w:ascii="Arial" w:hAnsi="Arial" w:cs="Arial"/>
          <w:color w:val="505050"/>
          <w:sz w:val="21"/>
          <w:szCs w:val="21"/>
          <w:shd w:val="clear" w:color="auto" w:fill="FFFFFF"/>
        </w:rPr>
        <w:t>Assistant General Counsel</w:t>
      </w:r>
      <w:r>
        <w:rPr>
          <w:rFonts w:ascii="Arial" w:hAnsi="Arial" w:cs="Arial"/>
          <w:color w:val="505050"/>
          <w:sz w:val="21"/>
          <w:szCs w:val="21"/>
        </w:rPr>
        <w:br/>
      </w:r>
      <w:r>
        <w:rPr>
          <w:rFonts w:ascii="Arial" w:hAnsi="Arial" w:cs="Arial"/>
          <w:color w:val="505050"/>
          <w:sz w:val="21"/>
          <w:szCs w:val="21"/>
          <w:shd w:val="clear" w:color="auto" w:fill="FFFFFF"/>
        </w:rPr>
        <w:t>Office of the General Counsel</w:t>
      </w:r>
      <w:r>
        <w:rPr>
          <w:rFonts w:ascii="Arial" w:hAnsi="Arial" w:cs="Arial"/>
          <w:color w:val="505050"/>
          <w:sz w:val="21"/>
          <w:szCs w:val="21"/>
        </w:rPr>
        <w:br/>
      </w:r>
      <w:r>
        <w:rPr>
          <w:rFonts w:ascii="Arial" w:hAnsi="Arial" w:cs="Arial"/>
          <w:color w:val="505050"/>
          <w:sz w:val="21"/>
          <w:szCs w:val="21"/>
          <w:shd w:val="clear" w:color="auto" w:fill="FFFFFF"/>
        </w:rPr>
        <w:t>United States Department of Education</w:t>
      </w:r>
      <w:r>
        <w:rPr>
          <w:rFonts w:ascii="Arial" w:hAnsi="Arial" w:cs="Arial"/>
          <w:color w:val="505050"/>
          <w:sz w:val="21"/>
          <w:szCs w:val="21"/>
        </w:rPr>
        <w:br/>
      </w:r>
      <w:hyperlink r:id="rId6" w:history="1">
        <w:r>
          <w:rPr>
            <w:rStyle w:val="Hyperlink"/>
            <w:rFonts w:ascii="Arial" w:hAnsi="Arial" w:cs="Arial"/>
            <w:color w:val="336699"/>
            <w:sz w:val="21"/>
            <w:szCs w:val="21"/>
            <w:shd w:val="clear" w:color="auto" w:fill="FFFFFF"/>
          </w:rPr>
          <w:t>400 Maryland Avenue, SW</w:t>
        </w:r>
      </w:hyperlink>
      <w:r>
        <w:rPr>
          <w:rFonts w:ascii="Arial" w:hAnsi="Arial" w:cs="Arial"/>
          <w:color w:val="505050"/>
          <w:sz w:val="21"/>
          <w:szCs w:val="21"/>
        </w:rPr>
        <w:br/>
      </w:r>
      <w:r>
        <w:rPr>
          <w:rFonts w:ascii="Arial" w:hAnsi="Arial" w:cs="Arial"/>
          <w:color w:val="505050"/>
          <w:sz w:val="21"/>
          <w:szCs w:val="21"/>
          <w:shd w:val="clear" w:color="auto" w:fill="FFFFFF"/>
        </w:rPr>
        <w:t>Room 6E231</w:t>
      </w:r>
      <w:r>
        <w:rPr>
          <w:rFonts w:ascii="Arial" w:hAnsi="Arial" w:cs="Arial"/>
          <w:color w:val="505050"/>
          <w:sz w:val="21"/>
          <w:szCs w:val="21"/>
        </w:rPr>
        <w:br/>
      </w:r>
      <w:r>
        <w:rPr>
          <w:rFonts w:ascii="Arial" w:hAnsi="Arial" w:cs="Arial"/>
          <w:color w:val="505050"/>
          <w:sz w:val="21"/>
          <w:szCs w:val="21"/>
          <w:shd w:val="clear" w:color="auto" w:fill="FFFFFF"/>
        </w:rPr>
        <w:t>Washington, DC 20202</w:t>
      </w:r>
    </w:p>
    <w:p w:rsidR="00D65312" w:rsidRDefault="00D65312" w:rsidP="00D6531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shd w:val="clear" w:color="auto" w:fill="FFFFFF"/>
        </w:rPr>
        <w:t>As called out in Executive Order 13777</w:t>
      </w:r>
      <w:r>
        <w:rPr>
          <w:rFonts w:ascii="Helvetica" w:hAnsi="Helvetica" w:cs="Helvetica"/>
          <w:color w:val="333333"/>
          <w:sz w:val="21"/>
          <w:szCs w:val="21"/>
          <w:shd w:val="clear" w:color="auto" w:fill="FFFFFF"/>
        </w:rPr>
        <w:t xml:space="preserve"> a</w:t>
      </w:r>
      <w:r>
        <w:rPr>
          <w:rFonts w:ascii="Helvetica" w:hAnsi="Helvetica" w:cs="Helvetica"/>
          <w:color w:val="333333"/>
          <w:sz w:val="21"/>
          <w:szCs w:val="21"/>
          <w:shd w:val="clear" w:color="auto" w:fill="FFFFFF"/>
        </w:rPr>
        <w:t>ttempts are to be made to identify regulations that</w:t>
      </w:r>
    </w:p>
    <w:p w:rsidR="00D65312" w:rsidRDefault="00D65312" w:rsidP="00D6531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t>
      </w:r>
      <w:proofErr w:type="gramStart"/>
      <w:r>
        <w:rPr>
          <w:rFonts w:ascii="Helvetica" w:hAnsi="Helvetica" w:cs="Helvetica"/>
          <w:color w:val="333333"/>
          <w:sz w:val="21"/>
          <w:szCs w:val="21"/>
        </w:rPr>
        <w:t>i</w:t>
      </w:r>
      <w:proofErr w:type="gramEnd"/>
      <w:r>
        <w:rPr>
          <w:rFonts w:ascii="Helvetica" w:hAnsi="Helvetica" w:cs="Helvetica"/>
          <w:color w:val="333333"/>
          <w:sz w:val="21"/>
          <w:szCs w:val="21"/>
        </w:rPr>
        <w:t>) Eliminate jobs, or inhibit job creation;</w:t>
      </w:r>
    </w:p>
    <w:p w:rsidR="00D65312" w:rsidRDefault="00D65312" w:rsidP="00D6531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(ii) Are outdated, unnecessary, or ineffective;</w:t>
      </w:r>
    </w:p>
    <w:p w:rsidR="00D65312" w:rsidRDefault="00D65312" w:rsidP="00D6531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(iii) Impose costs that exceed benefits;</w:t>
      </w:r>
    </w:p>
    <w:p w:rsidR="00D65312" w:rsidRDefault="00D65312" w:rsidP="00D65312">
      <w:pPr>
        <w:pStyle w:val="NormalWeb"/>
        <w:shd w:val="clear" w:color="auto" w:fill="FFFFFF"/>
        <w:spacing w:before="0" w:beforeAutospacing="0" w:after="0" w:afterAutospacing="0"/>
        <w:rPr>
          <w:rFonts w:ascii="Helvetica" w:hAnsi="Helvetica" w:cs="Helvetica"/>
          <w:color w:val="333333"/>
          <w:sz w:val="21"/>
          <w:szCs w:val="21"/>
        </w:rPr>
      </w:pPr>
      <w:proofErr w:type="gramStart"/>
      <w:r>
        <w:rPr>
          <w:rFonts w:ascii="Helvetica" w:hAnsi="Helvetica" w:cs="Helvetica"/>
          <w:color w:val="333333"/>
          <w:sz w:val="21"/>
          <w:szCs w:val="21"/>
        </w:rPr>
        <w:t>(iv) Create</w:t>
      </w:r>
      <w:proofErr w:type="gramEnd"/>
      <w:r>
        <w:rPr>
          <w:rFonts w:ascii="Helvetica" w:hAnsi="Helvetica" w:cs="Helvetica"/>
          <w:color w:val="333333"/>
          <w:sz w:val="21"/>
          <w:szCs w:val="21"/>
        </w:rPr>
        <w:t xml:space="preserve"> a serious inconsistency or otherwise interfere with regulatory reform initiatives and policies</w:t>
      </w:r>
    </w:p>
    <w:p w:rsidR="00D65312" w:rsidRDefault="00D65312" w:rsidP="00D65312">
      <w:pPr>
        <w:pStyle w:val="NormalWeb"/>
        <w:shd w:val="clear" w:color="auto" w:fill="FFFFFF"/>
        <w:spacing w:before="0" w:beforeAutospacing="0" w:after="0" w:afterAutospacing="0"/>
        <w:rPr>
          <w:rFonts w:ascii="Helvetica" w:hAnsi="Helvetica" w:cs="Helvetica"/>
          <w:color w:val="333333"/>
          <w:sz w:val="21"/>
          <w:szCs w:val="21"/>
        </w:rPr>
      </w:pPr>
    </w:p>
    <w:p w:rsidR="00D65312" w:rsidRDefault="00175845" w:rsidP="00D6531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As a person who has worked in Vocational Rehabilitation for the past 35 years and current chair of the State Rehabilitation Counsel, </w:t>
      </w:r>
      <w:r w:rsidR="00D65312">
        <w:rPr>
          <w:rFonts w:ascii="Helvetica" w:hAnsi="Helvetica" w:cs="Helvetica"/>
          <w:color w:val="333333"/>
          <w:sz w:val="21"/>
          <w:szCs w:val="21"/>
        </w:rPr>
        <w:t>WIOA guidance has such regulations</w:t>
      </w:r>
      <w:r w:rsidR="00D65312">
        <w:rPr>
          <w:rFonts w:ascii="Helvetica" w:hAnsi="Helvetica" w:cs="Helvetica"/>
          <w:color w:val="333333"/>
          <w:sz w:val="21"/>
          <w:szCs w:val="21"/>
        </w:rPr>
        <w:t xml:space="preserve"> and requires immediate action</w:t>
      </w:r>
      <w:r w:rsidR="00D65312">
        <w:rPr>
          <w:rFonts w:ascii="Helvetica" w:hAnsi="Helvetica" w:cs="Helvetica"/>
          <w:color w:val="333333"/>
          <w:sz w:val="21"/>
          <w:szCs w:val="21"/>
        </w:rPr>
        <w:t xml:space="preserve">.  </w:t>
      </w:r>
    </w:p>
    <w:p w:rsidR="00F70DB2" w:rsidRDefault="00F70DB2" w:rsidP="00F70DB2">
      <w:pPr>
        <w:shd w:val="clear" w:color="auto" w:fill="FFFFFF"/>
        <w:spacing w:before="100" w:beforeAutospacing="1" w:after="100" w:afterAutospacing="1" w:line="240" w:lineRule="auto"/>
        <w:rPr>
          <w:rFonts w:ascii="Arial" w:eastAsia="Times New Roman" w:hAnsi="Arial" w:cs="Arial"/>
          <w:color w:val="505050"/>
          <w:sz w:val="21"/>
          <w:szCs w:val="21"/>
        </w:rPr>
      </w:pPr>
      <w:r w:rsidRPr="00304C35">
        <w:rPr>
          <w:rFonts w:ascii="Arial" w:eastAsia="Times New Roman" w:hAnsi="Arial" w:cs="Arial"/>
          <w:color w:val="505050"/>
          <w:sz w:val="21"/>
          <w:szCs w:val="21"/>
        </w:rPr>
        <w:t>In both the definition of “competitive integrated employment” (CIE) and the definition of “integrated setting” (34 CFR §361.5(c</w:t>
      </w:r>
      <w:proofErr w:type="gramStart"/>
      <w:r w:rsidRPr="00304C35">
        <w:rPr>
          <w:rFonts w:ascii="Arial" w:eastAsia="Times New Roman" w:hAnsi="Arial" w:cs="Arial"/>
          <w:color w:val="505050"/>
          <w:sz w:val="21"/>
          <w:szCs w:val="21"/>
        </w:rPr>
        <w:t>)(</w:t>
      </w:r>
      <w:proofErr w:type="gramEnd"/>
      <w:r w:rsidRPr="00304C35">
        <w:rPr>
          <w:rFonts w:ascii="Arial" w:eastAsia="Times New Roman" w:hAnsi="Arial" w:cs="Arial"/>
          <w:color w:val="505050"/>
          <w:sz w:val="21"/>
          <w:szCs w:val="21"/>
        </w:rPr>
        <w:t>32)), the Department describes integration occurring at the “work unit” level.  This language is not found in the WIOA statute</w:t>
      </w:r>
      <w:r w:rsidR="00D65312">
        <w:rPr>
          <w:rFonts w:ascii="Arial" w:eastAsia="Times New Roman" w:hAnsi="Arial" w:cs="Arial"/>
          <w:color w:val="505050"/>
          <w:sz w:val="21"/>
          <w:szCs w:val="21"/>
        </w:rPr>
        <w:t xml:space="preserve"> and was “</w:t>
      </w:r>
      <w:r w:rsidRPr="00304C35">
        <w:rPr>
          <w:rFonts w:ascii="Arial" w:eastAsia="Times New Roman" w:hAnsi="Arial" w:cs="Arial"/>
          <w:color w:val="505050"/>
          <w:sz w:val="21"/>
          <w:szCs w:val="21"/>
        </w:rPr>
        <w:t>made up</w:t>
      </w:r>
      <w:r w:rsidR="00D65312">
        <w:rPr>
          <w:rFonts w:ascii="Arial" w:eastAsia="Times New Roman" w:hAnsi="Arial" w:cs="Arial"/>
          <w:color w:val="505050"/>
          <w:sz w:val="21"/>
          <w:szCs w:val="21"/>
        </w:rPr>
        <w:t>”</w:t>
      </w:r>
      <w:r w:rsidRPr="00304C35">
        <w:rPr>
          <w:rFonts w:ascii="Arial" w:eastAsia="Times New Roman" w:hAnsi="Arial" w:cs="Arial"/>
          <w:color w:val="505050"/>
          <w:sz w:val="21"/>
          <w:szCs w:val="21"/>
        </w:rPr>
        <w:t xml:space="preserve"> in the regulatory process.   Defining integration as occurring at the “work unit” level is job limiting and </w:t>
      </w:r>
      <w:r w:rsidR="00D65312">
        <w:rPr>
          <w:rFonts w:ascii="Arial" w:eastAsia="Times New Roman" w:hAnsi="Arial" w:cs="Arial"/>
          <w:color w:val="505050"/>
          <w:sz w:val="21"/>
          <w:szCs w:val="21"/>
        </w:rPr>
        <w:t>is</w:t>
      </w:r>
      <w:r w:rsidRPr="00304C35">
        <w:rPr>
          <w:rFonts w:ascii="Arial" w:eastAsia="Times New Roman" w:hAnsi="Arial" w:cs="Arial"/>
          <w:color w:val="505050"/>
          <w:sz w:val="21"/>
          <w:szCs w:val="21"/>
        </w:rPr>
        <w:t xml:space="preserve"> impossible to apply to the general workforce given that people with disab</w:t>
      </w:r>
      <w:r w:rsidR="00D65312">
        <w:rPr>
          <w:rFonts w:ascii="Arial" w:eastAsia="Times New Roman" w:hAnsi="Arial" w:cs="Arial"/>
          <w:color w:val="505050"/>
          <w:sz w:val="21"/>
          <w:szCs w:val="21"/>
        </w:rPr>
        <w:t>led or not</w:t>
      </w:r>
      <w:r w:rsidRPr="00304C35">
        <w:rPr>
          <w:rFonts w:ascii="Arial" w:eastAsia="Times New Roman" w:hAnsi="Arial" w:cs="Arial"/>
          <w:color w:val="505050"/>
          <w:sz w:val="21"/>
          <w:szCs w:val="21"/>
        </w:rPr>
        <w:t xml:space="preserve"> have every right to their privacy.  It only targets people who work through providers of services to people with disabilities, which is inherently unfair and treats people with disabilities differently from the workforce at large.  </w:t>
      </w:r>
      <w:r w:rsidR="00D65312">
        <w:rPr>
          <w:rFonts w:ascii="Arial" w:eastAsia="Times New Roman" w:hAnsi="Arial" w:cs="Arial"/>
          <w:color w:val="505050"/>
          <w:sz w:val="21"/>
          <w:szCs w:val="21"/>
        </w:rPr>
        <w:t xml:space="preserve">This guidance is wrong and serves no purpose other than to </w:t>
      </w:r>
      <w:r w:rsidRPr="00304C35">
        <w:rPr>
          <w:rFonts w:ascii="Arial" w:eastAsia="Times New Roman" w:hAnsi="Arial" w:cs="Arial"/>
          <w:color w:val="505050"/>
          <w:sz w:val="21"/>
          <w:szCs w:val="21"/>
        </w:rPr>
        <w:t>diminished work opportunities for people with disabilities.</w:t>
      </w:r>
    </w:p>
    <w:p w:rsidR="00F70DB2" w:rsidRDefault="00F70DB2" w:rsidP="00F70DB2">
      <w:pPr>
        <w:shd w:val="clear" w:color="auto" w:fill="FFFFFF"/>
        <w:spacing w:before="100" w:beforeAutospacing="1" w:after="100" w:afterAutospacing="1" w:line="240" w:lineRule="auto"/>
        <w:rPr>
          <w:rFonts w:ascii="Arial" w:eastAsia="Times New Roman" w:hAnsi="Arial" w:cs="Arial"/>
          <w:color w:val="505050"/>
          <w:sz w:val="21"/>
          <w:szCs w:val="21"/>
        </w:rPr>
      </w:pPr>
      <w:r>
        <w:rPr>
          <w:rFonts w:ascii="Arial" w:eastAsia="Times New Roman" w:hAnsi="Arial" w:cs="Arial"/>
          <w:color w:val="505050"/>
          <w:sz w:val="21"/>
          <w:szCs w:val="21"/>
        </w:rPr>
        <w:t xml:space="preserve">Even more damaging to choices in employment settings is the </w:t>
      </w:r>
      <w:r w:rsidRPr="00304C35">
        <w:rPr>
          <w:rFonts w:ascii="Arial" w:eastAsia="Times New Roman" w:hAnsi="Arial" w:cs="Arial"/>
          <w:color w:val="505050"/>
          <w:sz w:val="21"/>
          <w:szCs w:val="21"/>
        </w:rPr>
        <w:t xml:space="preserve">Department of Education and the Rehabilitation Services Administration (RSA) </w:t>
      </w:r>
      <w:r>
        <w:rPr>
          <w:rFonts w:ascii="Arial" w:eastAsia="Times New Roman" w:hAnsi="Arial" w:cs="Arial"/>
          <w:color w:val="505050"/>
          <w:sz w:val="21"/>
          <w:szCs w:val="21"/>
        </w:rPr>
        <w:t>further</w:t>
      </w:r>
      <w:r w:rsidRPr="00304C35">
        <w:rPr>
          <w:rFonts w:ascii="Arial" w:eastAsia="Times New Roman" w:hAnsi="Arial" w:cs="Arial"/>
          <w:color w:val="505050"/>
          <w:sz w:val="21"/>
          <w:szCs w:val="21"/>
        </w:rPr>
        <w:t xml:space="preserve"> narrow</w:t>
      </w:r>
      <w:r>
        <w:rPr>
          <w:rFonts w:ascii="Arial" w:eastAsia="Times New Roman" w:hAnsi="Arial" w:cs="Arial"/>
          <w:color w:val="505050"/>
          <w:sz w:val="21"/>
          <w:szCs w:val="21"/>
        </w:rPr>
        <w:t>ing of the</w:t>
      </w:r>
      <w:r w:rsidRPr="00304C35">
        <w:rPr>
          <w:rFonts w:ascii="Arial" w:eastAsia="Times New Roman" w:hAnsi="Arial" w:cs="Arial"/>
          <w:color w:val="505050"/>
          <w:sz w:val="21"/>
          <w:szCs w:val="21"/>
        </w:rPr>
        <w:t xml:space="preserve"> interpretation of competi</w:t>
      </w:r>
      <w:r>
        <w:rPr>
          <w:rFonts w:ascii="Arial" w:eastAsia="Times New Roman" w:hAnsi="Arial" w:cs="Arial"/>
          <w:color w:val="505050"/>
          <w:sz w:val="21"/>
          <w:szCs w:val="21"/>
        </w:rPr>
        <w:t>tive integrated employment; by adding</w:t>
      </w:r>
      <w:r w:rsidRPr="00304C35">
        <w:rPr>
          <w:rFonts w:ascii="Arial" w:eastAsia="Times New Roman" w:hAnsi="Arial" w:cs="Arial"/>
          <w:color w:val="505050"/>
          <w:sz w:val="21"/>
          <w:szCs w:val="21"/>
        </w:rPr>
        <w:t xml:space="preserve"> a presumption that jobs falling under programs intended to employ people with disabilities would not qualify as an employment outcome under the law. </w:t>
      </w:r>
      <w:proofErr w:type="gramStart"/>
      <w:r w:rsidR="00D65312">
        <w:rPr>
          <w:rFonts w:ascii="Arial" w:eastAsia="Times New Roman" w:hAnsi="Arial" w:cs="Arial"/>
          <w:color w:val="505050"/>
          <w:sz w:val="21"/>
          <w:szCs w:val="21"/>
        </w:rPr>
        <w:t xml:space="preserve">Idaho </w:t>
      </w:r>
      <w:r w:rsidRPr="00304C35">
        <w:rPr>
          <w:rFonts w:ascii="Arial" w:eastAsia="Times New Roman" w:hAnsi="Arial" w:cs="Arial"/>
          <w:color w:val="505050"/>
          <w:sz w:val="21"/>
          <w:szCs w:val="21"/>
        </w:rPr>
        <w:t xml:space="preserve"> VR</w:t>
      </w:r>
      <w:proofErr w:type="gramEnd"/>
      <w:r w:rsidRPr="00304C35">
        <w:rPr>
          <w:rFonts w:ascii="Arial" w:eastAsia="Times New Roman" w:hAnsi="Arial" w:cs="Arial"/>
          <w:color w:val="505050"/>
          <w:sz w:val="21"/>
          <w:szCs w:val="21"/>
        </w:rPr>
        <w:t xml:space="preserve"> offices have stopped referring people with disabilities to good jobs that meet th</w:t>
      </w:r>
      <w:r w:rsidR="00175845">
        <w:rPr>
          <w:rFonts w:ascii="Arial" w:eastAsia="Times New Roman" w:hAnsi="Arial" w:cs="Arial"/>
          <w:color w:val="505050"/>
          <w:sz w:val="21"/>
          <w:szCs w:val="21"/>
        </w:rPr>
        <w:t>e individual’s employment goal.</w:t>
      </w:r>
      <w:r w:rsidRPr="00304C35">
        <w:rPr>
          <w:rFonts w:ascii="Arial" w:eastAsia="Times New Roman" w:hAnsi="Arial" w:cs="Arial"/>
          <w:color w:val="505050"/>
          <w:sz w:val="21"/>
          <w:szCs w:val="21"/>
        </w:rPr>
        <w:t xml:space="preserve"> The Department should eliminate the FAQs and RSA should advise the State VR offices that </w:t>
      </w:r>
      <w:proofErr w:type="spellStart"/>
      <w:r w:rsidRPr="00304C35">
        <w:rPr>
          <w:rFonts w:ascii="Arial" w:eastAsia="Times New Roman" w:hAnsi="Arial" w:cs="Arial"/>
          <w:color w:val="505050"/>
          <w:sz w:val="21"/>
          <w:szCs w:val="21"/>
        </w:rPr>
        <w:t>AbilityOne</w:t>
      </w:r>
      <w:proofErr w:type="spellEnd"/>
      <w:r w:rsidRPr="00304C35">
        <w:rPr>
          <w:rFonts w:ascii="Arial" w:eastAsia="Times New Roman" w:hAnsi="Arial" w:cs="Arial"/>
          <w:color w:val="505050"/>
          <w:sz w:val="21"/>
          <w:szCs w:val="21"/>
        </w:rPr>
        <w:t xml:space="preserve"> jobs and State Set-Aside jobs presumptively do qualify as competitive integrated employment.  In addition, the Department and RSA should advise State VR offices to take an expansive view as to what qualifies as competitive integrated employment.  People with disabilities who want to work should be helped in every way possible to find work and, once hired, to remain attached to the workforce.  There is dignity in work and, as with the rest of the workforce, the best way to find a job is to already have one.</w:t>
      </w:r>
    </w:p>
    <w:p w:rsidR="00F70DB2" w:rsidRDefault="00175845" w:rsidP="00175845">
      <w:pPr>
        <w:shd w:val="clear" w:color="auto" w:fill="FFFFFF"/>
        <w:spacing w:before="100" w:beforeAutospacing="1" w:after="100" w:afterAutospacing="1" w:line="240" w:lineRule="auto"/>
        <w:rPr>
          <w:rFonts w:ascii="Arial" w:eastAsia="Times New Roman" w:hAnsi="Arial" w:cs="Arial"/>
          <w:color w:val="505050"/>
          <w:sz w:val="21"/>
          <w:szCs w:val="21"/>
        </w:rPr>
      </w:pPr>
      <w:r>
        <w:rPr>
          <w:rFonts w:ascii="Arial" w:eastAsia="Times New Roman" w:hAnsi="Arial" w:cs="Arial"/>
          <w:color w:val="505050"/>
          <w:sz w:val="21"/>
          <w:szCs w:val="21"/>
        </w:rPr>
        <w:t>Respectfully,</w:t>
      </w:r>
    </w:p>
    <w:p w:rsidR="00175845" w:rsidRDefault="00175845" w:rsidP="00175845">
      <w:pPr>
        <w:shd w:val="clear" w:color="auto" w:fill="FFFFFF"/>
        <w:spacing w:after="0" w:line="240" w:lineRule="auto"/>
        <w:rPr>
          <w:rFonts w:ascii="Arial" w:eastAsia="Times New Roman" w:hAnsi="Arial" w:cs="Arial"/>
          <w:color w:val="505050"/>
          <w:sz w:val="21"/>
          <w:szCs w:val="21"/>
        </w:rPr>
      </w:pPr>
      <w:r>
        <w:rPr>
          <w:rFonts w:ascii="Arial" w:eastAsia="Times New Roman" w:hAnsi="Arial" w:cs="Arial"/>
          <w:color w:val="505050"/>
          <w:sz w:val="21"/>
          <w:szCs w:val="21"/>
        </w:rPr>
        <w:t xml:space="preserve">Lori </w:t>
      </w:r>
      <w:proofErr w:type="spellStart"/>
      <w:r>
        <w:rPr>
          <w:rFonts w:ascii="Arial" w:eastAsia="Times New Roman" w:hAnsi="Arial" w:cs="Arial"/>
          <w:color w:val="505050"/>
          <w:sz w:val="21"/>
          <w:szCs w:val="21"/>
        </w:rPr>
        <w:t>Gentillon</w:t>
      </w:r>
      <w:proofErr w:type="spellEnd"/>
    </w:p>
    <w:p w:rsidR="00175845" w:rsidRDefault="00175845" w:rsidP="00175845">
      <w:pPr>
        <w:shd w:val="clear" w:color="auto" w:fill="FFFFFF"/>
        <w:spacing w:after="0" w:line="240" w:lineRule="auto"/>
        <w:rPr>
          <w:rFonts w:ascii="Arial" w:eastAsia="Times New Roman" w:hAnsi="Arial" w:cs="Arial"/>
          <w:color w:val="505050"/>
          <w:sz w:val="21"/>
          <w:szCs w:val="21"/>
        </w:rPr>
      </w:pPr>
      <w:proofErr w:type="gramStart"/>
      <w:r>
        <w:rPr>
          <w:rFonts w:ascii="Arial" w:eastAsia="Times New Roman" w:hAnsi="Arial" w:cs="Arial"/>
          <w:color w:val="505050"/>
          <w:sz w:val="21"/>
          <w:szCs w:val="21"/>
        </w:rPr>
        <w:t>790 N. 450 E.</w:t>
      </w:r>
      <w:proofErr w:type="gramEnd"/>
    </w:p>
    <w:p w:rsidR="00175845" w:rsidRDefault="00175845" w:rsidP="00175845">
      <w:pPr>
        <w:shd w:val="clear" w:color="auto" w:fill="FFFFFF"/>
        <w:spacing w:after="0" w:line="240" w:lineRule="auto"/>
        <w:rPr>
          <w:rFonts w:ascii="Arial" w:eastAsia="Times New Roman" w:hAnsi="Arial" w:cs="Arial"/>
          <w:color w:val="505050"/>
          <w:sz w:val="21"/>
          <w:szCs w:val="21"/>
        </w:rPr>
      </w:pPr>
      <w:r>
        <w:rPr>
          <w:rFonts w:ascii="Arial" w:eastAsia="Times New Roman" w:hAnsi="Arial" w:cs="Arial"/>
          <w:color w:val="505050"/>
          <w:sz w:val="21"/>
          <w:szCs w:val="21"/>
        </w:rPr>
        <w:t>Firth, ID 83236</w:t>
      </w:r>
    </w:p>
    <w:p w:rsidR="00175845" w:rsidRDefault="00175845" w:rsidP="00175845">
      <w:pPr>
        <w:shd w:val="clear" w:color="auto" w:fill="FFFFFF"/>
        <w:spacing w:after="0" w:line="240" w:lineRule="auto"/>
        <w:rPr>
          <w:rFonts w:ascii="Arial" w:eastAsia="Times New Roman" w:hAnsi="Arial" w:cs="Arial"/>
          <w:color w:val="505050"/>
          <w:sz w:val="21"/>
          <w:szCs w:val="21"/>
        </w:rPr>
      </w:pPr>
      <w:r>
        <w:rPr>
          <w:rFonts w:ascii="Arial" w:eastAsia="Times New Roman" w:hAnsi="Arial" w:cs="Arial"/>
          <w:color w:val="505050"/>
          <w:sz w:val="21"/>
          <w:szCs w:val="21"/>
        </w:rPr>
        <w:t>208.521.0511</w:t>
      </w:r>
      <w:bookmarkStart w:id="0" w:name="_GoBack"/>
      <w:bookmarkEnd w:id="0"/>
    </w:p>
    <w:p w:rsidR="00175845" w:rsidRDefault="00175845" w:rsidP="00175845">
      <w:pPr>
        <w:shd w:val="clear" w:color="auto" w:fill="FFFFFF"/>
        <w:spacing w:before="100" w:beforeAutospacing="1" w:after="100" w:afterAutospacing="1" w:line="240" w:lineRule="auto"/>
        <w:rPr>
          <w:rFonts w:ascii="Arial" w:eastAsia="Times New Roman" w:hAnsi="Arial" w:cs="Arial"/>
          <w:color w:val="505050"/>
          <w:sz w:val="21"/>
          <w:szCs w:val="21"/>
        </w:rPr>
      </w:pPr>
    </w:p>
    <w:p w:rsidR="00175845" w:rsidRDefault="00175845" w:rsidP="00175845">
      <w:pPr>
        <w:shd w:val="clear" w:color="auto" w:fill="FFFFFF"/>
        <w:spacing w:after="0" w:line="240" w:lineRule="auto"/>
        <w:rPr>
          <w:rFonts w:ascii="Arial" w:eastAsia="Times New Roman" w:hAnsi="Arial" w:cs="Arial"/>
          <w:color w:val="505050"/>
          <w:sz w:val="21"/>
          <w:szCs w:val="21"/>
        </w:rPr>
      </w:pPr>
    </w:p>
    <w:p w:rsidR="00175845" w:rsidRPr="00304C35" w:rsidRDefault="00175845" w:rsidP="00175845">
      <w:pPr>
        <w:shd w:val="clear" w:color="auto" w:fill="FFFFFF"/>
        <w:spacing w:before="100" w:beforeAutospacing="1" w:after="100" w:afterAutospacing="1" w:line="240" w:lineRule="auto"/>
        <w:rPr>
          <w:rFonts w:ascii="Arial" w:eastAsia="Times New Roman" w:hAnsi="Arial" w:cs="Arial"/>
          <w:color w:val="505050"/>
          <w:sz w:val="21"/>
          <w:szCs w:val="21"/>
        </w:rPr>
      </w:pPr>
    </w:p>
    <w:p w:rsidR="00F70DB2" w:rsidRDefault="00F70DB2"/>
    <w:sectPr w:rsidR="00F7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B3F2C"/>
    <w:multiLevelType w:val="multilevel"/>
    <w:tmpl w:val="7C90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C3BE7"/>
    <w:multiLevelType w:val="multilevel"/>
    <w:tmpl w:val="B70A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D5B9B"/>
    <w:multiLevelType w:val="multilevel"/>
    <w:tmpl w:val="221C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6E64CC"/>
    <w:multiLevelType w:val="multilevel"/>
    <w:tmpl w:val="8B22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1726FD"/>
    <w:multiLevelType w:val="multilevel"/>
    <w:tmpl w:val="08D8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C10579"/>
    <w:multiLevelType w:val="multilevel"/>
    <w:tmpl w:val="221C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C3447D"/>
    <w:multiLevelType w:val="multilevel"/>
    <w:tmpl w:val="08D8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3"/>
    </w:lvlOverride>
  </w:num>
  <w:num w:numId="2">
    <w:abstractNumId w:val="3"/>
    <w:lvlOverride w:ilvl="0">
      <w:startOverride w:val="2"/>
    </w:lvlOverride>
  </w:num>
  <w:num w:numId="3">
    <w:abstractNumId w:val="1"/>
  </w:num>
  <w:num w:numId="4">
    <w:abstractNumId w:val="5"/>
    <w:lvlOverride w:ilvl="0">
      <w:startOverride w:val="4"/>
    </w:lvlOverride>
  </w:num>
  <w:num w:numId="5">
    <w:abstractNumId w:val="2"/>
  </w:num>
  <w:num w:numId="6">
    <w:abstractNumId w:val="4"/>
    <w:lvlOverride w:ilvl="0">
      <w:startOverride w:val="5"/>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B2"/>
    <w:rsid w:val="00175845"/>
    <w:rsid w:val="00D65312"/>
    <w:rsid w:val="00EF422E"/>
    <w:rsid w:val="00F7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0DB2"/>
    <w:rPr>
      <w:color w:val="0000FF"/>
      <w:u w:val="single"/>
    </w:rPr>
  </w:style>
  <w:style w:type="paragraph" w:styleId="NormalWeb">
    <w:name w:val="Normal (Web)"/>
    <w:basedOn w:val="Normal"/>
    <w:uiPriority w:val="99"/>
    <w:unhideWhenUsed/>
    <w:rsid w:val="00D653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0DB2"/>
    <w:rPr>
      <w:color w:val="0000FF"/>
      <w:u w:val="single"/>
    </w:rPr>
  </w:style>
  <w:style w:type="paragraph" w:styleId="NormalWeb">
    <w:name w:val="Normal (Web)"/>
    <w:basedOn w:val="Normal"/>
    <w:uiPriority w:val="99"/>
    <w:unhideWhenUsed/>
    <w:rsid w:val="00D653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20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google.com/?q=400+Maryland+Avenue,+SW&amp;entry=gmail&amp;source=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O'Bleness</dc:creator>
  <cp:lastModifiedBy>genl</cp:lastModifiedBy>
  <cp:revision>2</cp:revision>
  <dcterms:created xsi:type="dcterms:W3CDTF">2017-09-20T18:12:00Z</dcterms:created>
  <dcterms:modified xsi:type="dcterms:W3CDTF">2017-09-20T18:12:00Z</dcterms:modified>
</cp:coreProperties>
</file>