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499" w:rsidRPr="00557499" w:rsidRDefault="00557499" w:rsidP="00557499">
      <w:pPr>
        <w:rPr>
          <w:szCs w:val="20"/>
        </w:rPr>
      </w:pPr>
      <w:r w:rsidRPr="00557499">
        <w:rPr>
          <w:szCs w:val="20"/>
        </w:rPr>
        <w:t>September 20, 2017</w:t>
      </w:r>
      <w:bookmarkStart w:id="0" w:name="_GoBack"/>
      <w:bookmarkEnd w:id="0"/>
    </w:p>
    <w:p w:rsidR="00557499" w:rsidRPr="00557499" w:rsidRDefault="00557499" w:rsidP="00557499">
      <w:pPr>
        <w:rPr>
          <w:szCs w:val="20"/>
        </w:rPr>
      </w:pPr>
    </w:p>
    <w:p w:rsidR="00557499" w:rsidRPr="00557499" w:rsidRDefault="00557499" w:rsidP="00557499">
      <w:pPr>
        <w:rPr>
          <w:rFonts w:eastAsia="Calibri"/>
          <w:szCs w:val="22"/>
        </w:rPr>
      </w:pPr>
      <w:r w:rsidRPr="00557499">
        <w:rPr>
          <w:rFonts w:eastAsia="Calibri"/>
          <w:szCs w:val="22"/>
        </w:rPr>
        <w:t>Ms. Hilary Malawer</w:t>
      </w:r>
    </w:p>
    <w:p w:rsidR="00557499" w:rsidRPr="00557499" w:rsidRDefault="00557499" w:rsidP="00557499">
      <w:pPr>
        <w:rPr>
          <w:rFonts w:eastAsia="Calibri"/>
          <w:szCs w:val="22"/>
        </w:rPr>
      </w:pPr>
      <w:r w:rsidRPr="00557499">
        <w:rPr>
          <w:rFonts w:eastAsia="Calibri"/>
          <w:szCs w:val="22"/>
        </w:rPr>
        <w:t>U.S. Department of Education</w:t>
      </w:r>
    </w:p>
    <w:p w:rsidR="00557499" w:rsidRPr="00557499" w:rsidRDefault="00557499" w:rsidP="00557499">
      <w:pPr>
        <w:rPr>
          <w:rFonts w:eastAsia="Calibri"/>
          <w:szCs w:val="22"/>
        </w:rPr>
      </w:pPr>
      <w:r w:rsidRPr="00557499">
        <w:rPr>
          <w:rFonts w:eastAsia="Calibri"/>
          <w:szCs w:val="22"/>
        </w:rPr>
        <w:t>400 Maryland Avenue, SW</w:t>
      </w:r>
    </w:p>
    <w:p w:rsidR="00557499" w:rsidRPr="00557499" w:rsidRDefault="00557499" w:rsidP="00557499">
      <w:pPr>
        <w:rPr>
          <w:rFonts w:eastAsia="Calibri"/>
          <w:szCs w:val="22"/>
        </w:rPr>
      </w:pPr>
      <w:r w:rsidRPr="00557499">
        <w:rPr>
          <w:rFonts w:eastAsia="Calibri"/>
          <w:szCs w:val="22"/>
        </w:rPr>
        <w:t>Room 6E231</w:t>
      </w:r>
    </w:p>
    <w:p w:rsidR="00557499" w:rsidRPr="00557499" w:rsidRDefault="00557499" w:rsidP="00557499">
      <w:pPr>
        <w:rPr>
          <w:rFonts w:eastAsia="Calibri"/>
          <w:szCs w:val="22"/>
        </w:rPr>
      </w:pPr>
      <w:r w:rsidRPr="00557499">
        <w:rPr>
          <w:rFonts w:eastAsia="Calibri"/>
          <w:szCs w:val="22"/>
        </w:rPr>
        <w:t>Washington, D.C. 20202</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RE: Docket ID: ED-2017-OS-0074</w:t>
      </w:r>
    </w:p>
    <w:p w:rsidR="00557499" w:rsidRPr="00557499" w:rsidRDefault="00557499" w:rsidP="00557499">
      <w:pPr>
        <w:rPr>
          <w:rFonts w:eastAsia="Calibri"/>
          <w:szCs w:val="22"/>
        </w:rPr>
      </w:pP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 xml:space="preserve">Dear Ms. </w:t>
      </w:r>
      <w:r>
        <w:rPr>
          <w:rFonts w:eastAsia="Calibri"/>
          <w:szCs w:val="22"/>
        </w:rPr>
        <w:t>Malawer</w:t>
      </w:r>
      <w:r w:rsidRPr="00557499">
        <w:rPr>
          <w:rFonts w:eastAsia="Calibri"/>
          <w:szCs w:val="22"/>
        </w:rPr>
        <w:t>:</w:t>
      </w:r>
    </w:p>
    <w:p w:rsidR="00557499" w:rsidRPr="00557499" w:rsidRDefault="00557499" w:rsidP="00557499">
      <w:pPr>
        <w:rPr>
          <w:rFonts w:eastAsia="Calibri"/>
          <w:szCs w:val="22"/>
        </w:rPr>
      </w:pPr>
    </w:p>
    <w:p w:rsidR="00557499" w:rsidRPr="00557499" w:rsidRDefault="00557499" w:rsidP="00557499">
      <w:pPr>
        <w:rPr>
          <w:szCs w:val="20"/>
        </w:rPr>
      </w:pPr>
      <w:r w:rsidRPr="00557499">
        <w:rPr>
          <w:szCs w:val="20"/>
        </w:rPr>
        <w:t>On behalf of the over 600 member institutions of the American Association of Cosmetology Schools (AACS), the students these institutions prepare to become licensed professionals in the thriving U.S. beauty and wellness industry, and the employers who rely on these trained professionals to meet the ever increasing consumer demand for spa and salon services, we respectfully submit comments in response to the February 24, 2017 Executive Order 13777, “Enforcing the Regulatory Reform Agenda” and the June 22, 2017 Federal Register Notice (Notice) requesting comments on regulations that may be appropriate for repeal, replacement, or modification.</w:t>
      </w:r>
    </w:p>
    <w:p w:rsidR="00557499" w:rsidRPr="00557499" w:rsidRDefault="00557499" w:rsidP="00557499">
      <w:pPr>
        <w:rPr>
          <w:szCs w:val="20"/>
        </w:rPr>
      </w:pPr>
    </w:p>
    <w:p w:rsidR="00557499" w:rsidRPr="00557499" w:rsidRDefault="00557499" w:rsidP="00557499">
      <w:pPr>
        <w:rPr>
          <w:szCs w:val="20"/>
        </w:rPr>
      </w:pPr>
      <w:r w:rsidRPr="00557499">
        <w:rPr>
          <w:szCs w:val="20"/>
        </w:rPr>
        <w:t>AACS is a national, non-profit association founded in 1924.  Our members educate students to work in the beauty and wellness industry.  These include courses of instruction in cosmetology, hair design, esthetics, nail, barbering and massage therapy.  Nearly all of these programs result in a licensed outcome, i.e. graduates work in a profession that is licensed by the state in which they work and for which they must pass a state exam in order to enter the profession.  These programs vary in state requirements governing length of instruction, curriculum, faculty, examinations, and licensure prerequisites.  AACS members include schools of all sizes, but the overwhelming majority are small, single location schools owned by families or individuals.</w:t>
      </w:r>
    </w:p>
    <w:p w:rsidR="00557499" w:rsidRPr="00557499" w:rsidRDefault="00557499" w:rsidP="00557499">
      <w:pPr>
        <w:rPr>
          <w:szCs w:val="20"/>
        </w:rPr>
      </w:pPr>
    </w:p>
    <w:p w:rsidR="00557499" w:rsidRPr="00557499" w:rsidRDefault="00557499" w:rsidP="00557499">
      <w:r w:rsidRPr="00557499">
        <w:t>In this letter, we summarize many of the areas in the regulations where our membership would like to work with the Administration, Secretary of Education DeVos, and the Department on the development and implementation of changes benefiting students, institutions, and our nation’s skilled workforce.</w:t>
      </w:r>
    </w:p>
    <w:p w:rsidR="00557499" w:rsidRPr="00557499" w:rsidRDefault="00557499" w:rsidP="00557499"/>
    <w:p w:rsidR="00557499" w:rsidRPr="00557499" w:rsidRDefault="00557499" w:rsidP="00557499">
      <w:r w:rsidRPr="00557499">
        <w:t>On October 4, 2017, at the second of the two field hearings to be held in conjunction with President Trump’s Executive Order and Secretary DeVos’ Notice, we will provide additional details for the Department’s consideration.</w:t>
      </w:r>
    </w:p>
    <w:p w:rsidR="00557499" w:rsidRPr="00557499" w:rsidRDefault="00557499" w:rsidP="00557499"/>
    <w:p w:rsidR="00557499" w:rsidRPr="00557499" w:rsidRDefault="00557499" w:rsidP="00557499">
      <w:pPr>
        <w:rPr>
          <w:szCs w:val="20"/>
        </w:rPr>
      </w:pPr>
      <w:r w:rsidRPr="00557499">
        <w:rPr>
          <w:szCs w:val="20"/>
        </w:rPr>
        <w:t>Our comments may not represent all the comments or recommendations that each AACS member school may have individually submitted or other topics which they may request for inclusion. Further, AACS reserves the right to raise, with the Department and other stakeholders, any other issue associated with this rulemaking deemed problematic even if not covered specifically in these comments.</w:t>
      </w:r>
    </w:p>
    <w:p w:rsidR="00557499" w:rsidRPr="00557499" w:rsidRDefault="00557499" w:rsidP="00557499">
      <w:pPr>
        <w:rPr>
          <w:szCs w:val="20"/>
        </w:rPr>
      </w:pPr>
    </w:p>
    <w:p w:rsidR="00557499" w:rsidRPr="00557499" w:rsidRDefault="00557499" w:rsidP="00557499">
      <w:pPr>
        <w:rPr>
          <w:szCs w:val="20"/>
        </w:rPr>
      </w:pPr>
    </w:p>
    <w:p w:rsidR="00557499" w:rsidRPr="00E730F8" w:rsidRDefault="00557499" w:rsidP="00557499">
      <w:pPr>
        <w:rPr>
          <w:sz w:val="32"/>
          <w:szCs w:val="32"/>
        </w:rPr>
      </w:pPr>
      <w:r w:rsidRPr="00E730F8">
        <w:rPr>
          <w:sz w:val="32"/>
          <w:szCs w:val="32"/>
        </w:rPr>
        <w:t>AACS SEEKS CHANGES IN THE FOLLOWING AREAS</w:t>
      </w:r>
    </w:p>
    <w:p w:rsidR="00557499" w:rsidRPr="00557499" w:rsidRDefault="00557499" w:rsidP="00557499">
      <w:pPr>
        <w:rPr>
          <w:szCs w:val="20"/>
        </w:rPr>
      </w:pPr>
    </w:p>
    <w:p w:rsidR="00557499" w:rsidRPr="00557499" w:rsidRDefault="00557499" w:rsidP="00557499">
      <w:pPr>
        <w:rPr>
          <w:sz w:val="28"/>
          <w:szCs w:val="28"/>
        </w:rPr>
      </w:pPr>
      <w:r w:rsidRPr="00557499">
        <w:rPr>
          <w:sz w:val="28"/>
          <w:szCs w:val="28"/>
        </w:rPr>
        <w:t>34 CFR CHAPTER VI – OFFICE OF POSTSECONDARY EDUCATION</w:t>
      </w:r>
    </w:p>
    <w:p w:rsidR="00557499" w:rsidRPr="00557499" w:rsidRDefault="00557499" w:rsidP="00557499">
      <w:pPr>
        <w:rPr>
          <w:szCs w:val="20"/>
        </w:rPr>
      </w:pPr>
    </w:p>
    <w:p w:rsidR="00557499" w:rsidRPr="00557499" w:rsidRDefault="00557499" w:rsidP="00557499">
      <w:pPr>
        <w:rPr>
          <w:sz w:val="28"/>
          <w:szCs w:val="28"/>
        </w:rPr>
      </w:pPr>
      <w:r w:rsidRPr="00557499">
        <w:rPr>
          <w:sz w:val="28"/>
          <w:szCs w:val="28"/>
        </w:rPr>
        <w:t xml:space="preserve">PART 600 – INSTITUTIONAL ELIGIBILITY UNDER THE HIGHER EDUCATION ACT OF 1965, AS AMENDED </w:t>
      </w:r>
    </w:p>
    <w:p w:rsidR="00557499" w:rsidRPr="00557499" w:rsidRDefault="00557499" w:rsidP="00557499">
      <w:pPr>
        <w:rPr>
          <w:rFonts w:eastAsia="Calibri"/>
          <w:szCs w:val="22"/>
        </w:rPr>
      </w:pPr>
      <w:r w:rsidRPr="00557499">
        <w:rPr>
          <w:rFonts w:eastAsia="Calibri"/>
          <w:szCs w:val="22"/>
        </w:rPr>
        <w:t>§600.2 – Definitions</w:t>
      </w:r>
    </w:p>
    <w:p w:rsidR="00557499" w:rsidRPr="00557499" w:rsidRDefault="00557499" w:rsidP="00557499">
      <w:pPr>
        <w:numPr>
          <w:ilvl w:val="0"/>
          <w:numId w:val="6"/>
        </w:numPr>
        <w:contextualSpacing/>
        <w:rPr>
          <w:rFonts w:eastAsia="Calibri"/>
          <w:sz w:val="22"/>
          <w:szCs w:val="22"/>
        </w:rPr>
      </w:pPr>
      <w:r w:rsidRPr="00557499">
        <w:rPr>
          <w:rFonts w:eastAsia="Calibri"/>
          <w:sz w:val="22"/>
          <w:szCs w:val="22"/>
        </w:rPr>
        <w:t>Clock Hour</w:t>
      </w:r>
    </w:p>
    <w:p w:rsidR="00557499" w:rsidRPr="00557499" w:rsidRDefault="00557499" w:rsidP="00557499">
      <w:pPr>
        <w:numPr>
          <w:ilvl w:val="0"/>
          <w:numId w:val="6"/>
        </w:numPr>
        <w:contextualSpacing/>
        <w:rPr>
          <w:rFonts w:eastAsia="Calibri"/>
          <w:sz w:val="22"/>
          <w:szCs w:val="22"/>
        </w:rPr>
      </w:pPr>
      <w:r w:rsidRPr="00557499">
        <w:rPr>
          <w:rFonts w:eastAsia="Calibri"/>
          <w:sz w:val="22"/>
          <w:szCs w:val="22"/>
        </w:rPr>
        <w:t>Distance Education</w:t>
      </w:r>
    </w:p>
    <w:p w:rsidR="00557499" w:rsidRPr="00557499" w:rsidRDefault="00557499" w:rsidP="00557499">
      <w:pPr>
        <w:numPr>
          <w:ilvl w:val="0"/>
          <w:numId w:val="6"/>
        </w:numPr>
        <w:contextualSpacing/>
        <w:rPr>
          <w:rFonts w:eastAsia="Calibri"/>
          <w:sz w:val="22"/>
          <w:szCs w:val="22"/>
        </w:rPr>
      </w:pPr>
      <w:r w:rsidRPr="00557499">
        <w:rPr>
          <w:rFonts w:eastAsia="Calibri"/>
          <w:sz w:val="22"/>
          <w:szCs w:val="22"/>
        </w:rPr>
        <w:t>Nationally Recognized Accrediting Agency</w:t>
      </w:r>
    </w:p>
    <w:p w:rsidR="00557499" w:rsidRPr="00557499" w:rsidRDefault="00557499" w:rsidP="00557499">
      <w:pPr>
        <w:numPr>
          <w:ilvl w:val="0"/>
          <w:numId w:val="6"/>
        </w:numPr>
        <w:contextualSpacing/>
        <w:rPr>
          <w:rFonts w:eastAsia="Calibri"/>
          <w:sz w:val="22"/>
          <w:szCs w:val="22"/>
        </w:rPr>
      </w:pPr>
      <w:r w:rsidRPr="00557499">
        <w:rPr>
          <w:rFonts w:eastAsia="Calibri"/>
          <w:sz w:val="22"/>
          <w:szCs w:val="22"/>
        </w:rPr>
        <w:t>Recognized Equivalent of a High School Diploma</w:t>
      </w:r>
    </w:p>
    <w:p w:rsidR="00557499" w:rsidRPr="00557499" w:rsidRDefault="00557499" w:rsidP="00557499">
      <w:pPr>
        <w:rPr>
          <w:rFonts w:eastAsia="Calibri"/>
          <w:szCs w:val="22"/>
        </w:rPr>
      </w:pPr>
      <w:r w:rsidRPr="00557499">
        <w:rPr>
          <w:rFonts w:eastAsia="Calibri"/>
          <w:szCs w:val="22"/>
        </w:rPr>
        <w:t>§600.5 – Proprietary Institution of Higher Education</w:t>
      </w:r>
    </w:p>
    <w:p w:rsidR="00557499" w:rsidRPr="00557499" w:rsidRDefault="00557499" w:rsidP="00557499">
      <w:pPr>
        <w:numPr>
          <w:ilvl w:val="0"/>
          <w:numId w:val="7"/>
        </w:numPr>
        <w:contextualSpacing/>
        <w:rPr>
          <w:rFonts w:eastAsia="Calibri"/>
          <w:sz w:val="22"/>
          <w:szCs w:val="22"/>
        </w:rPr>
      </w:pPr>
      <w:r w:rsidRPr="00557499">
        <w:rPr>
          <w:rFonts w:eastAsia="Calibri"/>
          <w:sz w:val="22"/>
          <w:szCs w:val="22"/>
        </w:rPr>
        <w:t>Special Provisions of Incarcerated Students</w:t>
      </w:r>
    </w:p>
    <w:p w:rsidR="00557499" w:rsidRPr="00557499" w:rsidRDefault="00557499" w:rsidP="00557499">
      <w:pPr>
        <w:numPr>
          <w:ilvl w:val="0"/>
          <w:numId w:val="7"/>
        </w:numPr>
        <w:contextualSpacing/>
        <w:rPr>
          <w:rFonts w:eastAsia="Calibri"/>
          <w:sz w:val="22"/>
          <w:szCs w:val="22"/>
        </w:rPr>
      </w:pPr>
      <w:r w:rsidRPr="00557499">
        <w:rPr>
          <w:rFonts w:eastAsia="Calibri"/>
          <w:sz w:val="22"/>
          <w:szCs w:val="22"/>
        </w:rPr>
        <w:t>Special Provisions for Non-profit Institutions</w:t>
      </w:r>
    </w:p>
    <w:p w:rsidR="00557499" w:rsidRPr="00557499" w:rsidRDefault="00557499" w:rsidP="00557499">
      <w:pPr>
        <w:rPr>
          <w:rFonts w:eastAsia="Calibri"/>
          <w:szCs w:val="22"/>
        </w:rPr>
      </w:pPr>
      <w:r w:rsidRPr="00557499">
        <w:rPr>
          <w:rFonts w:eastAsia="Calibri"/>
          <w:szCs w:val="22"/>
        </w:rPr>
        <w:t>§600.7 – Conditions of Institutional Eligibility</w:t>
      </w:r>
    </w:p>
    <w:p w:rsidR="00557499" w:rsidRPr="00557499" w:rsidRDefault="00557499" w:rsidP="00557499">
      <w:pPr>
        <w:rPr>
          <w:rFonts w:eastAsia="Calibri"/>
          <w:szCs w:val="22"/>
        </w:rPr>
      </w:pPr>
      <w:r w:rsidRPr="00557499">
        <w:rPr>
          <w:rFonts w:eastAsia="Calibri"/>
          <w:szCs w:val="22"/>
        </w:rPr>
        <w:t>§600.9 – State Authorization</w:t>
      </w:r>
    </w:p>
    <w:p w:rsidR="00557499" w:rsidRPr="00557499" w:rsidRDefault="00557499" w:rsidP="00557499">
      <w:pPr>
        <w:rPr>
          <w:rFonts w:eastAsia="Calibri"/>
          <w:szCs w:val="22"/>
        </w:rPr>
      </w:pPr>
      <w:r w:rsidRPr="00557499">
        <w:rPr>
          <w:rFonts w:eastAsia="Calibri"/>
          <w:szCs w:val="22"/>
        </w:rPr>
        <w:t>§600.11 – Special Rules Regarding Institutional Accreditation or Preaccreditation</w:t>
      </w:r>
    </w:p>
    <w:p w:rsidR="00557499" w:rsidRPr="00557499" w:rsidRDefault="00557499" w:rsidP="00557499">
      <w:pPr>
        <w:rPr>
          <w:rFonts w:eastAsia="Calibri"/>
          <w:szCs w:val="22"/>
        </w:rPr>
      </w:pPr>
    </w:p>
    <w:p w:rsidR="00557499" w:rsidRPr="00557499" w:rsidRDefault="00557499" w:rsidP="00557499">
      <w:pPr>
        <w:rPr>
          <w:rFonts w:eastAsia="Calibri"/>
          <w:sz w:val="28"/>
          <w:szCs w:val="28"/>
        </w:rPr>
      </w:pPr>
      <w:r w:rsidRPr="00557499">
        <w:rPr>
          <w:rFonts w:eastAsia="Calibri"/>
          <w:sz w:val="28"/>
          <w:szCs w:val="28"/>
        </w:rPr>
        <w:t>PART 682 – FEDERAL FAMILY EDUCATION LOAN (FFEL) PROGRAM</w:t>
      </w:r>
    </w:p>
    <w:p w:rsidR="00557499" w:rsidRPr="00557499" w:rsidRDefault="00557499" w:rsidP="00557499">
      <w:pPr>
        <w:rPr>
          <w:rFonts w:eastAsia="Calibri"/>
          <w:szCs w:val="22"/>
        </w:rPr>
      </w:pPr>
      <w:r w:rsidRPr="00557499">
        <w:rPr>
          <w:rFonts w:eastAsia="Calibri"/>
          <w:szCs w:val="22"/>
        </w:rPr>
        <w:t>§682.200 – Definitions</w:t>
      </w:r>
    </w:p>
    <w:p w:rsidR="00557499" w:rsidRPr="00557499" w:rsidRDefault="00557499" w:rsidP="00557499">
      <w:pPr>
        <w:numPr>
          <w:ilvl w:val="0"/>
          <w:numId w:val="8"/>
        </w:numPr>
        <w:contextualSpacing/>
        <w:rPr>
          <w:rFonts w:eastAsia="Calibri"/>
          <w:sz w:val="22"/>
          <w:szCs w:val="22"/>
        </w:rPr>
      </w:pPr>
      <w:r w:rsidRPr="00557499">
        <w:rPr>
          <w:rFonts w:eastAsia="Calibri"/>
          <w:sz w:val="22"/>
          <w:szCs w:val="22"/>
        </w:rPr>
        <w:t>Third-party Servicer</w:t>
      </w:r>
    </w:p>
    <w:p w:rsidR="00557499" w:rsidRPr="00557499" w:rsidRDefault="00557499" w:rsidP="00557499">
      <w:pPr>
        <w:rPr>
          <w:rFonts w:eastAsia="Calibri"/>
          <w:szCs w:val="22"/>
        </w:rPr>
      </w:pPr>
      <w:r w:rsidRPr="00557499">
        <w:rPr>
          <w:rFonts w:eastAsia="Calibri"/>
          <w:szCs w:val="22"/>
        </w:rPr>
        <w:t>§682.209 – Repayment of a Loan</w:t>
      </w:r>
    </w:p>
    <w:p w:rsidR="00557499" w:rsidRPr="00557499" w:rsidRDefault="00557499" w:rsidP="00557499">
      <w:pPr>
        <w:rPr>
          <w:rFonts w:eastAsia="Calibri"/>
          <w:szCs w:val="22"/>
        </w:rPr>
      </w:pPr>
      <w:r w:rsidRPr="00557499">
        <w:rPr>
          <w:rFonts w:eastAsia="Calibri"/>
          <w:szCs w:val="22"/>
        </w:rPr>
        <w:t>§682.215 – Income-based Repayment Plan</w:t>
      </w:r>
    </w:p>
    <w:p w:rsidR="00557499" w:rsidRPr="00557499" w:rsidRDefault="00557499" w:rsidP="00557499">
      <w:pPr>
        <w:rPr>
          <w:rFonts w:eastAsia="Calibri"/>
          <w:szCs w:val="22"/>
        </w:rPr>
      </w:pPr>
    </w:p>
    <w:p w:rsidR="00557499" w:rsidRPr="00557499" w:rsidRDefault="00557499" w:rsidP="00557499">
      <w:pPr>
        <w:rPr>
          <w:rFonts w:eastAsia="Calibri"/>
          <w:sz w:val="28"/>
          <w:szCs w:val="28"/>
        </w:rPr>
      </w:pPr>
      <w:r w:rsidRPr="00557499">
        <w:rPr>
          <w:rFonts w:eastAsia="Calibri"/>
          <w:sz w:val="28"/>
          <w:szCs w:val="28"/>
        </w:rPr>
        <w:t>PART 685 – WILLIAM D. FORD FEDERAL DIRECT LOAN PROGRAM</w:t>
      </w:r>
    </w:p>
    <w:p w:rsidR="00557499" w:rsidRPr="00557499" w:rsidRDefault="00557499" w:rsidP="00557499">
      <w:pPr>
        <w:rPr>
          <w:rFonts w:eastAsia="Calibri"/>
          <w:szCs w:val="22"/>
        </w:rPr>
      </w:pPr>
      <w:r w:rsidRPr="00557499">
        <w:rPr>
          <w:rFonts w:eastAsia="Calibri"/>
          <w:szCs w:val="22"/>
        </w:rPr>
        <w:t>§685.210 – Choice of Repayment Plans</w:t>
      </w:r>
    </w:p>
    <w:p w:rsidR="00557499" w:rsidRPr="00557499" w:rsidRDefault="00557499" w:rsidP="00557499">
      <w:pPr>
        <w:rPr>
          <w:rFonts w:eastAsia="Calibri"/>
          <w:szCs w:val="22"/>
        </w:rPr>
      </w:pPr>
      <w:r w:rsidRPr="00557499">
        <w:rPr>
          <w:rFonts w:eastAsia="Calibri"/>
          <w:szCs w:val="22"/>
        </w:rPr>
        <w:t>§685.221 – Income-based Repayment Plan</w:t>
      </w:r>
    </w:p>
    <w:p w:rsidR="00557499" w:rsidRPr="00557499" w:rsidRDefault="00557499" w:rsidP="00557499">
      <w:pPr>
        <w:rPr>
          <w:rFonts w:eastAsia="Calibri"/>
          <w:szCs w:val="22"/>
        </w:rPr>
      </w:pPr>
    </w:p>
    <w:p w:rsidR="00557499" w:rsidRPr="00557499" w:rsidRDefault="00557499" w:rsidP="00557499">
      <w:pPr>
        <w:rPr>
          <w:rFonts w:eastAsia="Calibri"/>
          <w:sz w:val="28"/>
          <w:szCs w:val="28"/>
        </w:rPr>
      </w:pPr>
      <w:r w:rsidRPr="00557499">
        <w:rPr>
          <w:rFonts w:eastAsia="Calibri"/>
          <w:sz w:val="28"/>
          <w:szCs w:val="28"/>
        </w:rPr>
        <w:lastRenderedPageBreak/>
        <w:t>PART 668 – STUDENT ASSISTANCE GENERAL PROVISIONS</w:t>
      </w:r>
    </w:p>
    <w:p w:rsidR="00557499" w:rsidRPr="00557499" w:rsidRDefault="00557499" w:rsidP="00557499">
      <w:pPr>
        <w:rPr>
          <w:rFonts w:eastAsia="Calibri"/>
          <w:szCs w:val="22"/>
        </w:rPr>
      </w:pPr>
      <w:r w:rsidRPr="00557499">
        <w:rPr>
          <w:rFonts w:eastAsia="Calibri"/>
          <w:szCs w:val="22"/>
        </w:rPr>
        <w:t>§§668.1 &amp; 668.2 – Scope &amp; General Definitions</w:t>
      </w:r>
    </w:p>
    <w:p w:rsidR="00557499" w:rsidRPr="00557499" w:rsidRDefault="00557499" w:rsidP="00557499">
      <w:pPr>
        <w:numPr>
          <w:ilvl w:val="0"/>
          <w:numId w:val="8"/>
        </w:numPr>
        <w:contextualSpacing/>
        <w:rPr>
          <w:rFonts w:eastAsia="Calibri"/>
          <w:sz w:val="22"/>
          <w:szCs w:val="22"/>
        </w:rPr>
      </w:pPr>
      <w:r w:rsidRPr="00557499">
        <w:rPr>
          <w:rFonts w:eastAsia="Calibri"/>
          <w:sz w:val="22"/>
          <w:szCs w:val="22"/>
        </w:rPr>
        <w:t>Third-party Servicer</w:t>
      </w:r>
    </w:p>
    <w:p w:rsidR="00557499" w:rsidRPr="00557499" w:rsidRDefault="00557499" w:rsidP="00557499">
      <w:pPr>
        <w:rPr>
          <w:rFonts w:eastAsia="Calibri"/>
          <w:szCs w:val="22"/>
        </w:rPr>
      </w:pPr>
      <w:r w:rsidRPr="00557499">
        <w:rPr>
          <w:rFonts w:eastAsia="Calibri"/>
          <w:szCs w:val="22"/>
        </w:rPr>
        <w:t>§668.4 – Payment Period</w:t>
      </w:r>
    </w:p>
    <w:p w:rsidR="00557499" w:rsidRPr="00557499" w:rsidRDefault="00557499" w:rsidP="00557499">
      <w:pPr>
        <w:rPr>
          <w:rFonts w:eastAsia="Calibri"/>
          <w:szCs w:val="22"/>
        </w:rPr>
      </w:pPr>
      <w:r w:rsidRPr="00557499">
        <w:rPr>
          <w:rFonts w:eastAsia="Calibri"/>
          <w:szCs w:val="22"/>
        </w:rPr>
        <w:t>§668.6 – Reporting and Disclosure Requirements for Programs that Prepare Students for Gainful Employment in a Recognized Occupation</w:t>
      </w:r>
    </w:p>
    <w:p w:rsidR="00557499" w:rsidRPr="00557499" w:rsidRDefault="00557499" w:rsidP="00557499">
      <w:pPr>
        <w:rPr>
          <w:rFonts w:eastAsia="Calibri"/>
          <w:szCs w:val="22"/>
        </w:rPr>
      </w:pPr>
      <w:r w:rsidRPr="00557499">
        <w:rPr>
          <w:rFonts w:eastAsia="Calibri"/>
          <w:szCs w:val="22"/>
        </w:rPr>
        <w:t>§668.8 – Eligible Program</w:t>
      </w:r>
    </w:p>
    <w:p w:rsidR="00557499" w:rsidRPr="00557499" w:rsidRDefault="00557499" w:rsidP="00557499">
      <w:pPr>
        <w:numPr>
          <w:ilvl w:val="0"/>
          <w:numId w:val="8"/>
        </w:numPr>
        <w:contextualSpacing/>
        <w:rPr>
          <w:rFonts w:eastAsia="Calibri"/>
          <w:sz w:val="22"/>
          <w:szCs w:val="22"/>
        </w:rPr>
      </w:pPr>
      <w:r w:rsidRPr="00557499">
        <w:rPr>
          <w:rFonts w:eastAsia="Calibri"/>
          <w:sz w:val="22"/>
          <w:szCs w:val="22"/>
        </w:rPr>
        <w:t>Calculation of Completion Rates</w:t>
      </w:r>
    </w:p>
    <w:p w:rsidR="00557499" w:rsidRPr="00557499" w:rsidRDefault="00557499" w:rsidP="00557499">
      <w:pPr>
        <w:numPr>
          <w:ilvl w:val="0"/>
          <w:numId w:val="8"/>
        </w:numPr>
        <w:contextualSpacing/>
        <w:rPr>
          <w:rFonts w:eastAsia="Calibri"/>
          <w:szCs w:val="22"/>
        </w:rPr>
      </w:pPr>
      <w:r w:rsidRPr="00557499">
        <w:rPr>
          <w:rFonts w:eastAsia="Calibri"/>
          <w:sz w:val="22"/>
          <w:szCs w:val="22"/>
        </w:rPr>
        <w:t>Calculation of Placement Rates</w:t>
      </w:r>
    </w:p>
    <w:p w:rsidR="00557499" w:rsidRPr="00557499" w:rsidRDefault="00557499" w:rsidP="00557499">
      <w:pPr>
        <w:rPr>
          <w:rFonts w:eastAsia="Calibri"/>
          <w:szCs w:val="22"/>
        </w:rPr>
      </w:pPr>
      <w:r w:rsidRPr="00557499">
        <w:rPr>
          <w:rFonts w:eastAsia="Calibri"/>
          <w:szCs w:val="22"/>
        </w:rPr>
        <w:t>§668.10 – Direct Assessment Programs</w:t>
      </w:r>
    </w:p>
    <w:p w:rsidR="00557499" w:rsidRPr="00557499" w:rsidRDefault="00557499" w:rsidP="00557499">
      <w:pPr>
        <w:rPr>
          <w:rFonts w:eastAsia="Calibri"/>
          <w:szCs w:val="22"/>
        </w:rPr>
      </w:pPr>
      <w:r w:rsidRPr="00557499">
        <w:rPr>
          <w:rFonts w:eastAsia="Calibri"/>
          <w:szCs w:val="22"/>
        </w:rPr>
        <w:t>§668.13 – Certification Procedures</w:t>
      </w:r>
    </w:p>
    <w:p w:rsidR="00557499" w:rsidRPr="00557499" w:rsidRDefault="00557499" w:rsidP="00557499">
      <w:pPr>
        <w:rPr>
          <w:rFonts w:eastAsia="Calibri"/>
          <w:szCs w:val="22"/>
        </w:rPr>
      </w:pPr>
      <w:r w:rsidRPr="00557499">
        <w:rPr>
          <w:rFonts w:eastAsia="Calibri"/>
          <w:szCs w:val="22"/>
        </w:rPr>
        <w:t>§668.15 – Factors of Financial Responsibility</w:t>
      </w:r>
    </w:p>
    <w:p w:rsidR="00557499" w:rsidRPr="00557499" w:rsidRDefault="00557499" w:rsidP="00557499">
      <w:pPr>
        <w:rPr>
          <w:rFonts w:eastAsia="Calibri"/>
          <w:szCs w:val="22"/>
        </w:rPr>
      </w:pPr>
      <w:r w:rsidRPr="00557499">
        <w:rPr>
          <w:rFonts w:eastAsia="Calibri"/>
          <w:szCs w:val="22"/>
        </w:rPr>
        <w:t>§668.16 – Standards of Administrative Capability</w:t>
      </w:r>
    </w:p>
    <w:p w:rsidR="00557499" w:rsidRPr="00557499" w:rsidRDefault="00557499" w:rsidP="00557499">
      <w:pPr>
        <w:rPr>
          <w:rFonts w:eastAsia="Calibri"/>
          <w:szCs w:val="22"/>
        </w:rPr>
      </w:pPr>
      <w:r w:rsidRPr="00557499">
        <w:rPr>
          <w:rFonts w:eastAsia="Calibri"/>
          <w:szCs w:val="22"/>
        </w:rPr>
        <w:t>§668.23 – Compliance Audits and Audited Financial Statements</w:t>
      </w:r>
    </w:p>
    <w:p w:rsidR="00557499" w:rsidRPr="00557499" w:rsidRDefault="00557499" w:rsidP="00557499">
      <w:pPr>
        <w:rPr>
          <w:rFonts w:eastAsia="Calibri"/>
          <w:szCs w:val="22"/>
        </w:rPr>
      </w:pPr>
      <w:r w:rsidRPr="00557499">
        <w:rPr>
          <w:rFonts w:eastAsia="Calibri"/>
          <w:szCs w:val="22"/>
        </w:rPr>
        <w:t>§668.28 – Non-Title IV Revenue (90/10)</w:t>
      </w:r>
    </w:p>
    <w:p w:rsidR="00557499" w:rsidRPr="00557499" w:rsidRDefault="00557499" w:rsidP="00557499">
      <w:pPr>
        <w:rPr>
          <w:rFonts w:eastAsia="Calibri"/>
          <w:szCs w:val="22"/>
        </w:rPr>
      </w:pPr>
      <w:r w:rsidRPr="00557499">
        <w:rPr>
          <w:rFonts w:eastAsia="Calibri"/>
          <w:szCs w:val="22"/>
        </w:rPr>
        <w:t>§668.43 – Institutional Information</w:t>
      </w:r>
    </w:p>
    <w:p w:rsidR="00557499" w:rsidRPr="00557499" w:rsidRDefault="00557499" w:rsidP="00557499">
      <w:pPr>
        <w:rPr>
          <w:rFonts w:eastAsia="Calibri"/>
          <w:szCs w:val="22"/>
        </w:rPr>
      </w:pPr>
      <w:r w:rsidRPr="00557499">
        <w:rPr>
          <w:rFonts w:eastAsia="Calibri"/>
          <w:szCs w:val="22"/>
        </w:rPr>
        <w:t>§668.46 – Institutional Security Policies and Crime Statistics</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Subpart E – VERIFICATION AND UPDATING OF STUDENT AID APPLICATION INFORMATION</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Subpart F – MISREPRESENTATION</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Subpart G – FINE, LIMITATION, SUSPENSION AND TERMINATION PROCEEDINGS</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 xml:space="preserve">Subpart H – APPEAL PROCEDURES FOR AUDIT DETERMINATIONS AND PROGRAM REVIEW DETERMINATIONS </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Subpart J – APPROVAL OF INDEPENDENTLY ADMINISTERED TESTS; SPECIFICATION OF PASSING SCORE; APPROVAL OF STATE PROCESS</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Subpart K – CASH MANAGEMENT</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Subpart L – FINANCIAL RESPONSIBILITY</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Subpart M – TWO YEAR COHORT DEFAULT RATES</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Subpart N – COHORT DEFAULT RATE</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Subpart R – PROGRAM COHORT DEFAULT RATE</w:t>
      </w:r>
    </w:p>
    <w:p w:rsidR="00557499" w:rsidRPr="00557499" w:rsidRDefault="00557499" w:rsidP="00557499">
      <w:pPr>
        <w:rPr>
          <w:rFonts w:eastAsia="Calibri"/>
          <w:szCs w:val="22"/>
        </w:rPr>
      </w:pPr>
    </w:p>
    <w:p w:rsidR="00557499" w:rsidRPr="00557499" w:rsidRDefault="00557499" w:rsidP="00557499">
      <w:pPr>
        <w:rPr>
          <w:rFonts w:eastAsia="Calibri"/>
          <w:sz w:val="28"/>
          <w:szCs w:val="28"/>
        </w:rPr>
      </w:pPr>
      <w:r w:rsidRPr="00557499">
        <w:rPr>
          <w:rFonts w:eastAsia="Calibri"/>
          <w:sz w:val="28"/>
          <w:szCs w:val="28"/>
        </w:rPr>
        <w:lastRenderedPageBreak/>
        <w:t>PART 690 – FEDERAL PELL GRANT PROGRAM</w:t>
      </w:r>
    </w:p>
    <w:p w:rsidR="00557499" w:rsidRPr="00557499" w:rsidRDefault="00557499" w:rsidP="00557499">
      <w:pPr>
        <w:rPr>
          <w:rFonts w:eastAsia="Calibri"/>
          <w:szCs w:val="22"/>
        </w:rPr>
      </w:pPr>
      <w:r w:rsidRPr="00557499">
        <w:rPr>
          <w:rFonts w:eastAsia="Calibri"/>
          <w:szCs w:val="22"/>
        </w:rPr>
        <w:t>§690.8 – Enrollment Status for Students Taking Regular and Correspondence Courses</w:t>
      </w:r>
    </w:p>
    <w:p w:rsidR="00557499" w:rsidRPr="00557499" w:rsidRDefault="00557499" w:rsidP="00557499">
      <w:pPr>
        <w:rPr>
          <w:rFonts w:eastAsia="Calibri"/>
          <w:szCs w:val="22"/>
        </w:rPr>
      </w:pPr>
      <w:r w:rsidRPr="00557499">
        <w:rPr>
          <w:rFonts w:eastAsia="Calibri"/>
          <w:szCs w:val="22"/>
        </w:rPr>
        <w:t>§690.12 – Application.</w:t>
      </w:r>
    </w:p>
    <w:p w:rsidR="00557499" w:rsidRDefault="00557499" w:rsidP="00557499">
      <w:pPr>
        <w:rPr>
          <w:rFonts w:eastAsia="Calibri"/>
          <w:szCs w:val="22"/>
        </w:rPr>
      </w:pPr>
    </w:p>
    <w:p w:rsidR="00E730F8" w:rsidRPr="00557499" w:rsidRDefault="00E730F8" w:rsidP="00557499">
      <w:pPr>
        <w:rPr>
          <w:rFonts w:eastAsia="Calibri"/>
          <w:szCs w:val="22"/>
        </w:rPr>
      </w:pPr>
    </w:p>
    <w:p w:rsidR="00557499" w:rsidRPr="00E730F8" w:rsidRDefault="00557499" w:rsidP="00557499">
      <w:pPr>
        <w:rPr>
          <w:rFonts w:eastAsia="Calibri"/>
          <w:b/>
          <w:szCs w:val="22"/>
        </w:rPr>
      </w:pPr>
      <w:r w:rsidRPr="00E730F8">
        <w:rPr>
          <w:rFonts w:eastAsia="Calibri"/>
          <w:b/>
          <w:szCs w:val="22"/>
        </w:rPr>
        <w:t>SUMMARY</w:t>
      </w:r>
    </w:p>
    <w:p w:rsidR="00557499" w:rsidRPr="00557499" w:rsidRDefault="00557499" w:rsidP="00557499">
      <w:pPr>
        <w:rPr>
          <w:rFonts w:eastAsia="Calibri"/>
          <w:szCs w:val="22"/>
        </w:rPr>
      </w:pPr>
      <w:r w:rsidRPr="00557499">
        <w:rPr>
          <w:rFonts w:eastAsia="Calibri"/>
          <w:szCs w:val="22"/>
        </w:rPr>
        <w:t>In conclusion, AACS would like to begin by thanking the Administration and Department for the actions that you have already taken to revise, postpone, and/or delay harmful, potentially devastating, regulations promulgated by the previous Administration.  Subjecting the borrower defense to repayment, financial responsibility, and gainful employment regulations to a new round of Federal Negotiated Rulemaking was a bold first step in reforming the regulations, and we applaud you for it.</w:t>
      </w:r>
    </w:p>
    <w:p w:rsidR="00557499" w:rsidRPr="00557499" w:rsidRDefault="00557499" w:rsidP="00557499">
      <w:pPr>
        <w:rPr>
          <w:rFonts w:eastAsia="Calibri"/>
          <w:szCs w:val="22"/>
        </w:rPr>
      </w:pPr>
    </w:p>
    <w:p w:rsidR="00557499" w:rsidRPr="00557499" w:rsidRDefault="00557499" w:rsidP="00557499">
      <w:pPr>
        <w:rPr>
          <w:rFonts w:eastAsia="Calibri"/>
          <w:szCs w:val="22"/>
        </w:rPr>
      </w:pPr>
      <w:r w:rsidRPr="00557499">
        <w:rPr>
          <w:rFonts w:eastAsia="Calibri"/>
          <w:szCs w:val="22"/>
        </w:rPr>
        <w:t>For our part, AACS will be submitting a full slate of nominees for your consideration by the September 29, 2017 deadline, and we have already begun developing our recommendations and revisions in preparation for the Committee meetings beginning in November.</w:t>
      </w:r>
    </w:p>
    <w:p w:rsidR="00557499" w:rsidRPr="00557499" w:rsidRDefault="00557499" w:rsidP="00557499">
      <w:pPr>
        <w:rPr>
          <w:rFonts w:eastAsia="Calibri"/>
          <w:szCs w:val="22"/>
        </w:rPr>
      </w:pPr>
    </w:p>
    <w:p w:rsidR="00557499" w:rsidRDefault="00557499" w:rsidP="00557499">
      <w:pPr>
        <w:rPr>
          <w:rFonts w:eastAsia="Calibri"/>
          <w:szCs w:val="22"/>
        </w:rPr>
      </w:pPr>
      <w:r w:rsidRPr="00557499">
        <w:rPr>
          <w:rFonts w:eastAsia="Calibri"/>
          <w:szCs w:val="22"/>
        </w:rPr>
        <w:t>We look forward to helping address the issues contained in those vitally important negotiations with you and the rest of the higher education community, as well as the continuation of discussions around additional regulatory reforms like those we will present on October 4, 2017.</w:t>
      </w:r>
    </w:p>
    <w:p w:rsidR="00557499" w:rsidRPr="00557499" w:rsidRDefault="00557499" w:rsidP="00557499">
      <w:pPr>
        <w:rPr>
          <w:rFonts w:eastAsia="Calibri"/>
          <w:szCs w:val="22"/>
        </w:rPr>
      </w:pPr>
    </w:p>
    <w:p w:rsidR="007E18C9" w:rsidRPr="007E18C9" w:rsidRDefault="00557499" w:rsidP="00557499">
      <w:pPr>
        <w:shd w:val="clear" w:color="auto" w:fill="FFFFFF"/>
        <w:spacing w:before="100" w:beforeAutospacing="1" w:after="100" w:afterAutospacing="1" w:line="276" w:lineRule="auto"/>
        <w:rPr>
          <w:color w:val="000000"/>
        </w:rPr>
      </w:pPr>
      <w:r>
        <w:rPr>
          <w:color w:val="000000"/>
        </w:rPr>
        <w:t>Sincerely,</w:t>
      </w:r>
    </w:p>
    <w:p w:rsidR="007E18C9" w:rsidRDefault="006B5A9A" w:rsidP="003D5353">
      <w:pPr>
        <w:shd w:val="clear" w:color="auto" w:fill="FFFFFF"/>
        <w:spacing w:before="100" w:beforeAutospacing="1" w:after="100" w:afterAutospacing="1" w:line="276" w:lineRule="auto"/>
        <w:rPr>
          <w:color w:val="000000"/>
        </w:rPr>
      </w:pPr>
      <w:r>
        <w:rPr>
          <w:noProof/>
          <w:color w:val="000000"/>
        </w:rPr>
        <w:drawing>
          <wp:anchor distT="0" distB="0" distL="114300" distR="114300" simplePos="0" relativeHeight="251657728" behindDoc="0" locked="0" layoutInCell="1" allowOverlap="1">
            <wp:simplePos x="0" y="0"/>
            <wp:positionH relativeFrom="column">
              <wp:posOffset>-139065</wp:posOffset>
            </wp:positionH>
            <wp:positionV relativeFrom="paragraph">
              <wp:posOffset>101600</wp:posOffset>
            </wp:positionV>
            <wp:extent cx="2010410" cy="10109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0410" cy="1010920"/>
                    </a:xfrm>
                    <a:prstGeom prst="rect">
                      <a:avLst/>
                    </a:prstGeom>
                    <a:noFill/>
                  </pic:spPr>
                </pic:pic>
              </a:graphicData>
            </a:graphic>
            <wp14:sizeRelH relativeFrom="page">
              <wp14:pctWidth>0</wp14:pctWidth>
            </wp14:sizeRelH>
            <wp14:sizeRelV relativeFrom="page">
              <wp14:pctHeight>0</wp14:pctHeight>
            </wp14:sizeRelV>
          </wp:anchor>
        </w:drawing>
      </w:r>
      <w:r w:rsidR="007E18C9" w:rsidRPr="007E18C9">
        <w:rPr>
          <w:color w:val="000000"/>
        </w:rPr>
        <w:t>O. David Jackson</w:t>
      </w:r>
    </w:p>
    <w:p w:rsidR="003D5353" w:rsidRDefault="003D5353" w:rsidP="003D5353">
      <w:pPr>
        <w:shd w:val="clear" w:color="auto" w:fill="FFFFFF"/>
        <w:spacing w:before="100" w:beforeAutospacing="1" w:after="100" w:afterAutospacing="1" w:line="276" w:lineRule="auto"/>
        <w:rPr>
          <w:color w:val="000000"/>
        </w:rPr>
      </w:pPr>
    </w:p>
    <w:p w:rsidR="005F0EF6" w:rsidRPr="00F671A4" w:rsidRDefault="00557499" w:rsidP="00F671A4">
      <w:pPr>
        <w:shd w:val="clear" w:color="auto" w:fill="FFFFFF"/>
        <w:spacing w:before="100" w:beforeAutospacing="1" w:after="100" w:afterAutospacing="1" w:line="276" w:lineRule="auto"/>
        <w:rPr>
          <w:color w:val="000000"/>
        </w:rPr>
      </w:pPr>
      <w:r>
        <w:rPr>
          <w:color w:val="000000"/>
        </w:rPr>
        <w:t>Interim</w:t>
      </w:r>
      <w:r w:rsidR="007E18C9" w:rsidRPr="007E18C9">
        <w:rPr>
          <w:color w:val="000000"/>
        </w:rPr>
        <w:t xml:space="preserve"> Executive Director, AACS </w:t>
      </w:r>
    </w:p>
    <w:sectPr w:rsidR="005F0EF6" w:rsidRPr="00F671A4" w:rsidSect="00557499">
      <w:headerReference w:type="default" r:id="rId9"/>
      <w:footerReference w:type="even" r:id="rId10"/>
      <w:footerReference w:type="first" r:id="rId11"/>
      <w:pgSz w:w="12240" w:h="15840"/>
      <w:pgMar w:top="3060" w:right="1440" w:bottom="1080" w:left="2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670" w:rsidRDefault="003B4670" w:rsidP="007E18C9">
      <w:r>
        <w:separator/>
      </w:r>
    </w:p>
  </w:endnote>
  <w:endnote w:type="continuationSeparator" w:id="0">
    <w:p w:rsidR="003B4670" w:rsidRDefault="003B4670" w:rsidP="007E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3000000" w:usb1="00000000" w:usb2="00000000" w:usb3="00000000" w:csb0="00000001" w:csb1="00000000"/>
  </w:font>
  <w:font w:name="Myriad Pro">
    <w:charset w:val="00"/>
    <w:family w:val="auto"/>
    <w:pitch w:val="variable"/>
    <w:sig w:usb0="03000000" w:usb1="00000000" w:usb2="00000000" w:usb3="00000000" w:csb0="00000001" w:csb1="00000000"/>
  </w:font>
  <w:font w:name="MyriadPro-It">
    <w:altName w:val="Myriad Pro It"/>
    <w:panose1 w:val="00000000000000000000"/>
    <w:charset w:val="4D"/>
    <w:family w:val="auto"/>
    <w:notTrueType/>
    <w:pitch w:val="default"/>
    <w:sig w:usb0="00000003" w:usb1="00000000" w:usb2="00000000" w:usb3="00000000" w:csb0="00000001" w:csb1="00000000"/>
  </w:font>
  <w:font w:name="MyriadPro-Regular">
    <w:altName w:val="Myriad Pro"/>
    <w:panose1 w:val="00000000000000000000"/>
    <w:charset w:val="4D"/>
    <w:family w:val="auto"/>
    <w:notTrueType/>
    <w:pitch w:val="default"/>
    <w:sig w:usb0="00000003" w:usb1="00000000" w:usb2="00000000" w:usb3="00000000" w:csb0="00000001" w:csb1="00000000"/>
  </w:font>
  <w:font w:name="Myriad Pro Bold">
    <w:charset w:val="00"/>
    <w:family w:val="auto"/>
    <w:pitch w:val="variable"/>
    <w:sig w:usb0="03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iDocIDFieldf2909acf-d049-4b0c-90df-4912"/>
  <w:p w:rsidR="00553902" w:rsidRDefault="00553902">
    <w:pPr>
      <w:pStyle w:val="DocID"/>
    </w:pPr>
    <w:r>
      <w:fldChar w:fldCharType="begin"/>
    </w:r>
    <w:r>
      <w:instrText xml:space="preserve">  DOCPROPERTY "CUS_DocIDChunk0" </w:instrText>
    </w:r>
    <w:r>
      <w:fldChar w:fldCharType="separate"/>
    </w:r>
    <w:r>
      <w:rPr>
        <w:noProof/>
      </w:rPr>
      <w:t>42904438;1</w:t>
    </w:r>
    <w:r>
      <w:fldChar w:fldCharType="end"/>
    </w:r>
    <w:bookmarkEnd w:id="1"/>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 w:name="_iDocIDField61711025-e3f7-44fc-bb46-84f7"/>
  <w:p w:rsidR="00553902" w:rsidRDefault="00553902">
    <w:pPr>
      <w:pStyle w:val="DocID"/>
    </w:pPr>
    <w:r>
      <w:fldChar w:fldCharType="begin"/>
    </w:r>
    <w:r>
      <w:instrText xml:space="preserve">  DOCPROPERTY "CUS_DocIDChunk0" </w:instrText>
    </w:r>
    <w:r>
      <w:fldChar w:fldCharType="separate"/>
    </w:r>
    <w:r>
      <w:rPr>
        <w:noProof/>
      </w:rPr>
      <w:t>42904438;1</w:t>
    </w:r>
    <w:r>
      <w:fldChar w:fldCharType="end"/>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670" w:rsidRDefault="003B4670" w:rsidP="007E18C9">
      <w:r>
        <w:separator/>
      </w:r>
    </w:p>
  </w:footnote>
  <w:footnote w:type="continuationSeparator" w:id="0">
    <w:p w:rsidR="003B4670" w:rsidRDefault="003B4670" w:rsidP="007E1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8C9" w:rsidRDefault="006B5A9A">
    <w:pPr>
      <w:pStyle w:val="Header"/>
    </w:pPr>
    <w:r>
      <w:rPr>
        <w:noProof/>
      </w:rPr>
      <w:drawing>
        <wp:anchor distT="0" distB="0" distL="114300" distR="114300" simplePos="0" relativeHeight="251657728" behindDoc="1" locked="0" layoutInCell="1" allowOverlap="1">
          <wp:simplePos x="0" y="0"/>
          <wp:positionH relativeFrom="column">
            <wp:posOffset>-1134745</wp:posOffset>
          </wp:positionH>
          <wp:positionV relativeFrom="paragraph">
            <wp:posOffset>60325</wp:posOffset>
          </wp:positionV>
          <wp:extent cx="6400800" cy="1308100"/>
          <wp:effectExtent l="0" t="0" r="0" b="0"/>
          <wp:wrapNone/>
          <wp:docPr id="2" name="Picture 4" descr="AACS041_LTR_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ACS041_LTR_F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308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980"/>
    <w:multiLevelType w:val="hybridMultilevel"/>
    <w:tmpl w:val="AB6E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10596"/>
    <w:multiLevelType w:val="hybridMultilevel"/>
    <w:tmpl w:val="909C3B4C"/>
    <w:lvl w:ilvl="0" w:tplc="47A61F36">
      <w:start w:val="1"/>
      <w:numFmt w:val="bullet"/>
      <w:lvlText w:val=""/>
      <w:lvlJc w:val="left"/>
      <w:pPr>
        <w:ind w:left="720" w:hanging="360"/>
      </w:pPr>
      <w:rPr>
        <w:rFonts w:ascii="Symbol" w:hAnsi="Symbol" w:hint="default"/>
      </w:rPr>
    </w:lvl>
    <w:lvl w:ilvl="1" w:tplc="BDA26958" w:tentative="1">
      <w:start w:val="1"/>
      <w:numFmt w:val="bullet"/>
      <w:lvlText w:val="o"/>
      <w:lvlJc w:val="left"/>
      <w:pPr>
        <w:ind w:left="1440" w:hanging="360"/>
      </w:pPr>
      <w:rPr>
        <w:rFonts w:ascii="Courier New" w:hAnsi="Courier New" w:cs="Courier New" w:hint="default"/>
      </w:rPr>
    </w:lvl>
    <w:lvl w:ilvl="2" w:tplc="DF6E33FC" w:tentative="1">
      <w:start w:val="1"/>
      <w:numFmt w:val="bullet"/>
      <w:lvlText w:val=""/>
      <w:lvlJc w:val="left"/>
      <w:pPr>
        <w:ind w:left="2160" w:hanging="360"/>
      </w:pPr>
      <w:rPr>
        <w:rFonts w:ascii="Wingdings" w:hAnsi="Wingdings" w:hint="default"/>
      </w:rPr>
    </w:lvl>
    <w:lvl w:ilvl="3" w:tplc="CA4EC03A" w:tentative="1">
      <w:start w:val="1"/>
      <w:numFmt w:val="bullet"/>
      <w:lvlText w:val=""/>
      <w:lvlJc w:val="left"/>
      <w:pPr>
        <w:ind w:left="2880" w:hanging="360"/>
      </w:pPr>
      <w:rPr>
        <w:rFonts w:ascii="Symbol" w:hAnsi="Symbol" w:hint="default"/>
      </w:rPr>
    </w:lvl>
    <w:lvl w:ilvl="4" w:tplc="05DC1F5E" w:tentative="1">
      <w:start w:val="1"/>
      <w:numFmt w:val="bullet"/>
      <w:lvlText w:val="o"/>
      <w:lvlJc w:val="left"/>
      <w:pPr>
        <w:ind w:left="3600" w:hanging="360"/>
      </w:pPr>
      <w:rPr>
        <w:rFonts w:ascii="Courier New" w:hAnsi="Courier New" w:cs="Courier New" w:hint="default"/>
      </w:rPr>
    </w:lvl>
    <w:lvl w:ilvl="5" w:tplc="BB205A9C" w:tentative="1">
      <w:start w:val="1"/>
      <w:numFmt w:val="bullet"/>
      <w:lvlText w:val=""/>
      <w:lvlJc w:val="left"/>
      <w:pPr>
        <w:ind w:left="4320" w:hanging="360"/>
      </w:pPr>
      <w:rPr>
        <w:rFonts w:ascii="Wingdings" w:hAnsi="Wingdings" w:hint="default"/>
      </w:rPr>
    </w:lvl>
    <w:lvl w:ilvl="6" w:tplc="79309E72" w:tentative="1">
      <w:start w:val="1"/>
      <w:numFmt w:val="bullet"/>
      <w:lvlText w:val=""/>
      <w:lvlJc w:val="left"/>
      <w:pPr>
        <w:ind w:left="5040" w:hanging="360"/>
      </w:pPr>
      <w:rPr>
        <w:rFonts w:ascii="Symbol" w:hAnsi="Symbol" w:hint="default"/>
      </w:rPr>
    </w:lvl>
    <w:lvl w:ilvl="7" w:tplc="25860902" w:tentative="1">
      <w:start w:val="1"/>
      <w:numFmt w:val="bullet"/>
      <w:lvlText w:val="o"/>
      <w:lvlJc w:val="left"/>
      <w:pPr>
        <w:ind w:left="5760" w:hanging="360"/>
      </w:pPr>
      <w:rPr>
        <w:rFonts w:ascii="Courier New" w:hAnsi="Courier New" w:cs="Courier New" w:hint="default"/>
      </w:rPr>
    </w:lvl>
    <w:lvl w:ilvl="8" w:tplc="FD3A2C12" w:tentative="1">
      <w:start w:val="1"/>
      <w:numFmt w:val="bullet"/>
      <w:lvlText w:val=""/>
      <w:lvlJc w:val="left"/>
      <w:pPr>
        <w:ind w:left="6480" w:hanging="360"/>
      </w:pPr>
      <w:rPr>
        <w:rFonts w:ascii="Wingdings" w:hAnsi="Wingdings" w:hint="default"/>
      </w:rPr>
    </w:lvl>
  </w:abstractNum>
  <w:abstractNum w:abstractNumId="2" w15:restartNumberingAfterBreak="0">
    <w:nsid w:val="1C7E3A40"/>
    <w:multiLevelType w:val="hybridMultilevel"/>
    <w:tmpl w:val="E332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B3481"/>
    <w:multiLevelType w:val="hybridMultilevel"/>
    <w:tmpl w:val="FFAE74E2"/>
    <w:lvl w:ilvl="0" w:tplc="6DFA9AD8">
      <w:start w:val="1"/>
      <w:numFmt w:val="bullet"/>
      <w:lvlText w:val=""/>
      <w:lvlJc w:val="left"/>
      <w:pPr>
        <w:ind w:left="1440" w:hanging="360"/>
      </w:pPr>
      <w:rPr>
        <w:rFonts w:ascii="Symbol" w:hAnsi="Symbol" w:hint="default"/>
      </w:rPr>
    </w:lvl>
    <w:lvl w:ilvl="1" w:tplc="E514D320" w:tentative="1">
      <w:start w:val="1"/>
      <w:numFmt w:val="bullet"/>
      <w:lvlText w:val="o"/>
      <w:lvlJc w:val="left"/>
      <w:pPr>
        <w:ind w:left="2160" w:hanging="360"/>
      </w:pPr>
      <w:rPr>
        <w:rFonts w:ascii="Courier New" w:hAnsi="Courier New" w:cs="Courier New" w:hint="default"/>
      </w:rPr>
    </w:lvl>
    <w:lvl w:ilvl="2" w:tplc="EFC05016" w:tentative="1">
      <w:start w:val="1"/>
      <w:numFmt w:val="bullet"/>
      <w:lvlText w:val=""/>
      <w:lvlJc w:val="left"/>
      <w:pPr>
        <w:ind w:left="2880" w:hanging="360"/>
      </w:pPr>
      <w:rPr>
        <w:rFonts w:ascii="Wingdings" w:hAnsi="Wingdings" w:hint="default"/>
      </w:rPr>
    </w:lvl>
    <w:lvl w:ilvl="3" w:tplc="B34013D4" w:tentative="1">
      <w:start w:val="1"/>
      <w:numFmt w:val="bullet"/>
      <w:lvlText w:val=""/>
      <w:lvlJc w:val="left"/>
      <w:pPr>
        <w:ind w:left="3600" w:hanging="360"/>
      </w:pPr>
      <w:rPr>
        <w:rFonts w:ascii="Symbol" w:hAnsi="Symbol" w:hint="default"/>
      </w:rPr>
    </w:lvl>
    <w:lvl w:ilvl="4" w:tplc="0D2458A2" w:tentative="1">
      <w:start w:val="1"/>
      <w:numFmt w:val="bullet"/>
      <w:lvlText w:val="o"/>
      <w:lvlJc w:val="left"/>
      <w:pPr>
        <w:ind w:left="4320" w:hanging="360"/>
      </w:pPr>
      <w:rPr>
        <w:rFonts w:ascii="Courier New" w:hAnsi="Courier New" w:cs="Courier New" w:hint="default"/>
      </w:rPr>
    </w:lvl>
    <w:lvl w:ilvl="5" w:tplc="AB242988" w:tentative="1">
      <w:start w:val="1"/>
      <w:numFmt w:val="bullet"/>
      <w:lvlText w:val=""/>
      <w:lvlJc w:val="left"/>
      <w:pPr>
        <w:ind w:left="5040" w:hanging="360"/>
      </w:pPr>
      <w:rPr>
        <w:rFonts w:ascii="Wingdings" w:hAnsi="Wingdings" w:hint="default"/>
      </w:rPr>
    </w:lvl>
    <w:lvl w:ilvl="6" w:tplc="AADEB63C" w:tentative="1">
      <w:start w:val="1"/>
      <w:numFmt w:val="bullet"/>
      <w:lvlText w:val=""/>
      <w:lvlJc w:val="left"/>
      <w:pPr>
        <w:ind w:left="5760" w:hanging="360"/>
      </w:pPr>
      <w:rPr>
        <w:rFonts w:ascii="Symbol" w:hAnsi="Symbol" w:hint="default"/>
      </w:rPr>
    </w:lvl>
    <w:lvl w:ilvl="7" w:tplc="CAA0E260" w:tentative="1">
      <w:start w:val="1"/>
      <w:numFmt w:val="bullet"/>
      <w:lvlText w:val="o"/>
      <w:lvlJc w:val="left"/>
      <w:pPr>
        <w:ind w:left="6480" w:hanging="360"/>
      </w:pPr>
      <w:rPr>
        <w:rFonts w:ascii="Courier New" w:hAnsi="Courier New" w:cs="Courier New" w:hint="default"/>
      </w:rPr>
    </w:lvl>
    <w:lvl w:ilvl="8" w:tplc="266072F0" w:tentative="1">
      <w:start w:val="1"/>
      <w:numFmt w:val="bullet"/>
      <w:lvlText w:val=""/>
      <w:lvlJc w:val="left"/>
      <w:pPr>
        <w:ind w:left="7200" w:hanging="360"/>
      </w:pPr>
      <w:rPr>
        <w:rFonts w:ascii="Wingdings" w:hAnsi="Wingdings" w:hint="default"/>
      </w:rPr>
    </w:lvl>
  </w:abstractNum>
  <w:abstractNum w:abstractNumId="4" w15:restartNumberingAfterBreak="0">
    <w:nsid w:val="3DFF1257"/>
    <w:multiLevelType w:val="hybridMultilevel"/>
    <w:tmpl w:val="827E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C4F0F"/>
    <w:multiLevelType w:val="hybridMultilevel"/>
    <w:tmpl w:val="775C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20097"/>
    <w:multiLevelType w:val="hybridMultilevel"/>
    <w:tmpl w:val="78AA6EC6"/>
    <w:lvl w:ilvl="0" w:tplc="4D9496B6">
      <w:start w:val="1"/>
      <w:numFmt w:val="bullet"/>
      <w:lvlText w:val=""/>
      <w:lvlJc w:val="left"/>
      <w:pPr>
        <w:ind w:left="720" w:hanging="360"/>
      </w:pPr>
      <w:rPr>
        <w:rFonts w:ascii="Symbol" w:hAnsi="Symbol" w:hint="default"/>
      </w:rPr>
    </w:lvl>
    <w:lvl w:ilvl="1" w:tplc="585E8580" w:tentative="1">
      <w:start w:val="1"/>
      <w:numFmt w:val="bullet"/>
      <w:lvlText w:val="o"/>
      <w:lvlJc w:val="left"/>
      <w:pPr>
        <w:ind w:left="1440" w:hanging="360"/>
      </w:pPr>
      <w:rPr>
        <w:rFonts w:ascii="Courier New" w:hAnsi="Courier New" w:cs="Courier New" w:hint="default"/>
      </w:rPr>
    </w:lvl>
    <w:lvl w:ilvl="2" w:tplc="FC96CCAA" w:tentative="1">
      <w:start w:val="1"/>
      <w:numFmt w:val="bullet"/>
      <w:lvlText w:val=""/>
      <w:lvlJc w:val="left"/>
      <w:pPr>
        <w:ind w:left="2160" w:hanging="360"/>
      </w:pPr>
      <w:rPr>
        <w:rFonts w:ascii="Wingdings" w:hAnsi="Wingdings" w:hint="default"/>
      </w:rPr>
    </w:lvl>
    <w:lvl w:ilvl="3" w:tplc="3D46317E" w:tentative="1">
      <w:start w:val="1"/>
      <w:numFmt w:val="bullet"/>
      <w:lvlText w:val=""/>
      <w:lvlJc w:val="left"/>
      <w:pPr>
        <w:ind w:left="2880" w:hanging="360"/>
      </w:pPr>
      <w:rPr>
        <w:rFonts w:ascii="Symbol" w:hAnsi="Symbol" w:hint="default"/>
      </w:rPr>
    </w:lvl>
    <w:lvl w:ilvl="4" w:tplc="05AE3164" w:tentative="1">
      <w:start w:val="1"/>
      <w:numFmt w:val="bullet"/>
      <w:lvlText w:val="o"/>
      <w:lvlJc w:val="left"/>
      <w:pPr>
        <w:ind w:left="3600" w:hanging="360"/>
      </w:pPr>
      <w:rPr>
        <w:rFonts w:ascii="Courier New" w:hAnsi="Courier New" w:cs="Courier New" w:hint="default"/>
      </w:rPr>
    </w:lvl>
    <w:lvl w:ilvl="5" w:tplc="1D4C5A64" w:tentative="1">
      <w:start w:val="1"/>
      <w:numFmt w:val="bullet"/>
      <w:lvlText w:val=""/>
      <w:lvlJc w:val="left"/>
      <w:pPr>
        <w:ind w:left="4320" w:hanging="360"/>
      </w:pPr>
      <w:rPr>
        <w:rFonts w:ascii="Wingdings" w:hAnsi="Wingdings" w:hint="default"/>
      </w:rPr>
    </w:lvl>
    <w:lvl w:ilvl="6" w:tplc="087E1D42" w:tentative="1">
      <w:start w:val="1"/>
      <w:numFmt w:val="bullet"/>
      <w:lvlText w:val=""/>
      <w:lvlJc w:val="left"/>
      <w:pPr>
        <w:ind w:left="5040" w:hanging="360"/>
      </w:pPr>
      <w:rPr>
        <w:rFonts w:ascii="Symbol" w:hAnsi="Symbol" w:hint="default"/>
      </w:rPr>
    </w:lvl>
    <w:lvl w:ilvl="7" w:tplc="AD3C7986" w:tentative="1">
      <w:start w:val="1"/>
      <w:numFmt w:val="bullet"/>
      <w:lvlText w:val="o"/>
      <w:lvlJc w:val="left"/>
      <w:pPr>
        <w:ind w:left="5760" w:hanging="360"/>
      </w:pPr>
      <w:rPr>
        <w:rFonts w:ascii="Courier New" w:hAnsi="Courier New" w:cs="Courier New" w:hint="default"/>
      </w:rPr>
    </w:lvl>
    <w:lvl w:ilvl="8" w:tplc="662AC9B2" w:tentative="1">
      <w:start w:val="1"/>
      <w:numFmt w:val="bullet"/>
      <w:lvlText w:val=""/>
      <w:lvlJc w:val="left"/>
      <w:pPr>
        <w:ind w:left="6480" w:hanging="360"/>
      </w:pPr>
      <w:rPr>
        <w:rFonts w:ascii="Wingdings" w:hAnsi="Wingdings" w:hint="default"/>
      </w:rPr>
    </w:lvl>
  </w:abstractNum>
  <w:abstractNum w:abstractNumId="7" w15:restartNumberingAfterBreak="0">
    <w:nsid w:val="7CB02F9E"/>
    <w:multiLevelType w:val="hybridMultilevel"/>
    <w:tmpl w:val="0CB033B4"/>
    <w:lvl w:ilvl="0" w:tplc="3F7A777E">
      <w:start w:val="1"/>
      <w:numFmt w:val="bullet"/>
      <w:lvlText w:val=""/>
      <w:lvlJc w:val="left"/>
      <w:pPr>
        <w:ind w:left="720" w:hanging="360"/>
      </w:pPr>
      <w:rPr>
        <w:rFonts w:ascii="Symbol" w:hAnsi="Symbol" w:hint="default"/>
      </w:rPr>
    </w:lvl>
    <w:lvl w:ilvl="1" w:tplc="7B1445EC" w:tentative="1">
      <w:start w:val="1"/>
      <w:numFmt w:val="bullet"/>
      <w:lvlText w:val="o"/>
      <w:lvlJc w:val="left"/>
      <w:pPr>
        <w:ind w:left="1440" w:hanging="360"/>
      </w:pPr>
      <w:rPr>
        <w:rFonts w:ascii="Courier New" w:hAnsi="Courier New" w:cs="Courier New" w:hint="default"/>
      </w:rPr>
    </w:lvl>
    <w:lvl w:ilvl="2" w:tplc="D0AAA936" w:tentative="1">
      <w:start w:val="1"/>
      <w:numFmt w:val="bullet"/>
      <w:lvlText w:val=""/>
      <w:lvlJc w:val="left"/>
      <w:pPr>
        <w:ind w:left="2160" w:hanging="360"/>
      </w:pPr>
      <w:rPr>
        <w:rFonts w:ascii="Wingdings" w:hAnsi="Wingdings" w:hint="default"/>
      </w:rPr>
    </w:lvl>
    <w:lvl w:ilvl="3" w:tplc="153CEFBA" w:tentative="1">
      <w:start w:val="1"/>
      <w:numFmt w:val="bullet"/>
      <w:lvlText w:val=""/>
      <w:lvlJc w:val="left"/>
      <w:pPr>
        <w:ind w:left="2880" w:hanging="360"/>
      </w:pPr>
      <w:rPr>
        <w:rFonts w:ascii="Symbol" w:hAnsi="Symbol" w:hint="default"/>
      </w:rPr>
    </w:lvl>
    <w:lvl w:ilvl="4" w:tplc="75500AF0" w:tentative="1">
      <w:start w:val="1"/>
      <w:numFmt w:val="bullet"/>
      <w:lvlText w:val="o"/>
      <w:lvlJc w:val="left"/>
      <w:pPr>
        <w:ind w:left="3600" w:hanging="360"/>
      </w:pPr>
      <w:rPr>
        <w:rFonts w:ascii="Courier New" w:hAnsi="Courier New" w:cs="Courier New" w:hint="default"/>
      </w:rPr>
    </w:lvl>
    <w:lvl w:ilvl="5" w:tplc="028C0442" w:tentative="1">
      <w:start w:val="1"/>
      <w:numFmt w:val="bullet"/>
      <w:lvlText w:val=""/>
      <w:lvlJc w:val="left"/>
      <w:pPr>
        <w:ind w:left="4320" w:hanging="360"/>
      </w:pPr>
      <w:rPr>
        <w:rFonts w:ascii="Wingdings" w:hAnsi="Wingdings" w:hint="default"/>
      </w:rPr>
    </w:lvl>
    <w:lvl w:ilvl="6" w:tplc="D4266008" w:tentative="1">
      <w:start w:val="1"/>
      <w:numFmt w:val="bullet"/>
      <w:lvlText w:val=""/>
      <w:lvlJc w:val="left"/>
      <w:pPr>
        <w:ind w:left="5040" w:hanging="360"/>
      </w:pPr>
      <w:rPr>
        <w:rFonts w:ascii="Symbol" w:hAnsi="Symbol" w:hint="default"/>
      </w:rPr>
    </w:lvl>
    <w:lvl w:ilvl="7" w:tplc="6CF2F5E6" w:tentative="1">
      <w:start w:val="1"/>
      <w:numFmt w:val="bullet"/>
      <w:lvlText w:val="o"/>
      <w:lvlJc w:val="left"/>
      <w:pPr>
        <w:ind w:left="5760" w:hanging="360"/>
      </w:pPr>
      <w:rPr>
        <w:rFonts w:ascii="Courier New" w:hAnsi="Courier New" w:cs="Courier New" w:hint="default"/>
      </w:rPr>
    </w:lvl>
    <w:lvl w:ilvl="8" w:tplc="02D61F08"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FB"/>
    <w:rsid w:val="000254B2"/>
    <w:rsid w:val="000A7AEA"/>
    <w:rsid w:val="001723D1"/>
    <w:rsid w:val="001F67BF"/>
    <w:rsid w:val="003B4670"/>
    <w:rsid w:val="003D5353"/>
    <w:rsid w:val="00464492"/>
    <w:rsid w:val="00553902"/>
    <w:rsid w:val="00557499"/>
    <w:rsid w:val="005F0EF6"/>
    <w:rsid w:val="005F4A17"/>
    <w:rsid w:val="00637059"/>
    <w:rsid w:val="00645F3A"/>
    <w:rsid w:val="006560BA"/>
    <w:rsid w:val="006B5A9A"/>
    <w:rsid w:val="006E42DB"/>
    <w:rsid w:val="006E4A70"/>
    <w:rsid w:val="00710840"/>
    <w:rsid w:val="007E18C9"/>
    <w:rsid w:val="00802A13"/>
    <w:rsid w:val="008149DA"/>
    <w:rsid w:val="00AA43D5"/>
    <w:rsid w:val="00AD2A49"/>
    <w:rsid w:val="00CD5BC3"/>
    <w:rsid w:val="00D806F2"/>
    <w:rsid w:val="00E169FC"/>
    <w:rsid w:val="00E66BB4"/>
    <w:rsid w:val="00E730F8"/>
    <w:rsid w:val="00F671A4"/>
    <w:rsid w:val="00F7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efaultImageDpi w14:val="330"/>
  <w15:chartTrackingRefBased/>
  <w15:docId w15:val="{11EC9645-C050-4FAD-BDE4-20FDDB3F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1173B"/>
    <w:rPr>
      <w:rFonts w:ascii="Lucida Grande" w:hAnsi="Lucida Grande"/>
      <w:sz w:val="18"/>
      <w:szCs w:val="18"/>
    </w:rPr>
  </w:style>
  <w:style w:type="paragraph" w:customStyle="1" w:styleId="Heading">
    <w:name w:val="Heading"/>
    <w:basedOn w:val="Normal"/>
    <w:rsid w:val="00DD7967"/>
    <w:pPr>
      <w:tabs>
        <w:tab w:val="left" w:pos="-270"/>
      </w:tabs>
      <w:ind w:left="-360"/>
    </w:pPr>
    <w:rPr>
      <w:rFonts w:ascii="Myriad Pro" w:hAnsi="Myriad Pro"/>
      <w:color w:val="AF0631"/>
      <w:sz w:val="44"/>
    </w:rPr>
  </w:style>
  <w:style w:type="paragraph" w:customStyle="1" w:styleId="DistributorName">
    <w:name w:val="Distributor Name"/>
    <w:basedOn w:val="Normal"/>
    <w:rsid w:val="00DD7967"/>
    <w:pPr>
      <w:widowControl w:val="0"/>
      <w:autoSpaceDE w:val="0"/>
      <w:autoSpaceDN w:val="0"/>
      <w:adjustRightInd w:val="0"/>
      <w:spacing w:after="180"/>
      <w:textAlignment w:val="center"/>
    </w:pPr>
    <w:rPr>
      <w:rFonts w:ascii="MyriadPro-It" w:hAnsi="MyriadPro-It" w:cs="MyriadPro-It"/>
      <w:i/>
      <w:iCs/>
      <w:color w:val="AF0631"/>
      <w:sz w:val="20"/>
      <w:lang w:bidi="en-US"/>
    </w:rPr>
  </w:style>
  <w:style w:type="paragraph" w:customStyle="1" w:styleId="Distributorinfo">
    <w:name w:val="Distributor info"/>
    <w:basedOn w:val="Normal"/>
    <w:rsid w:val="00DD7967"/>
    <w:pPr>
      <w:widowControl w:val="0"/>
      <w:autoSpaceDE w:val="0"/>
      <w:autoSpaceDN w:val="0"/>
      <w:adjustRightInd w:val="0"/>
      <w:spacing w:after="180"/>
      <w:textAlignment w:val="center"/>
    </w:pPr>
    <w:rPr>
      <w:rFonts w:ascii="MyriadPro-Regular" w:hAnsi="MyriadPro-Regular" w:cs="MyriadPro-Regular"/>
      <w:color w:val="000000"/>
      <w:sz w:val="18"/>
      <w:lang w:bidi="en-US"/>
    </w:rPr>
  </w:style>
  <w:style w:type="paragraph" w:customStyle="1" w:styleId="Promotion">
    <w:name w:val="Promotion"/>
    <w:basedOn w:val="Normal"/>
    <w:rsid w:val="00DD7967"/>
    <w:rPr>
      <w:rFonts w:ascii="Myriad Pro Bold" w:hAnsi="Myriad Pro Bold"/>
      <w:b/>
      <w:color w:val="FFFFFF"/>
      <w:sz w:val="36"/>
    </w:rPr>
  </w:style>
  <w:style w:type="paragraph" w:customStyle="1" w:styleId="Bodycopy">
    <w:name w:val="Bodycopy"/>
    <w:basedOn w:val="Normal"/>
    <w:rsid w:val="00DD7967"/>
    <w:rPr>
      <w:rFonts w:ascii="Myriad Pro" w:hAnsi="Myriad Pro"/>
      <w:sz w:val="28"/>
    </w:rPr>
  </w:style>
  <w:style w:type="paragraph" w:customStyle="1" w:styleId="Callout">
    <w:name w:val="Callout"/>
    <w:basedOn w:val="Normal"/>
    <w:rsid w:val="00DD7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Myriad Pro Bold" w:hAnsi="Myriad Pro Bold"/>
      <w:b/>
      <w:color w:val="5C80B3"/>
      <w:sz w:val="28"/>
    </w:rPr>
  </w:style>
  <w:style w:type="paragraph" w:customStyle="1" w:styleId="MonthPromotion">
    <w:name w:val="Month Promotion"/>
    <w:basedOn w:val="Normal"/>
    <w:rsid w:val="00DD7967"/>
    <w:pPr>
      <w:tabs>
        <w:tab w:val="left" w:pos="-270"/>
      </w:tabs>
      <w:spacing w:line="360" w:lineRule="auto"/>
      <w:ind w:left="-360"/>
    </w:pPr>
    <w:rPr>
      <w:rFonts w:ascii="Myriad Pro Bold" w:hAnsi="Myriad Pro Bold"/>
      <w:b/>
      <w:color w:val="DF9E1E"/>
      <w:sz w:val="28"/>
    </w:rPr>
  </w:style>
  <w:style w:type="paragraph" w:styleId="ListParagraph">
    <w:name w:val="List Paragraph"/>
    <w:basedOn w:val="Normal"/>
    <w:uiPriority w:val="34"/>
    <w:qFormat/>
    <w:rsid w:val="00710840"/>
    <w:pPr>
      <w:ind w:left="720"/>
      <w:contextualSpacing/>
    </w:pPr>
    <w:rPr>
      <w:rFonts w:ascii="Calibri" w:eastAsia="Calibri" w:hAnsi="Calibri"/>
      <w:sz w:val="22"/>
      <w:szCs w:val="22"/>
    </w:rPr>
  </w:style>
  <w:style w:type="paragraph" w:styleId="Header">
    <w:name w:val="header"/>
    <w:basedOn w:val="Normal"/>
    <w:link w:val="HeaderChar"/>
    <w:uiPriority w:val="99"/>
    <w:unhideWhenUsed/>
    <w:rsid w:val="007E18C9"/>
    <w:pPr>
      <w:tabs>
        <w:tab w:val="center" w:pos="4680"/>
        <w:tab w:val="right" w:pos="9360"/>
      </w:tabs>
    </w:pPr>
  </w:style>
  <w:style w:type="character" w:customStyle="1" w:styleId="HeaderChar">
    <w:name w:val="Header Char"/>
    <w:link w:val="Header"/>
    <w:uiPriority w:val="99"/>
    <w:rsid w:val="007E18C9"/>
    <w:rPr>
      <w:sz w:val="24"/>
      <w:szCs w:val="24"/>
    </w:rPr>
  </w:style>
  <w:style w:type="paragraph" w:styleId="Footer">
    <w:name w:val="footer"/>
    <w:basedOn w:val="Normal"/>
    <w:link w:val="FooterChar"/>
    <w:uiPriority w:val="99"/>
    <w:unhideWhenUsed/>
    <w:rsid w:val="007E18C9"/>
    <w:pPr>
      <w:tabs>
        <w:tab w:val="center" w:pos="4680"/>
        <w:tab w:val="right" w:pos="9360"/>
      </w:tabs>
    </w:pPr>
  </w:style>
  <w:style w:type="character" w:customStyle="1" w:styleId="FooterChar">
    <w:name w:val="Footer Char"/>
    <w:link w:val="Footer"/>
    <w:uiPriority w:val="99"/>
    <w:rsid w:val="007E18C9"/>
    <w:rPr>
      <w:sz w:val="24"/>
      <w:szCs w:val="24"/>
    </w:rPr>
  </w:style>
  <w:style w:type="paragraph" w:customStyle="1" w:styleId="DocID">
    <w:name w:val="DocID"/>
    <w:basedOn w:val="Footer"/>
    <w:next w:val="Footer"/>
    <w:link w:val="DocIDChar"/>
    <w:rsid w:val="00553902"/>
    <w:pPr>
      <w:tabs>
        <w:tab w:val="clear" w:pos="4680"/>
        <w:tab w:val="clear" w:pos="9360"/>
      </w:tabs>
    </w:pPr>
    <w:rPr>
      <w:sz w:val="16"/>
      <w:szCs w:val="20"/>
      <w:lang w:val="en-US" w:eastAsia="en-US"/>
    </w:rPr>
  </w:style>
  <w:style w:type="character" w:customStyle="1" w:styleId="DocIDChar">
    <w:name w:val="DocID Char"/>
    <w:link w:val="DocID"/>
    <w:rsid w:val="00553902"/>
    <w:rPr>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988CE-BEB8-4ECA-B522-983B87FB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823</Words>
  <Characters>5157</Characters>
  <Application>Microsoft Office Word</Application>
  <DocSecurity>0</DocSecurity>
  <Lines>303</Lines>
  <Paragraphs>206</Paragraphs>
  <ScaleCrop>false</ScaleCrop>
  <HeadingPairs>
    <vt:vector size="2" baseType="variant">
      <vt:variant>
        <vt:lpstr>Title</vt:lpstr>
      </vt:variant>
      <vt:variant>
        <vt:i4>1</vt:i4>
      </vt:variant>
    </vt:vector>
  </HeadingPairs>
  <TitlesOfParts>
    <vt:vector size="1" baseType="lpstr">
      <vt:lpstr>0</vt:lpstr>
    </vt:vector>
  </TitlesOfParts>
  <Company>Jen Cadam</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subject/>
  <dc:creator>Lisa Zarda</dc:creator>
  <cp:keywords/>
  <cp:lastModifiedBy>Tom Netting</cp:lastModifiedBy>
  <cp:revision>2</cp:revision>
  <cp:lastPrinted>2016-06-07T19:22:00Z</cp:lastPrinted>
  <dcterms:created xsi:type="dcterms:W3CDTF">2017-09-20T21:51:00Z</dcterms:created>
  <dcterms:modified xsi:type="dcterms:W3CDTF">2017-09-20T21:51:00Z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42904438;1</vt:lpwstr>
  </property>
  <property fmtid="{D5CDD505-2E9C-101B-9397-08002B2CF9AE}" pid="3" name="CUS_DocIDChunk0">
    <vt:lpwstr>42904438;1</vt:lpwstr>
  </property>
  <property fmtid="{D5CDD505-2E9C-101B-9397-08002B2CF9AE}" pid="4" name="CUS_DocIDActiveBits">
    <vt:lpwstr>98304</vt:lpwstr>
  </property>
  <property fmtid="{D5CDD505-2E9C-101B-9397-08002B2CF9AE}" pid="5" name="CUS_DocIDLocation">
    <vt:lpwstr>EVERY_PAGE</vt:lpwstr>
  </property>
  <property fmtid="{D5CDD505-2E9C-101B-9397-08002B2CF9AE}" pid="6" name="CUS_DocIDReference">
    <vt:lpwstr>everyPage</vt:lpwstr>
  </property>
</Properties>
</file>