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A84089" w14:textId="5B6700D1" w:rsidR="00E21322" w:rsidRPr="00E21322" w:rsidRDefault="00E21322" w:rsidP="00E21322">
      <w:pPr>
        <w:spacing w:line="240" w:lineRule="auto"/>
        <w:jc w:val="center"/>
        <w:rPr>
          <w:rFonts w:ascii="Calibri" w:eastAsia="Times New Roman" w:hAnsi="Calibri" w:cs="Times New Roman"/>
          <w:b/>
          <w:sz w:val="28"/>
          <w:szCs w:val="28"/>
        </w:rPr>
      </w:pPr>
      <w:r w:rsidRPr="00E21322">
        <w:rPr>
          <w:rFonts w:ascii="Calibri" w:eastAsia="Times New Roman" w:hAnsi="Calibri" w:cs="Times New Roman"/>
          <w:b/>
          <w:sz w:val="28"/>
          <w:szCs w:val="28"/>
        </w:rPr>
        <w:t xml:space="preserve">Recommendations to Improve Implementation of the </w:t>
      </w:r>
    </w:p>
    <w:p w14:paraId="61C0B71C" w14:textId="77777777" w:rsidR="00E21322" w:rsidRPr="00E21322" w:rsidRDefault="00E21322" w:rsidP="00E21322">
      <w:pPr>
        <w:spacing w:line="240" w:lineRule="auto"/>
        <w:jc w:val="center"/>
        <w:rPr>
          <w:rFonts w:ascii="Calibri" w:eastAsia="Times New Roman" w:hAnsi="Calibri" w:cs="Times New Roman"/>
          <w:b/>
          <w:sz w:val="28"/>
          <w:szCs w:val="28"/>
        </w:rPr>
      </w:pPr>
      <w:r w:rsidRPr="00E21322">
        <w:rPr>
          <w:rFonts w:ascii="Calibri" w:eastAsia="Times New Roman" w:hAnsi="Calibri" w:cs="Times New Roman"/>
          <w:b/>
          <w:sz w:val="28"/>
          <w:szCs w:val="28"/>
        </w:rPr>
        <w:t>Workforce Innovation and Opportunity Act (WIOA)</w:t>
      </w:r>
    </w:p>
    <w:p w14:paraId="393DAA3A" w14:textId="77777777" w:rsidR="00E21322" w:rsidRPr="00E21322" w:rsidRDefault="00E21322" w:rsidP="00E21322">
      <w:pPr>
        <w:spacing w:line="240" w:lineRule="auto"/>
        <w:jc w:val="center"/>
        <w:rPr>
          <w:rFonts w:ascii="Calibri" w:eastAsia="Times New Roman" w:hAnsi="Calibri" w:cs="Times New Roman"/>
          <w:sz w:val="24"/>
          <w:szCs w:val="24"/>
        </w:rPr>
      </w:pPr>
      <w:r w:rsidRPr="00E21322">
        <w:rPr>
          <w:rFonts w:ascii="Calibri" w:eastAsia="Times New Roman" w:hAnsi="Calibri" w:cs="Times New Roman"/>
          <w:sz w:val="24"/>
          <w:szCs w:val="24"/>
        </w:rPr>
        <w:t>Pennsylvania Office of Vocational Rehabilitation</w:t>
      </w:r>
    </w:p>
    <w:p w14:paraId="0DB852FB" w14:textId="624A194B" w:rsidR="00E21322" w:rsidRPr="00E21322" w:rsidRDefault="00E21322" w:rsidP="00E21322">
      <w:pPr>
        <w:spacing w:line="240" w:lineRule="auto"/>
        <w:jc w:val="center"/>
        <w:rPr>
          <w:rFonts w:ascii="Calibri" w:eastAsia="Times New Roman" w:hAnsi="Calibri" w:cs="Times New Roman"/>
          <w:sz w:val="24"/>
          <w:szCs w:val="24"/>
        </w:rPr>
      </w:pPr>
      <w:r w:rsidRPr="00E21322">
        <w:rPr>
          <w:rFonts w:ascii="Calibri" w:eastAsia="Times New Roman" w:hAnsi="Calibri" w:cs="Times New Roman"/>
          <w:sz w:val="24"/>
          <w:szCs w:val="24"/>
        </w:rPr>
        <w:t>September</w:t>
      </w:r>
      <w:r w:rsidR="005719BA">
        <w:rPr>
          <w:rFonts w:ascii="Calibri" w:eastAsia="Times New Roman" w:hAnsi="Calibri" w:cs="Times New Roman"/>
          <w:sz w:val="24"/>
          <w:szCs w:val="24"/>
        </w:rPr>
        <w:t xml:space="preserve"> 20</w:t>
      </w:r>
      <w:r w:rsidRPr="00E21322">
        <w:rPr>
          <w:rFonts w:ascii="Calibri" w:eastAsia="Times New Roman" w:hAnsi="Calibri" w:cs="Times New Roman"/>
          <w:sz w:val="24"/>
          <w:szCs w:val="24"/>
        </w:rPr>
        <w:t>, 2017</w:t>
      </w:r>
    </w:p>
    <w:p w14:paraId="73542DD7" w14:textId="77777777" w:rsidR="00E21322" w:rsidRPr="00E21322" w:rsidRDefault="00E21322" w:rsidP="00E21322">
      <w:pPr>
        <w:spacing w:line="240" w:lineRule="auto"/>
        <w:rPr>
          <w:rFonts w:ascii="Calibri" w:eastAsia="Times New Roman" w:hAnsi="Calibri" w:cs="Times New Roman"/>
          <w:b/>
          <w:sz w:val="24"/>
          <w:szCs w:val="24"/>
        </w:rPr>
      </w:pPr>
    </w:p>
    <w:p w14:paraId="7F6F75F5" w14:textId="77777777" w:rsidR="00E21322" w:rsidRPr="00E21322" w:rsidRDefault="00E21322" w:rsidP="00E21322">
      <w:pPr>
        <w:spacing w:line="240" w:lineRule="auto"/>
        <w:jc w:val="both"/>
        <w:rPr>
          <w:rFonts w:ascii="Calibri" w:eastAsia="Times New Roman" w:hAnsi="Calibri" w:cs="Times New Roman"/>
          <w:sz w:val="24"/>
          <w:szCs w:val="24"/>
        </w:rPr>
      </w:pPr>
      <w:r w:rsidRPr="00E21322">
        <w:rPr>
          <w:rFonts w:ascii="Calibri" w:eastAsia="Times New Roman" w:hAnsi="Calibri" w:cs="Times New Roman"/>
          <w:sz w:val="24"/>
          <w:szCs w:val="24"/>
        </w:rPr>
        <w:t>Thank you for the opportunity to comment on the Workforce Innovation and Opportunity Act. Below is the Pennsylvania Office of Vocational Rehabilitation’s (OVR) list of suggested changes.</w:t>
      </w:r>
    </w:p>
    <w:p w14:paraId="720D24B9" w14:textId="77777777" w:rsidR="00E21322" w:rsidRPr="00E21322" w:rsidRDefault="00E21322" w:rsidP="00E21322">
      <w:pPr>
        <w:spacing w:line="240" w:lineRule="auto"/>
        <w:jc w:val="both"/>
        <w:rPr>
          <w:rFonts w:ascii="Calibri" w:eastAsia="Times New Roman" w:hAnsi="Calibri" w:cs="Times New Roman"/>
          <w:sz w:val="24"/>
          <w:szCs w:val="24"/>
        </w:rPr>
      </w:pPr>
    </w:p>
    <w:p w14:paraId="7D46BC9F" w14:textId="77777777" w:rsidR="00E21322" w:rsidRPr="00E21322" w:rsidRDefault="00E21322" w:rsidP="00E21322">
      <w:pPr>
        <w:spacing w:line="240" w:lineRule="auto"/>
        <w:ind w:left="360"/>
        <w:jc w:val="center"/>
        <w:rPr>
          <w:rFonts w:ascii="Calibri" w:eastAsia="Times New Roman" w:hAnsi="Calibri" w:cs="Times New Roman"/>
          <w:b/>
          <w:sz w:val="24"/>
          <w:szCs w:val="24"/>
          <w:u w:val="single"/>
        </w:rPr>
      </w:pPr>
      <w:r w:rsidRPr="00E21322">
        <w:rPr>
          <w:rFonts w:ascii="Calibri" w:eastAsia="Times New Roman" w:hAnsi="Calibri" w:cs="Times New Roman"/>
          <w:b/>
          <w:sz w:val="24"/>
          <w:szCs w:val="24"/>
          <w:u w:val="single"/>
        </w:rPr>
        <w:t>Pre-Employment Transition Services [34 C.F.R. §361.48(a)]</w:t>
      </w:r>
    </w:p>
    <w:p w14:paraId="1DBF23DD" w14:textId="77777777" w:rsidR="00E21322" w:rsidRPr="00E21322" w:rsidRDefault="00E21322" w:rsidP="00E21322">
      <w:pPr>
        <w:spacing w:line="240" w:lineRule="auto"/>
        <w:ind w:left="360"/>
        <w:jc w:val="center"/>
        <w:rPr>
          <w:rFonts w:ascii="Calibri" w:eastAsia="Times New Roman" w:hAnsi="Calibri" w:cs="Times New Roman"/>
          <w:b/>
          <w:sz w:val="24"/>
          <w:szCs w:val="24"/>
        </w:rPr>
      </w:pPr>
    </w:p>
    <w:p w14:paraId="48CF91C1" w14:textId="77777777" w:rsidR="00E21322" w:rsidRPr="00E21322" w:rsidRDefault="00E21322" w:rsidP="00E21322">
      <w:pPr>
        <w:spacing w:line="240" w:lineRule="auto"/>
        <w:jc w:val="both"/>
        <w:rPr>
          <w:rFonts w:ascii="Calibri" w:eastAsia="Times New Roman" w:hAnsi="Calibri" w:cs="Times New Roman"/>
          <w:sz w:val="24"/>
          <w:szCs w:val="24"/>
        </w:rPr>
      </w:pPr>
      <w:r w:rsidRPr="00E21322">
        <w:rPr>
          <w:rFonts w:ascii="Calibri" w:eastAsia="Times New Roman" w:hAnsi="Calibri" w:cs="Times New Roman"/>
          <w:sz w:val="24"/>
          <w:szCs w:val="24"/>
        </w:rPr>
        <w:t xml:space="preserve">Overall, the implementation of PETS is overly complicated and difficult and time consuming to track due to the level of complexity. Staff, schools, providers, students, and parents have reported having a difficult time understanding certain parts of the regulation (e.g. -  why some things are allowable and others are not, when funding can be used, when they must open a case, what needs to be tracked and when, etc.). Simplification of the regulations would be helpful to all involved. With that in mind, some suggestions follow. </w:t>
      </w:r>
    </w:p>
    <w:p w14:paraId="5E1762FE" w14:textId="77777777" w:rsidR="00E21322" w:rsidRPr="00E21322" w:rsidRDefault="00E21322" w:rsidP="00E21322">
      <w:pPr>
        <w:spacing w:line="240" w:lineRule="auto"/>
        <w:jc w:val="both"/>
        <w:rPr>
          <w:rFonts w:ascii="Calibri" w:eastAsia="Times New Roman" w:hAnsi="Calibri" w:cs="Times New Roman"/>
          <w:b/>
          <w:sz w:val="24"/>
          <w:szCs w:val="24"/>
        </w:rPr>
      </w:pPr>
    </w:p>
    <w:p w14:paraId="423D87DC" w14:textId="77777777" w:rsidR="00E21322" w:rsidRPr="00E21322" w:rsidRDefault="00E21322" w:rsidP="00E21322">
      <w:pPr>
        <w:numPr>
          <w:ilvl w:val="0"/>
          <w:numId w:val="2"/>
        </w:numPr>
        <w:spacing w:line="240" w:lineRule="auto"/>
        <w:jc w:val="both"/>
        <w:rPr>
          <w:rFonts w:ascii="Calibri" w:eastAsia="Times New Roman" w:hAnsi="Calibri" w:cs="Times New Roman"/>
          <w:sz w:val="24"/>
          <w:szCs w:val="24"/>
        </w:rPr>
      </w:pPr>
      <w:r w:rsidRPr="00E21322">
        <w:rPr>
          <w:rFonts w:ascii="Calibri" w:eastAsia="Times New Roman" w:hAnsi="Calibri" w:cs="Times New Roman"/>
          <w:sz w:val="24"/>
          <w:szCs w:val="24"/>
        </w:rPr>
        <w:t xml:space="preserve">The amount of data tracking is significant for potentially eligible students who do not have open cases and should be reduced. The ability to obtain releases of information to collect the information is difficult and limits the ability of staff to work with students who have not returned their paperwork or whose parents have not signed a release. </w:t>
      </w:r>
      <w:r w:rsidRPr="00E21322">
        <w:rPr>
          <w:rFonts w:ascii="Calibri" w:eastAsia="Times New Roman" w:hAnsi="Calibri" w:cs="Times New Roman"/>
          <w:i/>
          <w:sz w:val="24"/>
          <w:szCs w:val="24"/>
        </w:rPr>
        <w:t>[34 C.F.R. §361.40(a)]</w:t>
      </w:r>
    </w:p>
    <w:p w14:paraId="4D91D7BD" w14:textId="77777777" w:rsidR="00E21322" w:rsidRPr="00E21322" w:rsidRDefault="00E21322" w:rsidP="00E21322">
      <w:pPr>
        <w:numPr>
          <w:ilvl w:val="0"/>
          <w:numId w:val="2"/>
        </w:numPr>
        <w:spacing w:line="240" w:lineRule="auto"/>
        <w:jc w:val="both"/>
        <w:rPr>
          <w:rFonts w:ascii="Calibri" w:eastAsia="Times New Roman" w:hAnsi="Calibri" w:cs="Times New Roman"/>
          <w:sz w:val="24"/>
          <w:szCs w:val="24"/>
        </w:rPr>
      </w:pPr>
      <w:r w:rsidRPr="00E21322">
        <w:rPr>
          <w:rFonts w:ascii="Calibri" w:eastAsia="Times New Roman" w:hAnsi="Calibri" w:cs="Times New Roman"/>
          <w:sz w:val="24"/>
          <w:szCs w:val="24"/>
        </w:rPr>
        <w:t xml:space="preserve">Transportation should be made an allowable service in order to get students with disabilities to PETS events or work-based learning experiences. </w:t>
      </w:r>
      <w:r w:rsidRPr="00E21322">
        <w:rPr>
          <w:rFonts w:ascii="Calibri" w:eastAsia="Times New Roman" w:hAnsi="Calibri" w:cs="Times New Roman"/>
          <w:i/>
          <w:sz w:val="24"/>
          <w:szCs w:val="24"/>
        </w:rPr>
        <w:t>[34 C.F.R. §361.5(c)(2)(xii)]</w:t>
      </w:r>
    </w:p>
    <w:p w14:paraId="6F0E5F2D" w14:textId="30DABEED" w:rsidR="00E21322" w:rsidRPr="00E42CD8" w:rsidRDefault="00E21322" w:rsidP="00E42CD8">
      <w:pPr>
        <w:numPr>
          <w:ilvl w:val="0"/>
          <w:numId w:val="2"/>
        </w:numPr>
        <w:spacing w:line="240" w:lineRule="auto"/>
        <w:jc w:val="both"/>
        <w:rPr>
          <w:rFonts w:ascii="Calibri" w:eastAsia="Times New Roman" w:hAnsi="Calibri" w:cs="Times New Roman"/>
          <w:sz w:val="24"/>
          <w:szCs w:val="24"/>
        </w:rPr>
      </w:pPr>
      <w:r w:rsidRPr="00E21322">
        <w:rPr>
          <w:rFonts w:ascii="Calibri" w:eastAsia="Times New Roman" w:hAnsi="Calibri" w:cs="Times New Roman"/>
          <w:sz w:val="24"/>
          <w:szCs w:val="24"/>
        </w:rPr>
        <w:t>Work-based learning development costs should be permitted under WBLE costs.</w:t>
      </w:r>
      <w:r w:rsidR="00E42CD8" w:rsidRPr="00E42CD8">
        <w:rPr>
          <w:rFonts w:ascii="Calibri" w:eastAsia="Times New Roman" w:hAnsi="Calibri" w:cs="Times New Roman"/>
          <w:i/>
          <w:sz w:val="24"/>
          <w:szCs w:val="24"/>
        </w:rPr>
        <w:t xml:space="preserve"> </w:t>
      </w:r>
      <w:r w:rsidR="00E42CD8" w:rsidRPr="00E21322">
        <w:rPr>
          <w:rFonts w:ascii="Calibri" w:eastAsia="Times New Roman" w:hAnsi="Calibri" w:cs="Times New Roman"/>
          <w:i/>
          <w:sz w:val="24"/>
          <w:szCs w:val="24"/>
        </w:rPr>
        <w:t>[34 C.F.R. §361.48(a)(2)(ii)]</w:t>
      </w:r>
      <w:r w:rsidR="00E42CD8" w:rsidRPr="00E21322">
        <w:rPr>
          <w:rFonts w:ascii="Calibri" w:eastAsia="Times New Roman" w:hAnsi="Calibri" w:cs="Times New Roman"/>
          <w:sz w:val="24"/>
          <w:szCs w:val="24"/>
        </w:rPr>
        <w:t xml:space="preserve"> </w:t>
      </w:r>
    </w:p>
    <w:p w14:paraId="1566224F" w14:textId="77777777" w:rsidR="00E21322" w:rsidRPr="00E21322" w:rsidRDefault="00E21322" w:rsidP="00E21322">
      <w:pPr>
        <w:numPr>
          <w:ilvl w:val="0"/>
          <w:numId w:val="2"/>
        </w:numPr>
        <w:spacing w:line="240" w:lineRule="auto"/>
        <w:jc w:val="both"/>
        <w:rPr>
          <w:rFonts w:ascii="Calibri" w:eastAsia="Times New Roman" w:hAnsi="Calibri" w:cs="Times New Roman"/>
          <w:sz w:val="24"/>
          <w:szCs w:val="24"/>
        </w:rPr>
      </w:pPr>
      <w:r w:rsidRPr="00E21322">
        <w:rPr>
          <w:rFonts w:ascii="Calibri" w:eastAsia="Times New Roman" w:hAnsi="Calibri" w:cs="Times New Roman"/>
          <w:sz w:val="24"/>
          <w:szCs w:val="24"/>
        </w:rPr>
        <w:t>Supported Employment services for work-based learning experiences should be allowable using PETS funds.</w:t>
      </w:r>
      <w:r w:rsidRPr="00E21322">
        <w:rPr>
          <w:rFonts w:ascii="Calibri" w:eastAsia="Times New Roman" w:hAnsi="Calibri" w:cs="Times New Roman"/>
          <w:i/>
          <w:sz w:val="24"/>
          <w:szCs w:val="24"/>
        </w:rPr>
        <w:t xml:space="preserve"> [34 C.F.R. §361.48(a)(2)(ii)]</w:t>
      </w:r>
      <w:r w:rsidRPr="00E21322">
        <w:rPr>
          <w:rFonts w:ascii="Calibri" w:eastAsia="Times New Roman" w:hAnsi="Calibri" w:cs="Times New Roman"/>
          <w:sz w:val="24"/>
          <w:szCs w:val="24"/>
        </w:rPr>
        <w:t xml:space="preserve"> </w:t>
      </w:r>
    </w:p>
    <w:p w14:paraId="0A3EE5FA" w14:textId="77777777" w:rsidR="00E21322" w:rsidRPr="00E21322" w:rsidRDefault="00E21322" w:rsidP="00E21322">
      <w:pPr>
        <w:numPr>
          <w:ilvl w:val="0"/>
          <w:numId w:val="2"/>
        </w:numPr>
        <w:spacing w:line="240" w:lineRule="auto"/>
        <w:jc w:val="both"/>
        <w:rPr>
          <w:rFonts w:ascii="Calibri" w:eastAsia="Times New Roman" w:hAnsi="Calibri" w:cs="Times New Roman"/>
          <w:sz w:val="24"/>
          <w:szCs w:val="24"/>
        </w:rPr>
      </w:pPr>
      <w:r w:rsidRPr="00E21322">
        <w:rPr>
          <w:rFonts w:ascii="Calibri" w:eastAsia="Times New Roman" w:hAnsi="Calibri" w:cs="Times New Roman"/>
          <w:sz w:val="24"/>
          <w:szCs w:val="24"/>
        </w:rPr>
        <w:t xml:space="preserve">Add a 90-day grace period to allow services to continue/complete after graduation or until post-secondary enrollment to help ensure better outcomes and to help negate the drop-off of services after a student graduates. </w:t>
      </w:r>
      <w:r w:rsidRPr="00E21322">
        <w:rPr>
          <w:rFonts w:ascii="Calibri" w:eastAsia="Times New Roman" w:hAnsi="Calibri" w:cs="Times New Roman"/>
          <w:i/>
          <w:sz w:val="24"/>
          <w:szCs w:val="24"/>
        </w:rPr>
        <w:t>[34 C.F.R. §361.5(c</w:t>
      </w:r>
      <w:proofErr w:type="gramStart"/>
      <w:r w:rsidRPr="00E21322">
        <w:rPr>
          <w:rFonts w:ascii="Calibri" w:eastAsia="Times New Roman" w:hAnsi="Calibri" w:cs="Times New Roman"/>
          <w:i/>
          <w:sz w:val="24"/>
          <w:szCs w:val="24"/>
        </w:rPr>
        <w:t>)(</w:t>
      </w:r>
      <w:proofErr w:type="gramEnd"/>
      <w:r w:rsidRPr="00E21322">
        <w:rPr>
          <w:rFonts w:ascii="Calibri" w:eastAsia="Times New Roman" w:hAnsi="Calibri" w:cs="Times New Roman"/>
          <w:i/>
          <w:sz w:val="24"/>
          <w:szCs w:val="24"/>
        </w:rPr>
        <w:t>51)]</w:t>
      </w:r>
    </w:p>
    <w:p w14:paraId="2A0960EB" w14:textId="77777777" w:rsidR="00E21322" w:rsidRPr="00E21322" w:rsidRDefault="00E21322" w:rsidP="00E21322">
      <w:pPr>
        <w:numPr>
          <w:ilvl w:val="0"/>
          <w:numId w:val="2"/>
        </w:numPr>
        <w:spacing w:line="240" w:lineRule="auto"/>
        <w:jc w:val="both"/>
        <w:rPr>
          <w:rFonts w:ascii="Calibri" w:eastAsia="Times New Roman" w:hAnsi="Calibri" w:cs="Times New Roman"/>
          <w:sz w:val="24"/>
          <w:szCs w:val="24"/>
        </w:rPr>
      </w:pPr>
      <w:r w:rsidRPr="00E21322">
        <w:rPr>
          <w:rFonts w:ascii="Calibri" w:eastAsia="Times New Roman" w:hAnsi="Calibri" w:cs="Times New Roman"/>
          <w:sz w:val="24"/>
          <w:szCs w:val="24"/>
        </w:rPr>
        <w:t>The requirement to collect a specific disability type as part of the PETS information on potentially eligible students should be dropped.</w:t>
      </w:r>
      <w:r w:rsidRPr="00E21322">
        <w:rPr>
          <w:rFonts w:ascii="Calibri" w:eastAsia="Times New Roman" w:hAnsi="Calibri" w:cs="Times New Roman"/>
          <w:i/>
          <w:sz w:val="24"/>
          <w:szCs w:val="24"/>
        </w:rPr>
        <w:t xml:space="preserve"> [34 C.F.R. §361.40(a)]</w:t>
      </w:r>
    </w:p>
    <w:p w14:paraId="44D7DA95" w14:textId="77777777" w:rsidR="00E21322" w:rsidRPr="00E21322" w:rsidRDefault="00E21322" w:rsidP="00E21322">
      <w:pPr>
        <w:numPr>
          <w:ilvl w:val="0"/>
          <w:numId w:val="2"/>
        </w:numPr>
        <w:spacing w:line="240" w:lineRule="auto"/>
        <w:jc w:val="both"/>
        <w:rPr>
          <w:rFonts w:ascii="Calibri" w:eastAsia="Times New Roman" w:hAnsi="Calibri" w:cs="Times New Roman"/>
          <w:sz w:val="24"/>
          <w:szCs w:val="24"/>
        </w:rPr>
      </w:pPr>
      <w:r w:rsidRPr="00E21322">
        <w:rPr>
          <w:rFonts w:ascii="Calibri" w:eastAsia="Times New Roman" w:hAnsi="Calibri" w:cs="Times New Roman"/>
          <w:sz w:val="24"/>
          <w:szCs w:val="24"/>
        </w:rPr>
        <w:t xml:space="preserve">Assistive Technology equipment and evaluation should be an allowable PETS service under work readiness. </w:t>
      </w:r>
      <w:r w:rsidRPr="00E21322">
        <w:rPr>
          <w:rFonts w:ascii="Calibri" w:eastAsia="Times New Roman" w:hAnsi="Calibri" w:cs="Times New Roman"/>
          <w:i/>
          <w:sz w:val="24"/>
          <w:szCs w:val="24"/>
        </w:rPr>
        <w:t>[34 C.F.R. §361.48(a)(2)(iv)]</w:t>
      </w:r>
    </w:p>
    <w:p w14:paraId="27E95D59" w14:textId="77777777" w:rsidR="00E21322" w:rsidRPr="00E21322" w:rsidRDefault="00E21322" w:rsidP="00E21322">
      <w:pPr>
        <w:numPr>
          <w:ilvl w:val="0"/>
          <w:numId w:val="2"/>
        </w:numPr>
        <w:spacing w:line="240" w:lineRule="auto"/>
        <w:jc w:val="both"/>
        <w:rPr>
          <w:rFonts w:ascii="Calibri" w:eastAsia="Times New Roman" w:hAnsi="Calibri" w:cs="Times New Roman"/>
          <w:sz w:val="24"/>
          <w:szCs w:val="24"/>
        </w:rPr>
      </w:pPr>
      <w:r w:rsidRPr="00E21322">
        <w:rPr>
          <w:rFonts w:ascii="Calibri" w:eastAsia="Times New Roman" w:hAnsi="Calibri" w:cs="Times New Roman"/>
          <w:sz w:val="24"/>
          <w:szCs w:val="24"/>
        </w:rPr>
        <w:t xml:space="preserve">Vocational assessment should be an allowable PETS service under work readiness. </w:t>
      </w:r>
      <w:r w:rsidRPr="00E21322">
        <w:rPr>
          <w:rFonts w:ascii="Calibri" w:eastAsia="Times New Roman" w:hAnsi="Calibri" w:cs="Times New Roman"/>
          <w:i/>
          <w:sz w:val="24"/>
          <w:szCs w:val="24"/>
        </w:rPr>
        <w:t>[34 C.F.R. §361.48(a)(2)(iv)]</w:t>
      </w:r>
    </w:p>
    <w:p w14:paraId="3EAEE34B" w14:textId="77777777" w:rsidR="00E21322" w:rsidRPr="00E21322" w:rsidRDefault="00E21322" w:rsidP="00E21322">
      <w:pPr>
        <w:numPr>
          <w:ilvl w:val="0"/>
          <w:numId w:val="2"/>
        </w:numPr>
        <w:spacing w:line="240" w:lineRule="auto"/>
        <w:jc w:val="both"/>
        <w:rPr>
          <w:rFonts w:ascii="Calibri" w:eastAsia="Times New Roman" w:hAnsi="Calibri" w:cs="Times New Roman"/>
          <w:i/>
          <w:sz w:val="24"/>
          <w:szCs w:val="24"/>
        </w:rPr>
      </w:pPr>
      <w:r w:rsidRPr="00E21322">
        <w:rPr>
          <w:rFonts w:ascii="Calibri" w:eastAsia="Times New Roman" w:hAnsi="Calibri" w:cs="Times New Roman"/>
          <w:sz w:val="24"/>
          <w:szCs w:val="24"/>
        </w:rPr>
        <w:t xml:space="preserve">The definition of Student with a Disability should be raised to age 24 to further account for students enrolled in post-secondary opportunities. </w:t>
      </w:r>
      <w:r w:rsidRPr="00E21322">
        <w:rPr>
          <w:rFonts w:ascii="Calibri" w:eastAsia="Times New Roman" w:hAnsi="Calibri" w:cs="Times New Roman"/>
          <w:i/>
          <w:sz w:val="24"/>
          <w:szCs w:val="24"/>
        </w:rPr>
        <w:t>[34 C.F.R. §361.5(c</w:t>
      </w:r>
      <w:proofErr w:type="gramStart"/>
      <w:r w:rsidRPr="00E21322">
        <w:rPr>
          <w:rFonts w:ascii="Calibri" w:eastAsia="Times New Roman" w:hAnsi="Calibri" w:cs="Times New Roman"/>
          <w:i/>
          <w:sz w:val="24"/>
          <w:szCs w:val="24"/>
        </w:rPr>
        <w:t>)(</w:t>
      </w:r>
      <w:proofErr w:type="gramEnd"/>
      <w:r w:rsidRPr="00E21322">
        <w:rPr>
          <w:rFonts w:ascii="Calibri" w:eastAsia="Times New Roman" w:hAnsi="Calibri" w:cs="Times New Roman"/>
          <w:i/>
          <w:sz w:val="24"/>
          <w:szCs w:val="24"/>
        </w:rPr>
        <w:t>51)]</w:t>
      </w:r>
    </w:p>
    <w:p w14:paraId="5652846B" w14:textId="77777777" w:rsidR="00E21322" w:rsidRPr="00E21322" w:rsidRDefault="00E21322" w:rsidP="00E21322">
      <w:pPr>
        <w:numPr>
          <w:ilvl w:val="0"/>
          <w:numId w:val="2"/>
        </w:numPr>
        <w:spacing w:line="240" w:lineRule="auto"/>
        <w:jc w:val="both"/>
        <w:rPr>
          <w:rFonts w:ascii="Calibri" w:eastAsia="Times New Roman" w:hAnsi="Calibri" w:cs="Times New Roman"/>
          <w:sz w:val="24"/>
          <w:szCs w:val="24"/>
        </w:rPr>
      </w:pPr>
      <w:r w:rsidRPr="00E21322">
        <w:rPr>
          <w:rFonts w:ascii="Calibri" w:eastAsia="Times New Roman" w:hAnsi="Calibri" w:cs="Times New Roman"/>
          <w:sz w:val="24"/>
          <w:szCs w:val="24"/>
        </w:rPr>
        <w:t xml:space="preserve">Expenses associated with the participation in a program (e.g. - uniforms, shoes, safety equipment, etc.) should be allowable, along with other incidental supplies necessary for a student to participate in a PETS event or work experience. </w:t>
      </w:r>
      <w:r w:rsidRPr="00E21322">
        <w:rPr>
          <w:rFonts w:ascii="Calibri" w:eastAsia="Times New Roman" w:hAnsi="Calibri" w:cs="Times New Roman"/>
          <w:i/>
          <w:sz w:val="24"/>
          <w:szCs w:val="24"/>
        </w:rPr>
        <w:t>[34 C.F.R. §361.48(a)(3)]</w:t>
      </w:r>
    </w:p>
    <w:p w14:paraId="36AEE459" w14:textId="77777777" w:rsidR="00E21322" w:rsidRPr="00E21322" w:rsidRDefault="00E21322" w:rsidP="00E21322">
      <w:pPr>
        <w:numPr>
          <w:ilvl w:val="0"/>
          <w:numId w:val="2"/>
        </w:numPr>
        <w:spacing w:line="240" w:lineRule="auto"/>
        <w:jc w:val="both"/>
        <w:rPr>
          <w:rFonts w:ascii="Calibri" w:eastAsia="Times New Roman" w:hAnsi="Calibri" w:cs="Times New Roman"/>
          <w:sz w:val="24"/>
          <w:szCs w:val="24"/>
        </w:rPr>
      </w:pPr>
      <w:r w:rsidRPr="00E21322">
        <w:rPr>
          <w:rFonts w:ascii="Calibri" w:eastAsia="Times New Roman" w:hAnsi="Calibri" w:cs="Times New Roman"/>
          <w:sz w:val="24"/>
          <w:szCs w:val="24"/>
        </w:rPr>
        <w:t xml:space="preserve">Food should be an allowable PETS expense if it meets the federal four-part test, in order to aid in getting students and parents to participate in evening and weekend events. </w:t>
      </w:r>
      <w:r w:rsidRPr="00E21322">
        <w:rPr>
          <w:rFonts w:ascii="Calibri" w:eastAsia="Times New Roman" w:hAnsi="Calibri" w:cs="Times New Roman"/>
          <w:i/>
          <w:sz w:val="24"/>
          <w:szCs w:val="24"/>
        </w:rPr>
        <w:t>[34 C.F.R. §361.48(a)(3)]</w:t>
      </w:r>
    </w:p>
    <w:p w14:paraId="6E7AFE40" w14:textId="4FB93048" w:rsidR="00E21322" w:rsidRDefault="00E21322" w:rsidP="00E21322">
      <w:pPr>
        <w:numPr>
          <w:ilvl w:val="0"/>
          <w:numId w:val="2"/>
        </w:numPr>
        <w:spacing w:line="240" w:lineRule="auto"/>
        <w:jc w:val="both"/>
        <w:rPr>
          <w:rFonts w:ascii="Calibri" w:eastAsia="Times New Roman" w:hAnsi="Calibri" w:cs="Times New Roman"/>
          <w:sz w:val="24"/>
          <w:szCs w:val="24"/>
        </w:rPr>
      </w:pPr>
      <w:r w:rsidRPr="00E21322">
        <w:rPr>
          <w:rFonts w:ascii="Calibri" w:eastAsia="Times New Roman" w:hAnsi="Calibri" w:cs="Times New Roman"/>
          <w:sz w:val="24"/>
          <w:szCs w:val="24"/>
        </w:rPr>
        <w:t>The ability to grant funds should be reintroduced. The procurement process for contracts is administratively burdensome and allowing for grants would help to allow services to happen more quickly.</w:t>
      </w:r>
    </w:p>
    <w:p w14:paraId="0E7E126D" w14:textId="15959207" w:rsidR="005719BA" w:rsidRDefault="005719BA" w:rsidP="005719BA">
      <w:pPr>
        <w:spacing w:line="240" w:lineRule="auto"/>
        <w:jc w:val="both"/>
        <w:rPr>
          <w:rFonts w:ascii="Calibri" w:eastAsia="Times New Roman" w:hAnsi="Calibri" w:cs="Times New Roman"/>
          <w:sz w:val="24"/>
          <w:szCs w:val="24"/>
        </w:rPr>
      </w:pPr>
    </w:p>
    <w:p w14:paraId="260FD363" w14:textId="77777777" w:rsidR="005719BA" w:rsidRPr="00E21322" w:rsidRDefault="005719BA" w:rsidP="005719BA">
      <w:pPr>
        <w:spacing w:line="240" w:lineRule="auto"/>
        <w:jc w:val="both"/>
        <w:rPr>
          <w:rFonts w:ascii="Calibri" w:eastAsia="Times New Roman" w:hAnsi="Calibri" w:cs="Times New Roman"/>
          <w:sz w:val="24"/>
          <w:szCs w:val="24"/>
        </w:rPr>
      </w:pPr>
    </w:p>
    <w:p w14:paraId="7F78C7DF" w14:textId="77777777" w:rsidR="00E21322" w:rsidRPr="00E21322" w:rsidRDefault="00E21322" w:rsidP="00E21322">
      <w:pPr>
        <w:spacing w:line="240" w:lineRule="auto"/>
        <w:jc w:val="both"/>
        <w:rPr>
          <w:rFonts w:ascii="Calibri" w:eastAsia="Times New Roman" w:hAnsi="Calibri" w:cs="Times New Roman"/>
          <w:b/>
          <w:sz w:val="24"/>
          <w:szCs w:val="24"/>
        </w:rPr>
      </w:pPr>
    </w:p>
    <w:p w14:paraId="5798A222" w14:textId="77777777" w:rsidR="00E21322" w:rsidRPr="00E21322" w:rsidRDefault="00E21322" w:rsidP="00E21322">
      <w:pPr>
        <w:spacing w:line="240" w:lineRule="auto"/>
        <w:jc w:val="center"/>
        <w:rPr>
          <w:rFonts w:ascii="Calibri" w:eastAsia="Times New Roman" w:hAnsi="Calibri" w:cs="Times New Roman"/>
          <w:b/>
          <w:sz w:val="24"/>
          <w:szCs w:val="24"/>
          <w:u w:val="single"/>
        </w:rPr>
      </w:pPr>
      <w:r w:rsidRPr="00E21322">
        <w:rPr>
          <w:rFonts w:ascii="Calibri" w:eastAsia="Times New Roman" w:hAnsi="Calibri" w:cs="Times New Roman"/>
          <w:b/>
          <w:sz w:val="24"/>
          <w:szCs w:val="24"/>
          <w:u w:val="single"/>
        </w:rPr>
        <w:t>Section 511 [34 C.F.R. §397]</w:t>
      </w:r>
    </w:p>
    <w:p w14:paraId="1590D064" w14:textId="77777777" w:rsidR="00E21322" w:rsidRPr="00E21322" w:rsidRDefault="00E21322" w:rsidP="00E21322">
      <w:pPr>
        <w:spacing w:line="240" w:lineRule="auto"/>
        <w:jc w:val="center"/>
        <w:rPr>
          <w:rFonts w:ascii="Calibri" w:eastAsia="Times New Roman" w:hAnsi="Calibri" w:cs="Times New Roman"/>
          <w:sz w:val="24"/>
          <w:szCs w:val="24"/>
        </w:rPr>
      </w:pPr>
    </w:p>
    <w:p w14:paraId="6F973E3A" w14:textId="77777777" w:rsidR="00E21322" w:rsidRPr="00E21322" w:rsidRDefault="00E21322" w:rsidP="00E21322">
      <w:pPr>
        <w:spacing w:line="240" w:lineRule="auto"/>
        <w:jc w:val="both"/>
        <w:rPr>
          <w:rFonts w:ascii="Calibri" w:eastAsia="Times New Roman" w:hAnsi="Calibri" w:cs="Times New Roman"/>
          <w:sz w:val="24"/>
          <w:szCs w:val="24"/>
        </w:rPr>
      </w:pPr>
      <w:r w:rsidRPr="00E21322">
        <w:rPr>
          <w:rFonts w:ascii="Calibri" w:eastAsia="Times New Roman" w:hAnsi="Calibri" w:cs="Times New Roman"/>
          <w:sz w:val="24"/>
          <w:szCs w:val="24"/>
        </w:rPr>
        <w:t>Section 511 requirements are proving to be burdensome and time-consuming for an already overwhelmed system with limited resources. PA OVR suggests:</w:t>
      </w:r>
    </w:p>
    <w:p w14:paraId="183B363A" w14:textId="77777777" w:rsidR="00E21322" w:rsidRPr="00E21322" w:rsidRDefault="00E21322" w:rsidP="00E21322">
      <w:pPr>
        <w:spacing w:line="240" w:lineRule="auto"/>
        <w:jc w:val="both"/>
        <w:rPr>
          <w:rFonts w:ascii="Calibri" w:eastAsia="Times New Roman" w:hAnsi="Calibri" w:cs="Times New Roman"/>
          <w:b/>
          <w:sz w:val="24"/>
          <w:szCs w:val="24"/>
        </w:rPr>
      </w:pPr>
    </w:p>
    <w:p w14:paraId="329C0BFD" w14:textId="77777777" w:rsidR="00E21322" w:rsidRPr="00E21322" w:rsidRDefault="00E21322" w:rsidP="00E21322">
      <w:pPr>
        <w:numPr>
          <w:ilvl w:val="0"/>
          <w:numId w:val="1"/>
        </w:numPr>
        <w:spacing w:line="240" w:lineRule="auto"/>
        <w:jc w:val="both"/>
        <w:rPr>
          <w:rFonts w:ascii="Calibri" w:eastAsia="Times New Roman" w:hAnsi="Calibri" w:cs="Times New Roman"/>
          <w:sz w:val="24"/>
          <w:szCs w:val="24"/>
        </w:rPr>
      </w:pPr>
      <w:r w:rsidRPr="00E21322">
        <w:rPr>
          <w:rFonts w:ascii="Calibri" w:eastAsia="Times New Roman" w:hAnsi="Calibri" w:cs="Times New Roman"/>
          <w:sz w:val="24"/>
          <w:szCs w:val="24"/>
        </w:rPr>
        <w:t>Eliminate requiring a six-month and a 12-month visit for individuals who are newly enrolled in subminimum wage, or youth. Suggest only requiring a single visit per year regardless of the individual’s age or when they started.</w:t>
      </w:r>
      <w:r w:rsidRPr="00E21322">
        <w:rPr>
          <w:rFonts w:ascii="Calibri" w:eastAsia="Times New Roman" w:hAnsi="Calibri" w:cs="Times New Roman"/>
          <w:b/>
          <w:sz w:val="24"/>
          <w:szCs w:val="24"/>
        </w:rPr>
        <w:t xml:space="preserve"> </w:t>
      </w:r>
      <w:r w:rsidRPr="00E21322">
        <w:rPr>
          <w:rFonts w:ascii="Calibri" w:eastAsia="Times New Roman" w:hAnsi="Calibri" w:cs="Times New Roman"/>
          <w:i/>
          <w:sz w:val="24"/>
          <w:szCs w:val="24"/>
        </w:rPr>
        <w:t>[34 C.F.R. §397.40(c)]</w:t>
      </w:r>
    </w:p>
    <w:p w14:paraId="2784B63D" w14:textId="0C968755" w:rsidR="00E21322" w:rsidRPr="00E21322" w:rsidRDefault="00E21322" w:rsidP="00E21322">
      <w:pPr>
        <w:numPr>
          <w:ilvl w:val="0"/>
          <w:numId w:val="1"/>
        </w:numPr>
        <w:spacing w:line="240" w:lineRule="auto"/>
        <w:jc w:val="both"/>
        <w:rPr>
          <w:rFonts w:ascii="Calibri" w:eastAsia="Times New Roman" w:hAnsi="Calibri" w:cs="Times New Roman"/>
          <w:sz w:val="24"/>
          <w:szCs w:val="24"/>
        </w:rPr>
      </w:pPr>
      <w:r w:rsidRPr="00E21322">
        <w:rPr>
          <w:rFonts w:ascii="Calibri" w:eastAsia="Times New Roman" w:hAnsi="Calibri" w:cs="Times New Roman"/>
          <w:sz w:val="24"/>
          <w:szCs w:val="24"/>
        </w:rPr>
        <w:t>Add the ability to opt out for participants who are over age 50 to help reduce the burden of performing counseling sessions annually.</w:t>
      </w:r>
      <w:r w:rsidR="00FD76D6">
        <w:rPr>
          <w:rFonts w:ascii="Calibri" w:eastAsia="Times New Roman" w:hAnsi="Calibri" w:cs="Times New Roman"/>
          <w:sz w:val="24"/>
          <w:szCs w:val="24"/>
        </w:rPr>
        <w:t xml:space="preserve"> </w:t>
      </w:r>
      <w:r w:rsidR="00FD76D6" w:rsidRPr="00E21322">
        <w:rPr>
          <w:rFonts w:ascii="Calibri" w:eastAsia="Times New Roman" w:hAnsi="Calibri" w:cs="Times New Roman"/>
          <w:i/>
          <w:sz w:val="24"/>
          <w:szCs w:val="24"/>
        </w:rPr>
        <w:t>[34 C.F.R. §</w:t>
      </w:r>
      <w:r w:rsidR="00FD76D6">
        <w:rPr>
          <w:rFonts w:ascii="Calibri" w:eastAsia="Times New Roman" w:hAnsi="Calibri" w:cs="Times New Roman"/>
          <w:i/>
          <w:sz w:val="24"/>
          <w:szCs w:val="24"/>
        </w:rPr>
        <w:t>397.1(b)(2)</w:t>
      </w:r>
      <w:r w:rsidR="007E58F4">
        <w:rPr>
          <w:rFonts w:ascii="Calibri" w:eastAsia="Times New Roman" w:hAnsi="Calibri" w:cs="Times New Roman"/>
          <w:i/>
          <w:sz w:val="24"/>
          <w:szCs w:val="24"/>
        </w:rPr>
        <w:t>]</w:t>
      </w:r>
    </w:p>
    <w:p w14:paraId="29500705" w14:textId="77777777" w:rsidR="00E21322" w:rsidRPr="00E21322" w:rsidRDefault="00E21322" w:rsidP="00E21322">
      <w:pPr>
        <w:spacing w:line="240" w:lineRule="auto"/>
        <w:jc w:val="both"/>
        <w:rPr>
          <w:rFonts w:ascii="Calibri" w:eastAsia="Times New Roman" w:hAnsi="Calibri" w:cs="Times New Roman"/>
          <w:b/>
          <w:sz w:val="24"/>
          <w:szCs w:val="24"/>
        </w:rPr>
      </w:pPr>
    </w:p>
    <w:p w14:paraId="7E2A21E1" w14:textId="77777777" w:rsidR="00E21322" w:rsidRPr="00E21322" w:rsidRDefault="00E21322" w:rsidP="00E21322">
      <w:pPr>
        <w:spacing w:line="240" w:lineRule="auto"/>
        <w:jc w:val="center"/>
        <w:rPr>
          <w:rFonts w:ascii="Calibri" w:eastAsia="Times New Roman" w:hAnsi="Calibri" w:cs="Times New Roman"/>
          <w:b/>
          <w:sz w:val="24"/>
          <w:szCs w:val="24"/>
          <w:u w:val="single"/>
        </w:rPr>
      </w:pPr>
      <w:r w:rsidRPr="00E21322">
        <w:rPr>
          <w:rFonts w:ascii="Calibri" w:eastAsia="Times New Roman" w:hAnsi="Calibri" w:cs="Times New Roman"/>
          <w:b/>
          <w:sz w:val="24"/>
          <w:szCs w:val="24"/>
          <w:u w:val="single"/>
        </w:rPr>
        <w:t>Supported Employment Services [34 C.F.R. §361.5(c</w:t>
      </w:r>
      <w:proofErr w:type="gramStart"/>
      <w:r w:rsidRPr="00E21322">
        <w:rPr>
          <w:rFonts w:ascii="Calibri" w:eastAsia="Times New Roman" w:hAnsi="Calibri" w:cs="Times New Roman"/>
          <w:b/>
          <w:sz w:val="24"/>
          <w:szCs w:val="24"/>
          <w:u w:val="single"/>
        </w:rPr>
        <w:t>)(</w:t>
      </w:r>
      <w:proofErr w:type="gramEnd"/>
      <w:r w:rsidRPr="00E21322">
        <w:rPr>
          <w:rFonts w:ascii="Calibri" w:eastAsia="Times New Roman" w:hAnsi="Calibri" w:cs="Times New Roman"/>
          <w:b/>
          <w:sz w:val="24"/>
          <w:szCs w:val="24"/>
          <w:u w:val="single"/>
        </w:rPr>
        <w:t>54)]</w:t>
      </w:r>
    </w:p>
    <w:p w14:paraId="3162B77D" w14:textId="77777777" w:rsidR="00E21322" w:rsidRPr="00E21322" w:rsidRDefault="00E21322" w:rsidP="00E21322">
      <w:pPr>
        <w:spacing w:line="240" w:lineRule="auto"/>
        <w:jc w:val="center"/>
        <w:rPr>
          <w:rFonts w:ascii="Calibri" w:eastAsia="Times New Roman" w:hAnsi="Calibri" w:cs="Times New Roman"/>
          <w:b/>
          <w:sz w:val="24"/>
          <w:szCs w:val="24"/>
        </w:rPr>
      </w:pPr>
    </w:p>
    <w:p w14:paraId="33260EE7" w14:textId="69D371E8" w:rsidR="00E21322" w:rsidRPr="002C6ADE" w:rsidRDefault="00E21322" w:rsidP="00E21322">
      <w:pPr>
        <w:numPr>
          <w:ilvl w:val="0"/>
          <w:numId w:val="3"/>
        </w:numPr>
        <w:spacing w:line="240" w:lineRule="auto"/>
        <w:jc w:val="both"/>
        <w:rPr>
          <w:rFonts w:ascii="Calibri" w:eastAsia="Times New Roman" w:hAnsi="Calibri" w:cs="Times New Roman"/>
          <w:i/>
          <w:sz w:val="24"/>
          <w:szCs w:val="24"/>
        </w:rPr>
      </w:pPr>
      <w:r w:rsidRPr="00E21322">
        <w:rPr>
          <w:rFonts w:ascii="Calibri" w:eastAsia="Times New Roman" w:hAnsi="Calibri" w:cs="Times New Roman"/>
          <w:sz w:val="24"/>
          <w:szCs w:val="24"/>
        </w:rPr>
        <w:t>Job development should be an allowable service for Federal Supported Employment funds.</w:t>
      </w:r>
      <w:r w:rsidRPr="00E21322">
        <w:rPr>
          <w:rFonts w:ascii="Calibri" w:eastAsia="Times New Roman" w:hAnsi="Calibri" w:cs="Times New Roman"/>
          <w:b/>
          <w:sz w:val="24"/>
          <w:szCs w:val="24"/>
        </w:rPr>
        <w:t xml:space="preserve"> </w:t>
      </w:r>
      <w:r w:rsidRPr="00E21322">
        <w:rPr>
          <w:rFonts w:ascii="Calibri" w:eastAsia="Times New Roman" w:hAnsi="Calibri" w:cs="Times New Roman"/>
          <w:i/>
          <w:sz w:val="24"/>
          <w:szCs w:val="24"/>
        </w:rPr>
        <w:t>[34 C.F.R. §361.5(c</w:t>
      </w:r>
      <w:proofErr w:type="gramStart"/>
      <w:r w:rsidRPr="00E21322">
        <w:rPr>
          <w:rFonts w:ascii="Calibri" w:eastAsia="Times New Roman" w:hAnsi="Calibri" w:cs="Times New Roman"/>
          <w:i/>
          <w:sz w:val="24"/>
          <w:szCs w:val="24"/>
        </w:rPr>
        <w:t>)(</w:t>
      </w:r>
      <w:proofErr w:type="gramEnd"/>
      <w:r w:rsidRPr="00E21322">
        <w:rPr>
          <w:rFonts w:ascii="Calibri" w:eastAsia="Times New Roman" w:hAnsi="Calibri" w:cs="Times New Roman"/>
          <w:i/>
          <w:sz w:val="24"/>
          <w:szCs w:val="24"/>
        </w:rPr>
        <w:t>54)</w:t>
      </w:r>
      <w:r w:rsidR="002C6ADE">
        <w:rPr>
          <w:rFonts w:ascii="Calibri" w:eastAsia="Times New Roman" w:hAnsi="Calibri" w:cs="Times New Roman"/>
          <w:i/>
          <w:sz w:val="24"/>
          <w:szCs w:val="24"/>
        </w:rPr>
        <w:t xml:space="preserve"> vs.</w:t>
      </w:r>
      <w:r w:rsidR="002C6ADE" w:rsidRPr="002C6ADE">
        <w:rPr>
          <w:sz w:val="24"/>
          <w:szCs w:val="24"/>
        </w:rPr>
        <w:t xml:space="preserve"> </w:t>
      </w:r>
      <w:r w:rsidR="002C6ADE" w:rsidRPr="002C6ADE">
        <w:rPr>
          <w:i/>
          <w:sz w:val="24"/>
          <w:szCs w:val="24"/>
        </w:rPr>
        <w:t>Employment Outcomes, Competitive Integrated Employment, and Limitations on Use of Subminimum Wage</w:t>
      </w:r>
      <w:r w:rsidR="002C6ADE" w:rsidRPr="002C6ADE">
        <w:rPr>
          <w:sz w:val="24"/>
          <w:szCs w:val="24"/>
        </w:rPr>
        <w:t xml:space="preserve"> </w:t>
      </w:r>
      <w:r w:rsidR="002C6ADE">
        <w:rPr>
          <w:sz w:val="24"/>
          <w:szCs w:val="24"/>
        </w:rPr>
        <w:t xml:space="preserve">presentation </w:t>
      </w:r>
      <w:r w:rsidR="002C6ADE" w:rsidRPr="002C6ADE">
        <w:rPr>
          <w:sz w:val="24"/>
          <w:szCs w:val="24"/>
        </w:rPr>
        <w:t>at the RSA Regional Training Series (2016), slide</w:t>
      </w:r>
      <w:r w:rsidR="002C6ADE">
        <w:rPr>
          <w:sz w:val="24"/>
          <w:szCs w:val="24"/>
        </w:rPr>
        <w:t xml:space="preserve"> 25] </w:t>
      </w:r>
      <w:r w:rsidRPr="002C6ADE">
        <w:rPr>
          <w:rFonts w:ascii="Calibri" w:eastAsia="Times New Roman" w:hAnsi="Calibri" w:cs="Times New Roman"/>
          <w:sz w:val="24"/>
          <w:szCs w:val="24"/>
        </w:rPr>
        <w:t>Many state systems have this service built into their SE process. To have to separate this service from the service authorization process adds additional administrative burden and confusion to staff and providers. States spend significantly more on SE services than the Federal SE funds anyway; as a result, there is no perceived gain by requiring the separation of this part of the service.</w:t>
      </w:r>
      <w:r w:rsidRPr="002C6ADE">
        <w:rPr>
          <w:rFonts w:ascii="Calibri" w:eastAsia="Times New Roman" w:hAnsi="Calibri" w:cs="Times New Roman"/>
          <w:i/>
          <w:sz w:val="24"/>
          <w:szCs w:val="24"/>
        </w:rPr>
        <w:t xml:space="preserve"> </w:t>
      </w:r>
    </w:p>
    <w:p w14:paraId="56167B40" w14:textId="21784B8C" w:rsidR="00E21322" w:rsidRPr="00E21322" w:rsidRDefault="00E21322" w:rsidP="00E21322">
      <w:pPr>
        <w:numPr>
          <w:ilvl w:val="0"/>
          <w:numId w:val="3"/>
        </w:numPr>
        <w:spacing w:line="240" w:lineRule="auto"/>
        <w:jc w:val="both"/>
        <w:rPr>
          <w:rFonts w:ascii="Calibri" w:eastAsia="Times New Roman" w:hAnsi="Calibri" w:cs="Times New Roman"/>
          <w:sz w:val="24"/>
          <w:szCs w:val="24"/>
        </w:rPr>
      </w:pPr>
      <w:r w:rsidRPr="00E21322">
        <w:rPr>
          <w:rFonts w:ascii="Calibri" w:eastAsia="Times New Roman" w:hAnsi="Calibri" w:cs="Times New Roman"/>
          <w:sz w:val="24"/>
          <w:szCs w:val="24"/>
        </w:rPr>
        <w:t xml:space="preserve">Eliminate the supported employment status 26 closure and just allow those cases </w:t>
      </w:r>
      <w:r w:rsidR="009B3F85">
        <w:rPr>
          <w:rFonts w:ascii="Calibri" w:eastAsia="Times New Roman" w:hAnsi="Calibri" w:cs="Times New Roman"/>
          <w:sz w:val="24"/>
          <w:szCs w:val="24"/>
        </w:rPr>
        <w:t xml:space="preserve">to be reported as a status 26. </w:t>
      </w:r>
      <w:r w:rsidR="009B3F85" w:rsidRPr="009B3F85">
        <w:rPr>
          <w:rFonts w:ascii="Calibri" w:eastAsia="Times New Roman" w:hAnsi="Calibri" w:cs="Times New Roman"/>
          <w:i/>
          <w:sz w:val="24"/>
          <w:szCs w:val="24"/>
        </w:rPr>
        <w:t>[</w:t>
      </w:r>
      <w:r w:rsidR="009B3F85" w:rsidRPr="00E21322">
        <w:rPr>
          <w:rFonts w:ascii="Calibri" w:eastAsia="Times New Roman" w:hAnsi="Calibri" w:cs="Times New Roman"/>
          <w:i/>
          <w:sz w:val="24"/>
          <w:szCs w:val="24"/>
        </w:rPr>
        <w:t>34 C.F.R. §</w:t>
      </w:r>
      <w:r w:rsidR="009B3F85">
        <w:rPr>
          <w:rFonts w:ascii="Calibri" w:eastAsia="Times New Roman" w:hAnsi="Calibri" w:cs="Times New Roman"/>
          <w:i/>
          <w:sz w:val="24"/>
          <w:szCs w:val="24"/>
        </w:rPr>
        <w:t xml:space="preserve">363.55; </w:t>
      </w:r>
      <w:r w:rsidR="009B3F85" w:rsidRPr="009B3F85">
        <w:rPr>
          <w:rFonts w:ascii="Calibri" w:eastAsia="Times New Roman" w:hAnsi="Calibri" w:cs="Times New Roman"/>
          <w:i/>
          <w:sz w:val="24"/>
          <w:szCs w:val="24"/>
        </w:rPr>
        <w:t>RSA-911, Section XVI]</w:t>
      </w:r>
    </w:p>
    <w:p w14:paraId="37831D18" w14:textId="279DB771" w:rsidR="00E21322" w:rsidRPr="00E21322" w:rsidRDefault="00E21322" w:rsidP="00E21322">
      <w:pPr>
        <w:numPr>
          <w:ilvl w:val="0"/>
          <w:numId w:val="3"/>
        </w:numPr>
        <w:spacing w:line="240" w:lineRule="auto"/>
        <w:jc w:val="both"/>
        <w:rPr>
          <w:rFonts w:ascii="Calibri" w:eastAsia="Times New Roman" w:hAnsi="Calibri" w:cs="Times New Roman"/>
          <w:sz w:val="24"/>
          <w:szCs w:val="24"/>
        </w:rPr>
      </w:pPr>
      <w:r w:rsidRPr="00E21322">
        <w:rPr>
          <w:rFonts w:ascii="Calibri" w:eastAsia="Times New Roman" w:hAnsi="Calibri" w:cs="Times New Roman"/>
          <w:sz w:val="24"/>
          <w:szCs w:val="24"/>
        </w:rPr>
        <w:t>The changes to the matching requirement for Federal SE funds are overly complicated for such a small amount of funds.</w:t>
      </w:r>
      <w:r w:rsidR="002C6ADE">
        <w:rPr>
          <w:rFonts w:ascii="Calibri" w:eastAsia="Times New Roman" w:hAnsi="Calibri" w:cs="Times New Roman"/>
          <w:sz w:val="24"/>
          <w:szCs w:val="24"/>
        </w:rPr>
        <w:t xml:space="preserve"> </w:t>
      </w:r>
      <w:r w:rsidR="002C6ADE" w:rsidRPr="00E21322">
        <w:rPr>
          <w:rFonts w:ascii="Calibri" w:eastAsia="Times New Roman" w:hAnsi="Calibri" w:cs="Times New Roman"/>
          <w:i/>
          <w:sz w:val="24"/>
          <w:szCs w:val="24"/>
        </w:rPr>
        <w:t>[34 C.F.R. §361.</w:t>
      </w:r>
      <w:r w:rsidR="002C6ADE">
        <w:rPr>
          <w:rFonts w:ascii="Calibri" w:eastAsia="Times New Roman" w:hAnsi="Calibri" w:cs="Times New Roman"/>
          <w:i/>
          <w:sz w:val="24"/>
          <w:szCs w:val="24"/>
        </w:rPr>
        <w:t>60</w:t>
      </w:r>
      <w:r w:rsidR="007E58F4">
        <w:rPr>
          <w:rFonts w:ascii="Calibri" w:eastAsia="Times New Roman" w:hAnsi="Calibri" w:cs="Times New Roman"/>
          <w:i/>
          <w:sz w:val="24"/>
          <w:szCs w:val="24"/>
        </w:rPr>
        <w:t>]</w:t>
      </w:r>
    </w:p>
    <w:p w14:paraId="3BFFE933" w14:textId="77777777" w:rsidR="00E21322" w:rsidRPr="00E21322" w:rsidRDefault="00E21322" w:rsidP="00E21322">
      <w:pPr>
        <w:spacing w:line="240" w:lineRule="auto"/>
        <w:jc w:val="both"/>
        <w:rPr>
          <w:rFonts w:ascii="Calibri" w:eastAsia="Times New Roman" w:hAnsi="Calibri" w:cs="Times New Roman"/>
          <w:sz w:val="24"/>
          <w:szCs w:val="24"/>
        </w:rPr>
      </w:pPr>
    </w:p>
    <w:p w14:paraId="63A22E4E" w14:textId="77777777" w:rsidR="00E21322" w:rsidRPr="00E21322" w:rsidRDefault="00E21322" w:rsidP="00E21322">
      <w:pPr>
        <w:spacing w:line="240" w:lineRule="auto"/>
        <w:jc w:val="center"/>
        <w:rPr>
          <w:rFonts w:ascii="Calibri" w:eastAsia="Times New Roman" w:hAnsi="Calibri" w:cs="Times New Roman"/>
          <w:b/>
          <w:sz w:val="24"/>
          <w:szCs w:val="24"/>
          <w:u w:val="single"/>
        </w:rPr>
      </w:pPr>
      <w:r w:rsidRPr="00E21322">
        <w:rPr>
          <w:rFonts w:ascii="Calibri" w:eastAsia="Times New Roman" w:hAnsi="Calibri" w:cs="Times New Roman"/>
          <w:b/>
          <w:sz w:val="24"/>
          <w:szCs w:val="24"/>
          <w:u w:val="single"/>
        </w:rPr>
        <w:t>Competitive Integrated Employment (CIE) [34 C.F.R. §361.5(c)(9)]</w:t>
      </w:r>
    </w:p>
    <w:p w14:paraId="5FD74BF0" w14:textId="77777777" w:rsidR="00E21322" w:rsidRPr="00E21322" w:rsidRDefault="00E21322" w:rsidP="00E21322">
      <w:pPr>
        <w:spacing w:line="240" w:lineRule="auto"/>
        <w:jc w:val="center"/>
        <w:rPr>
          <w:rFonts w:ascii="Calibri" w:eastAsia="Times New Roman" w:hAnsi="Calibri" w:cs="Times New Roman"/>
          <w:b/>
          <w:sz w:val="24"/>
          <w:szCs w:val="24"/>
        </w:rPr>
      </w:pPr>
    </w:p>
    <w:p w14:paraId="61891BB7" w14:textId="77777777" w:rsidR="00E21322" w:rsidRPr="00E21322" w:rsidRDefault="00E21322" w:rsidP="00E21322">
      <w:pPr>
        <w:numPr>
          <w:ilvl w:val="0"/>
          <w:numId w:val="5"/>
        </w:numPr>
        <w:spacing w:line="240" w:lineRule="auto"/>
        <w:jc w:val="both"/>
        <w:rPr>
          <w:rFonts w:ascii="Calibri" w:eastAsia="Times New Roman" w:hAnsi="Calibri" w:cs="Times New Roman"/>
          <w:sz w:val="24"/>
          <w:szCs w:val="24"/>
        </w:rPr>
      </w:pPr>
      <w:r w:rsidRPr="00E21322">
        <w:rPr>
          <w:rFonts w:ascii="Calibri" w:eastAsia="Times New Roman" w:hAnsi="Calibri" w:cs="Times New Roman"/>
          <w:sz w:val="24"/>
          <w:szCs w:val="24"/>
        </w:rPr>
        <w:t xml:space="preserve">Allow contracts under JWOD and other state-level procurement programs to be considered CIE as long as competitive wage and advancement criteria are met. </w:t>
      </w:r>
      <w:r w:rsidRPr="00E21322">
        <w:rPr>
          <w:rFonts w:ascii="Calibri" w:eastAsia="Times New Roman" w:hAnsi="Calibri" w:cs="Times New Roman"/>
          <w:i/>
          <w:sz w:val="24"/>
          <w:szCs w:val="24"/>
        </w:rPr>
        <w:t>[34 C.F.R. §361.5(c)(9)(ii)]</w:t>
      </w:r>
    </w:p>
    <w:p w14:paraId="63F91A0A" w14:textId="77777777" w:rsidR="00E21322" w:rsidRPr="00E21322" w:rsidRDefault="00E21322" w:rsidP="00E21322">
      <w:pPr>
        <w:numPr>
          <w:ilvl w:val="0"/>
          <w:numId w:val="5"/>
        </w:numPr>
        <w:spacing w:line="240" w:lineRule="auto"/>
        <w:jc w:val="both"/>
        <w:rPr>
          <w:rFonts w:ascii="Calibri" w:eastAsia="Times New Roman" w:hAnsi="Calibri" w:cs="Times New Roman"/>
          <w:sz w:val="24"/>
          <w:szCs w:val="24"/>
        </w:rPr>
      </w:pPr>
      <w:r w:rsidRPr="00E21322">
        <w:rPr>
          <w:rFonts w:ascii="Calibri" w:eastAsia="Times New Roman" w:hAnsi="Calibri" w:cs="Times New Roman"/>
          <w:sz w:val="24"/>
          <w:szCs w:val="24"/>
        </w:rPr>
        <w:t>Integration should be optional if it is the customer’s choice to work under a contract as long as the wage is comparable to peers in similar positions and there are opportunities for advancement.</w:t>
      </w:r>
      <w:r w:rsidRPr="00E21322">
        <w:rPr>
          <w:rFonts w:ascii="Calibri" w:eastAsia="Times New Roman" w:hAnsi="Calibri" w:cs="Times New Roman"/>
          <w:b/>
          <w:sz w:val="24"/>
          <w:szCs w:val="24"/>
        </w:rPr>
        <w:t xml:space="preserve"> </w:t>
      </w:r>
      <w:r w:rsidRPr="00E21322">
        <w:rPr>
          <w:rFonts w:ascii="Calibri" w:eastAsia="Times New Roman" w:hAnsi="Calibri" w:cs="Times New Roman"/>
          <w:i/>
          <w:sz w:val="24"/>
          <w:szCs w:val="24"/>
        </w:rPr>
        <w:t xml:space="preserve">[34 C.F.R. §361.5(c)(9)(i) and 34 C.F.R. §361.5(c)(9)(ii)] </w:t>
      </w:r>
    </w:p>
    <w:p w14:paraId="6668D450" w14:textId="77777777" w:rsidR="00E21322" w:rsidRPr="00E21322" w:rsidRDefault="00E21322" w:rsidP="00E21322">
      <w:pPr>
        <w:spacing w:line="240" w:lineRule="auto"/>
        <w:jc w:val="both"/>
        <w:rPr>
          <w:rFonts w:ascii="Calibri" w:eastAsia="Times New Roman" w:hAnsi="Calibri" w:cs="Times New Roman"/>
          <w:b/>
          <w:sz w:val="24"/>
          <w:szCs w:val="24"/>
        </w:rPr>
      </w:pPr>
    </w:p>
    <w:p w14:paraId="5EA5E35E" w14:textId="77777777" w:rsidR="00E21322" w:rsidRPr="00E21322" w:rsidRDefault="00E21322" w:rsidP="00E21322">
      <w:pPr>
        <w:spacing w:line="240" w:lineRule="auto"/>
        <w:jc w:val="center"/>
        <w:rPr>
          <w:rFonts w:ascii="Calibri" w:eastAsia="Times New Roman" w:hAnsi="Calibri" w:cs="Times New Roman"/>
          <w:b/>
          <w:sz w:val="24"/>
          <w:szCs w:val="24"/>
          <w:u w:val="single"/>
        </w:rPr>
      </w:pPr>
      <w:r w:rsidRPr="00E21322">
        <w:rPr>
          <w:rFonts w:ascii="Calibri" w:eastAsia="Times New Roman" w:hAnsi="Calibri" w:cs="Times New Roman"/>
          <w:b/>
          <w:sz w:val="24"/>
          <w:szCs w:val="24"/>
          <w:u w:val="single"/>
        </w:rPr>
        <w:t>RSA 911 Report [Policy Directive RSA-PD-16-04 and Reporting Manual for the Case Service Report (RSA-911) (OMB Control Number 1820-0508, June 2016)]</w:t>
      </w:r>
    </w:p>
    <w:p w14:paraId="1D1072FA" w14:textId="77777777" w:rsidR="00E21322" w:rsidRPr="00E21322" w:rsidRDefault="00E21322" w:rsidP="00E21322">
      <w:pPr>
        <w:spacing w:line="240" w:lineRule="auto"/>
        <w:jc w:val="center"/>
        <w:rPr>
          <w:rFonts w:ascii="Calibri" w:eastAsia="Times New Roman" w:hAnsi="Calibri" w:cs="Times New Roman"/>
          <w:b/>
          <w:sz w:val="24"/>
          <w:szCs w:val="24"/>
        </w:rPr>
      </w:pPr>
    </w:p>
    <w:p w14:paraId="1B17B4E4" w14:textId="77777777" w:rsidR="00E21322" w:rsidRPr="00E21322" w:rsidRDefault="00E21322" w:rsidP="00E21322">
      <w:pPr>
        <w:spacing w:line="240" w:lineRule="auto"/>
        <w:jc w:val="both"/>
        <w:rPr>
          <w:rFonts w:ascii="Calibri" w:eastAsia="Times New Roman" w:hAnsi="Calibri" w:cs="Times New Roman"/>
          <w:sz w:val="24"/>
          <w:szCs w:val="24"/>
        </w:rPr>
      </w:pPr>
      <w:r w:rsidRPr="00E21322">
        <w:rPr>
          <w:rFonts w:ascii="Calibri" w:eastAsia="Times New Roman" w:hAnsi="Calibri" w:cs="Times New Roman"/>
          <w:sz w:val="24"/>
          <w:szCs w:val="24"/>
        </w:rPr>
        <w:t>A tremendous amount of data collection is currently required. Staff have repeatedly indicated that they are spending more time collecting and entering data than meeting with customers and providing counseling services. A balance between data collection and outcomes would be beneficial to staff, and especially to customers. Better alignment with federal partners on the questions asked and data collected is needed. It would also be beneficial if legislation would be enacted that requires and allows data to be shared between Workforce, Center for Medicare and Medicaid Services (CMS) Waiver providers, and Secondary and Post Education entities to help ensure that funds are able to be maximized and services are not being duplicated. Suggestions related to RSA-911 changes follow.</w:t>
      </w:r>
    </w:p>
    <w:p w14:paraId="77836105" w14:textId="77777777" w:rsidR="00E21322" w:rsidRPr="00E21322" w:rsidRDefault="00E21322" w:rsidP="00E21322">
      <w:pPr>
        <w:spacing w:line="240" w:lineRule="auto"/>
        <w:jc w:val="both"/>
        <w:rPr>
          <w:rFonts w:ascii="Calibri" w:eastAsia="Times New Roman" w:hAnsi="Calibri" w:cs="Times New Roman"/>
          <w:sz w:val="24"/>
          <w:szCs w:val="24"/>
        </w:rPr>
      </w:pPr>
    </w:p>
    <w:p w14:paraId="062E06FD" w14:textId="77777777" w:rsidR="00E21322" w:rsidRPr="00E21322" w:rsidRDefault="00E21322" w:rsidP="00E21322">
      <w:pPr>
        <w:numPr>
          <w:ilvl w:val="0"/>
          <w:numId w:val="4"/>
        </w:numPr>
        <w:spacing w:line="240" w:lineRule="auto"/>
        <w:contextualSpacing/>
        <w:jc w:val="both"/>
        <w:rPr>
          <w:rFonts w:ascii="Calibri" w:eastAsia="Times New Roman" w:hAnsi="Calibri" w:cs="Times New Roman"/>
          <w:sz w:val="24"/>
          <w:szCs w:val="24"/>
        </w:rPr>
      </w:pPr>
      <w:r w:rsidRPr="00E21322">
        <w:rPr>
          <w:rFonts w:ascii="Calibri" w:eastAsia="Times New Roman" w:hAnsi="Calibri" w:cs="Times New Roman"/>
          <w:sz w:val="24"/>
          <w:szCs w:val="24"/>
        </w:rPr>
        <w:t xml:space="preserve">The tracking of Measurable Skill Gains is overly burdensome </w:t>
      </w:r>
      <w:r w:rsidRPr="002C6ADE">
        <w:rPr>
          <w:rFonts w:ascii="Calibri" w:eastAsia="Times New Roman" w:hAnsi="Calibri" w:cs="Times New Roman"/>
          <w:i/>
          <w:sz w:val="24"/>
          <w:szCs w:val="24"/>
        </w:rPr>
        <w:t>[Section XV]</w:t>
      </w:r>
      <w:r w:rsidRPr="00E21322">
        <w:rPr>
          <w:rFonts w:ascii="Calibri" w:eastAsia="Times New Roman" w:hAnsi="Calibri" w:cs="Times New Roman"/>
          <w:sz w:val="24"/>
          <w:szCs w:val="24"/>
        </w:rPr>
        <w:t xml:space="preserve">. Suggest eliminating it, or allow it to be by self-report documented in a case progress note. Staff are spending too much time tracking down verification documentation for things that hold little value to them as far as helping a person become employable or employed. Specifically, Educational Functioning Level should not be collected. </w:t>
      </w:r>
      <w:r w:rsidRPr="00E21322">
        <w:rPr>
          <w:rFonts w:ascii="Calibri" w:eastAsia="Times New Roman" w:hAnsi="Calibri" w:cs="Times New Roman"/>
          <w:i/>
          <w:sz w:val="24"/>
          <w:szCs w:val="24"/>
        </w:rPr>
        <w:t>[Section XV (A)]</w:t>
      </w:r>
    </w:p>
    <w:p w14:paraId="2ECEC94A" w14:textId="77777777" w:rsidR="00E21322" w:rsidRPr="00E21322" w:rsidRDefault="00E21322" w:rsidP="00E21322">
      <w:pPr>
        <w:numPr>
          <w:ilvl w:val="0"/>
          <w:numId w:val="4"/>
        </w:numPr>
        <w:spacing w:line="240" w:lineRule="auto"/>
        <w:contextualSpacing/>
        <w:jc w:val="both"/>
        <w:rPr>
          <w:rFonts w:ascii="Calibri" w:eastAsia="Times New Roman" w:hAnsi="Calibri" w:cs="Times New Roman"/>
          <w:sz w:val="24"/>
          <w:szCs w:val="24"/>
        </w:rPr>
      </w:pPr>
      <w:r w:rsidRPr="00E21322">
        <w:rPr>
          <w:rFonts w:ascii="Calibri" w:eastAsia="Times New Roman" w:hAnsi="Calibri" w:cs="Times New Roman"/>
          <w:sz w:val="24"/>
          <w:szCs w:val="24"/>
        </w:rPr>
        <w:t>Post-exit information should be eliminated overall, or reduced to eliminate credential attainment after exit.</w:t>
      </w:r>
      <w:r w:rsidRPr="00E21322">
        <w:rPr>
          <w:rFonts w:ascii="Calibri" w:eastAsia="Times New Roman" w:hAnsi="Calibri" w:cs="Times New Roman"/>
          <w:b/>
          <w:sz w:val="24"/>
          <w:szCs w:val="24"/>
        </w:rPr>
        <w:t xml:space="preserve"> </w:t>
      </w:r>
      <w:r w:rsidRPr="00E21322">
        <w:rPr>
          <w:rFonts w:ascii="Calibri" w:eastAsia="Times New Roman" w:hAnsi="Calibri" w:cs="Times New Roman"/>
          <w:i/>
          <w:sz w:val="24"/>
          <w:szCs w:val="24"/>
        </w:rPr>
        <w:t>[Section XVIII (A-G)]</w:t>
      </w:r>
    </w:p>
    <w:p w14:paraId="4E0CEA42" w14:textId="57C833D8" w:rsidR="00E21322" w:rsidRPr="00E21322" w:rsidRDefault="00E21322" w:rsidP="00E21322">
      <w:pPr>
        <w:numPr>
          <w:ilvl w:val="0"/>
          <w:numId w:val="4"/>
        </w:numPr>
        <w:spacing w:line="240" w:lineRule="auto"/>
        <w:contextualSpacing/>
        <w:jc w:val="both"/>
        <w:rPr>
          <w:rFonts w:ascii="Calibri" w:eastAsia="Times New Roman" w:hAnsi="Calibri" w:cs="Times New Roman"/>
          <w:sz w:val="24"/>
          <w:szCs w:val="24"/>
        </w:rPr>
      </w:pPr>
      <w:r w:rsidRPr="00E21322">
        <w:rPr>
          <w:rFonts w:ascii="Calibri" w:eastAsia="Times New Roman" w:hAnsi="Calibri" w:cs="Times New Roman"/>
          <w:sz w:val="24"/>
          <w:szCs w:val="24"/>
        </w:rPr>
        <w:lastRenderedPageBreak/>
        <w:t>Collecting placement data and closure data on Status 26 closures is overly burdensome and unnecessary. Require the closure information only.</w:t>
      </w:r>
      <w:r w:rsidR="002C6ADE">
        <w:rPr>
          <w:rFonts w:ascii="Calibri" w:eastAsia="Times New Roman" w:hAnsi="Calibri" w:cs="Times New Roman"/>
          <w:sz w:val="24"/>
          <w:szCs w:val="24"/>
        </w:rPr>
        <w:t xml:space="preserve"> </w:t>
      </w:r>
      <w:r w:rsidR="002C6ADE" w:rsidRPr="002C6ADE">
        <w:rPr>
          <w:rFonts w:ascii="Calibri" w:eastAsia="Times New Roman" w:hAnsi="Calibri" w:cs="Times New Roman"/>
          <w:i/>
          <w:sz w:val="24"/>
          <w:szCs w:val="24"/>
        </w:rPr>
        <w:t>[Sections XVI and XVII]</w:t>
      </w:r>
    </w:p>
    <w:p w14:paraId="6083BFAA" w14:textId="77777777" w:rsidR="00E21322" w:rsidRPr="00E21322" w:rsidRDefault="00E21322" w:rsidP="00E21322">
      <w:pPr>
        <w:numPr>
          <w:ilvl w:val="0"/>
          <w:numId w:val="4"/>
        </w:numPr>
        <w:spacing w:line="240" w:lineRule="auto"/>
        <w:contextualSpacing/>
        <w:jc w:val="both"/>
        <w:rPr>
          <w:rFonts w:ascii="Calibri" w:eastAsia="Times New Roman" w:hAnsi="Calibri" w:cs="Times New Roman"/>
          <w:sz w:val="24"/>
          <w:szCs w:val="24"/>
        </w:rPr>
      </w:pPr>
      <w:r w:rsidRPr="00E21322">
        <w:rPr>
          <w:rFonts w:ascii="Calibri" w:eastAsia="Times New Roman" w:hAnsi="Calibri" w:cs="Times New Roman"/>
          <w:sz w:val="24"/>
          <w:szCs w:val="24"/>
        </w:rPr>
        <w:t xml:space="preserve">There is a duplication of data being collected between Data Element 76 (Highest Educational Level Completed) and Data Element 77 (Highest Elementary or Secondary School Grade Completed). It is confusing to staff and customers and seemingly unnecessary. </w:t>
      </w:r>
      <w:r w:rsidRPr="00E21322">
        <w:rPr>
          <w:rFonts w:ascii="Calibri" w:eastAsia="Times New Roman" w:hAnsi="Calibri" w:cs="Times New Roman"/>
          <w:i/>
          <w:sz w:val="24"/>
          <w:szCs w:val="24"/>
        </w:rPr>
        <w:t>[Section IX (F</w:t>
      </w:r>
      <w:proofErr w:type="gramStart"/>
      <w:r w:rsidRPr="00E21322">
        <w:rPr>
          <w:rFonts w:ascii="Calibri" w:eastAsia="Times New Roman" w:hAnsi="Calibri" w:cs="Times New Roman"/>
          <w:i/>
          <w:sz w:val="24"/>
          <w:szCs w:val="24"/>
        </w:rPr>
        <w:t>)(</w:t>
      </w:r>
      <w:proofErr w:type="gramEnd"/>
      <w:r w:rsidRPr="00E21322">
        <w:rPr>
          <w:rFonts w:ascii="Calibri" w:eastAsia="Times New Roman" w:hAnsi="Calibri" w:cs="Times New Roman"/>
          <w:i/>
          <w:sz w:val="24"/>
          <w:szCs w:val="24"/>
        </w:rPr>
        <w:t>3,4)]</w:t>
      </w:r>
    </w:p>
    <w:p w14:paraId="395CC6DB" w14:textId="77777777" w:rsidR="00E21322" w:rsidRPr="00E21322" w:rsidRDefault="00E21322" w:rsidP="00E21322">
      <w:pPr>
        <w:numPr>
          <w:ilvl w:val="0"/>
          <w:numId w:val="4"/>
        </w:numPr>
        <w:spacing w:line="240" w:lineRule="auto"/>
        <w:contextualSpacing/>
        <w:jc w:val="both"/>
        <w:rPr>
          <w:rFonts w:ascii="Calibri" w:eastAsia="Times New Roman" w:hAnsi="Calibri" w:cs="Times New Roman"/>
          <w:sz w:val="24"/>
          <w:szCs w:val="24"/>
        </w:rPr>
      </w:pPr>
      <w:r w:rsidRPr="00E21322">
        <w:rPr>
          <w:rFonts w:ascii="Calibri" w:eastAsia="Times New Roman" w:hAnsi="Calibri" w:cs="Times New Roman"/>
          <w:sz w:val="24"/>
          <w:szCs w:val="24"/>
        </w:rPr>
        <w:t xml:space="preserve">There is a duplication of data being collected between Data Element 83 (Enrolled in Postsecondary Education – Highest Academic Year) and Data Element 84 (Enrolled in Postsecondary Education). It is confusing to staff and customers and seemingly unnecessary. </w:t>
      </w:r>
      <w:r w:rsidRPr="00E21322">
        <w:rPr>
          <w:rFonts w:ascii="Calibri" w:eastAsia="Times New Roman" w:hAnsi="Calibri" w:cs="Times New Roman"/>
          <w:i/>
          <w:sz w:val="24"/>
          <w:szCs w:val="24"/>
        </w:rPr>
        <w:t>[Section IX (F</w:t>
      </w:r>
      <w:proofErr w:type="gramStart"/>
      <w:r w:rsidRPr="00E21322">
        <w:rPr>
          <w:rFonts w:ascii="Calibri" w:eastAsia="Times New Roman" w:hAnsi="Calibri" w:cs="Times New Roman"/>
          <w:i/>
          <w:sz w:val="24"/>
          <w:szCs w:val="24"/>
        </w:rPr>
        <w:t>)(</w:t>
      </w:r>
      <w:proofErr w:type="gramEnd"/>
      <w:r w:rsidRPr="00E21322">
        <w:rPr>
          <w:rFonts w:ascii="Calibri" w:eastAsia="Times New Roman" w:hAnsi="Calibri" w:cs="Times New Roman"/>
          <w:i/>
          <w:sz w:val="24"/>
          <w:szCs w:val="24"/>
        </w:rPr>
        <w:t>10,11)]</w:t>
      </w:r>
    </w:p>
    <w:p w14:paraId="3745A131" w14:textId="77777777" w:rsidR="00E21322" w:rsidRPr="00E21322" w:rsidRDefault="00E21322" w:rsidP="00E21322">
      <w:pPr>
        <w:spacing w:line="240" w:lineRule="auto"/>
        <w:jc w:val="both"/>
        <w:rPr>
          <w:rFonts w:ascii="Calibri" w:eastAsia="Times New Roman" w:hAnsi="Calibri" w:cs="Times New Roman"/>
          <w:sz w:val="24"/>
          <w:szCs w:val="24"/>
        </w:rPr>
      </w:pPr>
    </w:p>
    <w:p w14:paraId="0545A248" w14:textId="77777777" w:rsidR="00E21322" w:rsidRPr="00E21322" w:rsidRDefault="00E21322" w:rsidP="00E21322">
      <w:pPr>
        <w:spacing w:line="240" w:lineRule="auto"/>
        <w:jc w:val="both"/>
        <w:rPr>
          <w:rFonts w:ascii="Calibri" w:eastAsia="Times New Roman" w:hAnsi="Calibri" w:cs="Times New Roman"/>
          <w:sz w:val="24"/>
          <w:szCs w:val="24"/>
        </w:rPr>
      </w:pPr>
      <w:r w:rsidRPr="00E21322">
        <w:rPr>
          <w:rFonts w:ascii="Calibri" w:eastAsia="Times New Roman" w:hAnsi="Calibri" w:cs="Times New Roman"/>
          <w:sz w:val="24"/>
          <w:szCs w:val="24"/>
        </w:rPr>
        <w:t>If you have questions about these suggestions, please contact:</w:t>
      </w:r>
    </w:p>
    <w:p w14:paraId="5B6F5096" w14:textId="77777777" w:rsidR="00E21322" w:rsidRPr="00E21322" w:rsidRDefault="00E21322" w:rsidP="00E21322">
      <w:pPr>
        <w:spacing w:line="240" w:lineRule="auto"/>
        <w:jc w:val="both"/>
        <w:rPr>
          <w:rFonts w:ascii="Calibri" w:eastAsia="Times New Roman" w:hAnsi="Calibri" w:cs="Times New Roman"/>
          <w:sz w:val="24"/>
          <w:szCs w:val="24"/>
        </w:rPr>
      </w:pPr>
    </w:p>
    <w:p w14:paraId="58737FAE" w14:textId="77777777" w:rsidR="00E21322" w:rsidRPr="00E21322" w:rsidRDefault="00E21322" w:rsidP="00E21322">
      <w:pPr>
        <w:spacing w:line="240" w:lineRule="auto"/>
        <w:jc w:val="both"/>
        <w:rPr>
          <w:rFonts w:ascii="Calibri" w:eastAsia="Times New Roman" w:hAnsi="Calibri" w:cs="Times New Roman"/>
          <w:sz w:val="24"/>
          <w:szCs w:val="24"/>
        </w:rPr>
      </w:pPr>
      <w:r w:rsidRPr="00E21322">
        <w:rPr>
          <w:rFonts w:ascii="Calibri" w:eastAsia="Times New Roman" w:hAnsi="Calibri" w:cs="Times New Roman"/>
          <w:sz w:val="24"/>
          <w:szCs w:val="24"/>
        </w:rPr>
        <w:t>David DeNotaris, PA OVR Executive Director</w:t>
      </w:r>
    </w:p>
    <w:p w14:paraId="61F61358" w14:textId="77777777" w:rsidR="00E21322" w:rsidRPr="00E21322" w:rsidRDefault="00E21322" w:rsidP="00E21322">
      <w:pPr>
        <w:spacing w:line="240" w:lineRule="auto"/>
        <w:jc w:val="both"/>
        <w:rPr>
          <w:rFonts w:ascii="Calibri" w:eastAsia="Times New Roman" w:hAnsi="Calibri" w:cs="Times New Roman"/>
          <w:sz w:val="24"/>
          <w:szCs w:val="24"/>
        </w:rPr>
      </w:pPr>
      <w:r w:rsidRPr="00E21322">
        <w:rPr>
          <w:rFonts w:ascii="Calibri" w:eastAsia="Times New Roman" w:hAnsi="Calibri" w:cs="Times New Roman"/>
          <w:sz w:val="24"/>
          <w:szCs w:val="24"/>
        </w:rPr>
        <w:t>ddenotaris@pa.gov</w:t>
      </w:r>
    </w:p>
    <w:p w14:paraId="38510EB4" w14:textId="77777777" w:rsidR="00E21322" w:rsidRPr="00E21322" w:rsidRDefault="00E21322" w:rsidP="00E21322">
      <w:pPr>
        <w:spacing w:line="240" w:lineRule="auto"/>
        <w:jc w:val="both"/>
        <w:rPr>
          <w:rFonts w:ascii="Calibri" w:eastAsia="Times New Roman" w:hAnsi="Calibri" w:cs="Times New Roman"/>
          <w:sz w:val="24"/>
          <w:szCs w:val="24"/>
        </w:rPr>
      </w:pPr>
      <w:r w:rsidRPr="00E21322">
        <w:rPr>
          <w:rFonts w:ascii="Calibri" w:eastAsia="Times New Roman" w:hAnsi="Calibri" w:cs="Times New Roman"/>
          <w:sz w:val="24"/>
          <w:szCs w:val="24"/>
        </w:rPr>
        <w:t>(717) 783-3784</w:t>
      </w:r>
    </w:p>
    <w:p w14:paraId="18ADF346" w14:textId="77777777" w:rsidR="00E21322" w:rsidRPr="00E21322" w:rsidRDefault="00E21322" w:rsidP="00E21322">
      <w:pPr>
        <w:spacing w:line="240" w:lineRule="auto"/>
        <w:jc w:val="both"/>
        <w:rPr>
          <w:rFonts w:ascii="Calibri" w:eastAsia="Times New Roman" w:hAnsi="Calibri" w:cs="Times New Roman"/>
          <w:sz w:val="24"/>
          <w:szCs w:val="24"/>
        </w:rPr>
      </w:pPr>
    </w:p>
    <w:p w14:paraId="645A7CC6" w14:textId="77777777" w:rsidR="00E21322" w:rsidRPr="00E21322" w:rsidRDefault="00E21322" w:rsidP="00E21322">
      <w:pPr>
        <w:spacing w:line="240" w:lineRule="auto"/>
        <w:jc w:val="both"/>
        <w:rPr>
          <w:rFonts w:ascii="Calibri" w:eastAsia="Times New Roman" w:hAnsi="Calibri" w:cs="Times New Roman"/>
          <w:sz w:val="24"/>
          <w:szCs w:val="24"/>
        </w:rPr>
      </w:pPr>
    </w:p>
    <w:p w14:paraId="7E71A88B" w14:textId="77777777" w:rsidR="00ED581D" w:rsidRDefault="002920AA">
      <w:bookmarkStart w:id="0" w:name="_GoBack"/>
      <w:bookmarkEnd w:id="0"/>
    </w:p>
    <w:sectPr w:rsidR="00ED581D" w:rsidSect="00591C29">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677B5F" w14:textId="77777777" w:rsidR="005719BA" w:rsidRDefault="005719BA" w:rsidP="005719BA">
      <w:pPr>
        <w:spacing w:line="240" w:lineRule="auto"/>
      </w:pPr>
      <w:r>
        <w:separator/>
      </w:r>
    </w:p>
  </w:endnote>
  <w:endnote w:type="continuationSeparator" w:id="0">
    <w:p w14:paraId="62EC2B34" w14:textId="77777777" w:rsidR="005719BA" w:rsidRDefault="005719BA" w:rsidP="005719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4C5709" w14:textId="77777777" w:rsidR="005719BA" w:rsidRDefault="005719BA" w:rsidP="005719BA">
      <w:pPr>
        <w:spacing w:line="240" w:lineRule="auto"/>
      </w:pPr>
      <w:r>
        <w:separator/>
      </w:r>
    </w:p>
  </w:footnote>
  <w:footnote w:type="continuationSeparator" w:id="0">
    <w:p w14:paraId="72E9DF9A" w14:textId="77777777" w:rsidR="005719BA" w:rsidRDefault="005719BA" w:rsidP="005719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0C26B9" w14:textId="1A39D24B" w:rsidR="005719BA" w:rsidRDefault="005719BA" w:rsidP="005719BA">
    <w:pPr>
      <w:spacing w:line="240" w:lineRule="auto"/>
      <w:jc w:val="center"/>
      <w:rPr>
        <w:rFonts w:ascii="Calibri" w:eastAsia="Times New Roman" w:hAnsi="Calibri" w:cs="Times New Roman"/>
        <w:b/>
        <w:sz w:val="28"/>
        <w:szCs w:val="28"/>
      </w:rPr>
    </w:pPr>
    <w:r>
      <w:rPr>
        <w:rFonts w:ascii="Calibri" w:eastAsia="Times New Roman" w:hAnsi="Calibri" w:cs="Times New Roman"/>
        <w:b/>
        <w:sz w:val="28"/>
        <w:szCs w:val="28"/>
      </w:rPr>
      <w:t>Docket ID (ED-2017-OS-0074</w:t>
    </w:r>
    <w:r w:rsidR="002920AA">
      <w:rPr>
        <w:rFonts w:ascii="Calibri" w:eastAsia="Times New Roman" w:hAnsi="Calibri" w:cs="Times New Roman"/>
        <w:b/>
        <w:sz w:val="28"/>
        <w:szCs w:val="28"/>
      </w:rPr>
      <w:t>-0001</w:t>
    </w:r>
    <w:r>
      <w:rPr>
        <w:rFonts w:ascii="Calibri" w:eastAsia="Times New Roman" w:hAnsi="Calibri" w:cs="Times New Roman"/>
        <w:b/>
        <w:sz w:val="28"/>
        <w:szCs w:val="28"/>
      </w:rPr>
      <w:t>)</w:t>
    </w:r>
  </w:p>
  <w:p w14:paraId="2F8CFD05" w14:textId="77777777" w:rsidR="005719BA" w:rsidRDefault="005719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14F28"/>
    <w:multiLevelType w:val="hybridMultilevel"/>
    <w:tmpl w:val="EDE4DC98"/>
    <w:lvl w:ilvl="0" w:tplc="3B2A0726">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746B1A"/>
    <w:multiLevelType w:val="hybridMultilevel"/>
    <w:tmpl w:val="C7ACBB28"/>
    <w:lvl w:ilvl="0" w:tplc="0409000F">
      <w:start w:val="1"/>
      <w:numFmt w:val="decimal"/>
      <w:lvlText w:val="%1."/>
      <w:lvlJc w:val="left"/>
      <w:pPr>
        <w:ind w:left="360" w:hanging="360"/>
      </w:pPr>
    </w:lvl>
    <w:lvl w:ilvl="1" w:tplc="3B2A0726">
      <w:start w:val="1"/>
      <w:numFmt w:val="decimal"/>
      <w:lvlText w:val="%2. "/>
      <w:lvlJc w:val="left"/>
      <w:pPr>
        <w:ind w:left="1080" w:hanging="360"/>
      </w:pPr>
      <w:rPr>
        <w:rFonts w:hint="default"/>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2" w15:restartNumberingAfterBreak="0">
    <w:nsid w:val="4D69758C"/>
    <w:multiLevelType w:val="hybridMultilevel"/>
    <w:tmpl w:val="67AC9FC4"/>
    <w:lvl w:ilvl="0" w:tplc="0409000F">
      <w:start w:val="1"/>
      <w:numFmt w:val="decimal"/>
      <w:lvlText w:val="%1."/>
      <w:lvlJc w:val="left"/>
      <w:pPr>
        <w:ind w:left="360" w:hanging="360"/>
      </w:pPr>
      <w:rPr>
        <w:rFonts w:cs="Times New Roman"/>
      </w:rPr>
    </w:lvl>
    <w:lvl w:ilvl="1" w:tplc="3B2A0726">
      <w:start w:val="1"/>
      <w:numFmt w:val="decimal"/>
      <w:lvlText w:val="%2. "/>
      <w:lvlJc w:val="left"/>
      <w:pPr>
        <w:ind w:left="1080" w:hanging="360"/>
      </w:pPr>
      <w:rPr>
        <w:rFonts w:hint="default"/>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3" w15:restartNumberingAfterBreak="0">
    <w:nsid w:val="701C1EDF"/>
    <w:multiLevelType w:val="hybridMultilevel"/>
    <w:tmpl w:val="FF5AC968"/>
    <w:lvl w:ilvl="0" w:tplc="3B2A0726">
      <w:start w:val="1"/>
      <w:numFmt w:val="decimal"/>
      <w:lvlText w:val="%1. "/>
      <w:lvlJc w:val="left"/>
      <w:pPr>
        <w:ind w:left="360" w:hanging="360"/>
      </w:pPr>
      <w:rPr>
        <w:rFonts w:hint="default"/>
      </w:rPr>
    </w:lvl>
    <w:lvl w:ilvl="1" w:tplc="3B2A0726">
      <w:start w:val="1"/>
      <w:numFmt w:val="decimal"/>
      <w:lvlText w:val="%2. "/>
      <w:lvlJc w:val="left"/>
      <w:pPr>
        <w:ind w:left="1080" w:hanging="360"/>
      </w:pPr>
      <w:rPr>
        <w:rFonts w:hint="default"/>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4" w15:restartNumberingAfterBreak="0">
    <w:nsid w:val="7ADD4224"/>
    <w:multiLevelType w:val="hybridMultilevel"/>
    <w:tmpl w:val="320C79DA"/>
    <w:lvl w:ilvl="0" w:tplc="0409000F">
      <w:start w:val="1"/>
      <w:numFmt w:val="decimal"/>
      <w:lvlText w:val="%1."/>
      <w:lvlJc w:val="left"/>
      <w:pPr>
        <w:ind w:left="360" w:hanging="360"/>
      </w:pPr>
      <w:rPr>
        <w:rFonts w:cs="Times New Roman"/>
      </w:rPr>
    </w:lvl>
    <w:lvl w:ilvl="1" w:tplc="3B2A0726">
      <w:start w:val="1"/>
      <w:numFmt w:val="decimal"/>
      <w:lvlText w:val="%2. "/>
      <w:lvlJc w:val="left"/>
      <w:pPr>
        <w:ind w:left="1080" w:hanging="360"/>
      </w:pPr>
      <w:rPr>
        <w:rFonts w:hint="default"/>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322"/>
    <w:rsid w:val="002920AA"/>
    <w:rsid w:val="002B6E03"/>
    <w:rsid w:val="002C6ADE"/>
    <w:rsid w:val="005719BA"/>
    <w:rsid w:val="005D5A0A"/>
    <w:rsid w:val="007E58F4"/>
    <w:rsid w:val="009B3F85"/>
    <w:rsid w:val="00A023DF"/>
    <w:rsid w:val="00B27074"/>
    <w:rsid w:val="00C157A6"/>
    <w:rsid w:val="00D8057E"/>
    <w:rsid w:val="00E21322"/>
    <w:rsid w:val="00E42CD8"/>
    <w:rsid w:val="00FD7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4B3FF"/>
  <w15:chartTrackingRefBased/>
  <w15:docId w15:val="{547883D0-2BA1-4882-B796-00167F4A2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21322"/>
    <w:rPr>
      <w:sz w:val="16"/>
      <w:szCs w:val="16"/>
    </w:rPr>
  </w:style>
  <w:style w:type="paragraph" w:styleId="CommentText">
    <w:name w:val="annotation text"/>
    <w:basedOn w:val="Normal"/>
    <w:link w:val="CommentTextChar"/>
    <w:uiPriority w:val="99"/>
    <w:semiHidden/>
    <w:unhideWhenUsed/>
    <w:rsid w:val="00E21322"/>
    <w:pPr>
      <w:spacing w:line="240" w:lineRule="auto"/>
    </w:pPr>
    <w:rPr>
      <w:rFonts w:ascii="Calibri" w:eastAsia="Times New Roman" w:hAnsi="Calibri" w:cs="Times New Roman"/>
      <w:sz w:val="20"/>
      <w:szCs w:val="20"/>
    </w:rPr>
  </w:style>
  <w:style w:type="character" w:customStyle="1" w:styleId="CommentTextChar">
    <w:name w:val="Comment Text Char"/>
    <w:basedOn w:val="DefaultParagraphFont"/>
    <w:link w:val="CommentText"/>
    <w:uiPriority w:val="99"/>
    <w:semiHidden/>
    <w:rsid w:val="00E21322"/>
    <w:rPr>
      <w:rFonts w:ascii="Calibri" w:eastAsia="Times New Roman" w:hAnsi="Calibri" w:cs="Times New Roman"/>
      <w:sz w:val="20"/>
      <w:szCs w:val="20"/>
    </w:rPr>
  </w:style>
  <w:style w:type="paragraph" w:styleId="BalloonText">
    <w:name w:val="Balloon Text"/>
    <w:basedOn w:val="Normal"/>
    <w:link w:val="BalloonTextChar"/>
    <w:uiPriority w:val="99"/>
    <w:semiHidden/>
    <w:unhideWhenUsed/>
    <w:rsid w:val="00E2132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1322"/>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21322"/>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21322"/>
    <w:rPr>
      <w:rFonts w:ascii="Calibri" w:eastAsia="Times New Roman" w:hAnsi="Calibri" w:cs="Times New Roman"/>
      <w:b/>
      <w:bCs/>
      <w:sz w:val="20"/>
      <w:szCs w:val="20"/>
    </w:rPr>
  </w:style>
  <w:style w:type="paragraph" w:styleId="Header">
    <w:name w:val="header"/>
    <w:basedOn w:val="Normal"/>
    <w:link w:val="HeaderChar"/>
    <w:uiPriority w:val="99"/>
    <w:unhideWhenUsed/>
    <w:rsid w:val="005719BA"/>
    <w:pPr>
      <w:tabs>
        <w:tab w:val="center" w:pos="4680"/>
        <w:tab w:val="right" w:pos="9360"/>
      </w:tabs>
      <w:spacing w:line="240" w:lineRule="auto"/>
    </w:pPr>
  </w:style>
  <w:style w:type="character" w:customStyle="1" w:styleId="HeaderChar">
    <w:name w:val="Header Char"/>
    <w:basedOn w:val="DefaultParagraphFont"/>
    <w:link w:val="Header"/>
    <w:uiPriority w:val="99"/>
    <w:rsid w:val="005719BA"/>
  </w:style>
  <w:style w:type="paragraph" w:styleId="Footer">
    <w:name w:val="footer"/>
    <w:basedOn w:val="Normal"/>
    <w:link w:val="FooterChar"/>
    <w:uiPriority w:val="99"/>
    <w:unhideWhenUsed/>
    <w:rsid w:val="005719BA"/>
    <w:pPr>
      <w:tabs>
        <w:tab w:val="center" w:pos="4680"/>
        <w:tab w:val="right" w:pos="9360"/>
      </w:tabs>
      <w:spacing w:line="240" w:lineRule="auto"/>
    </w:pPr>
  </w:style>
  <w:style w:type="character" w:customStyle="1" w:styleId="FooterChar">
    <w:name w:val="Footer Char"/>
    <w:basedOn w:val="DefaultParagraphFont"/>
    <w:link w:val="Footer"/>
    <w:uiPriority w:val="99"/>
    <w:rsid w:val="005719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1148</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Novak, Cheryl</dc:creator>
  <cp:keywords/>
  <dc:description/>
  <cp:lastModifiedBy>Mundis, Cynthia A</cp:lastModifiedBy>
  <cp:revision>3</cp:revision>
  <dcterms:created xsi:type="dcterms:W3CDTF">2017-09-20T20:20:00Z</dcterms:created>
  <dcterms:modified xsi:type="dcterms:W3CDTF">2017-09-20T20:27:00Z</dcterms:modified>
</cp:coreProperties>
</file>