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29B35" w14:textId="77777777" w:rsidR="00ED26B1" w:rsidRDefault="00ED26B1">
      <w:pPr>
        <w:widowControl w:val="0"/>
        <w:pBdr>
          <w:top w:val="nil"/>
          <w:left w:val="nil"/>
          <w:bottom w:val="nil"/>
          <w:right w:val="nil"/>
          <w:between w:val="nil"/>
        </w:pBdr>
        <w:spacing w:line="240" w:lineRule="auto"/>
        <w:jc w:val="center"/>
        <w:rPr>
          <w:b/>
          <w:sz w:val="24"/>
          <w:szCs w:val="24"/>
        </w:rPr>
      </w:pPr>
    </w:p>
    <w:p w14:paraId="469915AC" w14:textId="77777777"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 xml:space="preserve">PROJECT REPORT OF INDUSTRY ORIENTED </w:t>
      </w:r>
      <w:proofErr w:type="gramStart"/>
      <w:r>
        <w:rPr>
          <w:b/>
          <w:color w:val="000000"/>
          <w:sz w:val="24"/>
          <w:szCs w:val="24"/>
        </w:rPr>
        <w:t>HANDS ON</w:t>
      </w:r>
      <w:proofErr w:type="gramEnd"/>
      <w:r>
        <w:rPr>
          <w:b/>
          <w:color w:val="000000"/>
          <w:sz w:val="24"/>
          <w:szCs w:val="24"/>
        </w:rPr>
        <w:t xml:space="preserve"> EXPERIENCE (IOHE) </w:t>
      </w:r>
    </w:p>
    <w:p w14:paraId="79E14405"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1FB5A2B" w14:textId="77777777" w:rsidR="00ED26B1" w:rsidRDefault="00AF667E">
      <w:pPr>
        <w:widowControl w:val="0"/>
        <w:pBdr>
          <w:top w:val="nil"/>
          <w:left w:val="nil"/>
          <w:bottom w:val="nil"/>
          <w:right w:val="nil"/>
          <w:between w:val="nil"/>
        </w:pBdr>
        <w:spacing w:before="217" w:line="240" w:lineRule="auto"/>
        <w:ind w:right="75"/>
        <w:jc w:val="center"/>
        <w:rPr>
          <w:sz w:val="28"/>
          <w:szCs w:val="28"/>
        </w:rPr>
      </w:pPr>
      <w:r>
        <w:rPr>
          <w:sz w:val="28"/>
          <w:szCs w:val="28"/>
          <w:u w:val="single"/>
        </w:rPr>
        <w:t>Media’s Effect on Public Opinion: A Survey-Based Analysis</w:t>
      </w:r>
    </w:p>
    <w:p w14:paraId="32BF0242" w14:textId="77777777"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4C66143"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298E2587"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4D426BE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08318DA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0EB4B635" w14:textId="77777777" w:rsidR="00AB78E9" w:rsidRDefault="00AB78E9">
      <w:pPr>
        <w:widowControl w:val="0"/>
        <w:pBdr>
          <w:top w:val="nil"/>
          <w:left w:val="nil"/>
          <w:bottom w:val="nil"/>
          <w:right w:val="nil"/>
          <w:between w:val="nil"/>
        </w:pBdr>
        <w:spacing w:before="235" w:line="240" w:lineRule="auto"/>
        <w:rPr>
          <w:b/>
          <w:sz w:val="24"/>
          <w:szCs w:val="24"/>
        </w:rPr>
      </w:pPr>
    </w:p>
    <w:p w14:paraId="49E7B2A7" w14:textId="1E6CBE86" w:rsidR="00ED26B1" w:rsidRDefault="00AB78E9">
      <w:pPr>
        <w:widowControl w:val="0"/>
        <w:pBdr>
          <w:top w:val="nil"/>
          <w:left w:val="nil"/>
          <w:bottom w:val="nil"/>
          <w:right w:val="nil"/>
          <w:between w:val="nil"/>
        </w:pBdr>
        <w:spacing w:before="235" w:line="240" w:lineRule="auto"/>
        <w:rPr>
          <w:b/>
          <w:color w:val="000000"/>
        </w:rPr>
      </w:pPr>
      <w:r>
        <w:rPr>
          <w:b/>
        </w:rPr>
        <w:t xml:space="preserve">  Submitted by:   </w:t>
      </w:r>
      <w:r>
        <w:rPr>
          <w:b/>
        </w:rPr>
        <w:tab/>
      </w:r>
      <w:r>
        <w:rPr>
          <w:b/>
        </w:rPr>
        <w:tab/>
      </w:r>
      <w:r>
        <w:rPr>
          <w:b/>
        </w:rPr>
        <w:tab/>
      </w:r>
      <w:r>
        <w:rPr>
          <w:b/>
        </w:rPr>
        <w:tab/>
      </w:r>
      <w:r>
        <w:rPr>
          <w:b/>
        </w:rPr>
        <w:tab/>
      </w:r>
      <w:r>
        <w:rPr>
          <w:b/>
        </w:rPr>
        <w:tab/>
      </w:r>
      <w:r>
        <w:rPr>
          <w:b/>
        </w:rPr>
        <w:tab/>
      </w:r>
      <w:r>
        <w:rPr>
          <w:b/>
        </w:rPr>
        <w:tab/>
        <w:t>Supervised By:</w:t>
      </w:r>
    </w:p>
    <w:tbl>
      <w:tblPr>
        <w:tblW w:w="9000" w:type="dxa"/>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88739A" w14:paraId="03A9AF9D" w14:textId="77777777">
        <w:tc>
          <w:tcPr>
            <w:tcW w:w="4500" w:type="dxa"/>
          </w:tcPr>
          <w:p w14:paraId="58BD9D3D" w14:textId="77777777" w:rsidR="0088739A" w:rsidRDefault="00000000">
            <w:pPr>
              <w:spacing w:before="120" w:line="240" w:lineRule="auto"/>
            </w:pPr>
            <w:proofErr w:type="gramStart"/>
            <w:r>
              <w:rPr>
                <w:b/>
              </w:rPr>
              <w:t>Sahil  (</w:t>
            </w:r>
            <w:proofErr w:type="gramEnd"/>
            <w:r>
              <w:rPr>
                <w:b/>
              </w:rPr>
              <w:t>2210992209)</w:t>
            </w:r>
          </w:p>
        </w:tc>
        <w:tc>
          <w:tcPr>
            <w:tcW w:w="4500" w:type="dxa"/>
          </w:tcPr>
          <w:p w14:paraId="7D460E90" w14:textId="2A6B34C0" w:rsidR="0088739A" w:rsidRDefault="00AB78E9">
            <w:pPr>
              <w:spacing w:before="120" w:line="240" w:lineRule="auto"/>
              <w:jc w:val="right"/>
            </w:pPr>
            <w:r>
              <w:rPr>
                <w:b/>
              </w:rPr>
              <w:t xml:space="preserve">    Dr. Preeti Saini</w:t>
            </w:r>
          </w:p>
        </w:tc>
      </w:tr>
      <w:tr w:rsidR="0088739A" w14:paraId="7F0C67DB" w14:textId="77777777">
        <w:tc>
          <w:tcPr>
            <w:tcW w:w="4500" w:type="dxa"/>
          </w:tcPr>
          <w:p w14:paraId="1FC2D2E8" w14:textId="77777777" w:rsidR="0088739A" w:rsidRDefault="00000000">
            <w:pPr>
              <w:spacing w:before="60" w:line="240" w:lineRule="auto"/>
            </w:pPr>
            <w:proofErr w:type="gramStart"/>
            <w:r>
              <w:rPr>
                <w:b/>
              </w:rPr>
              <w:t>Kanishk  (</w:t>
            </w:r>
            <w:proofErr w:type="gramEnd"/>
            <w:r>
              <w:rPr>
                <w:b/>
              </w:rPr>
              <w:t>2210991739)</w:t>
            </w:r>
          </w:p>
        </w:tc>
        <w:tc>
          <w:tcPr>
            <w:tcW w:w="4500" w:type="dxa"/>
          </w:tcPr>
          <w:p w14:paraId="1021E2F4" w14:textId="3B467B83" w:rsidR="0088739A" w:rsidRDefault="00AB78E9">
            <w:pPr>
              <w:spacing w:before="60" w:line="240" w:lineRule="auto"/>
              <w:jc w:val="right"/>
            </w:pPr>
            <w:r>
              <w:rPr>
                <w:b/>
              </w:rPr>
              <w:t xml:space="preserve">     Assistant Professor</w:t>
            </w:r>
          </w:p>
        </w:tc>
      </w:tr>
      <w:tr w:rsidR="0088739A" w14:paraId="226D3C8C" w14:textId="77777777">
        <w:tc>
          <w:tcPr>
            <w:tcW w:w="4500" w:type="dxa"/>
          </w:tcPr>
          <w:p w14:paraId="19F925C3" w14:textId="77777777" w:rsidR="0088739A" w:rsidRDefault="00000000">
            <w:pPr>
              <w:spacing w:before="60" w:line="240" w:lineRule="auto"/>
            </w:pPr>
            <w:proofErr w:type="gramStart"/>
            <w:r>
              <w:rPr>
                <w:b/>
              </w:rPr>
              <w:t>Madhav  (</w:t>
            </w:r>
            <w:proofErr w:type="gramEnd"/>
            <w:r>
              <w:rPr>
                <w:b/>
              </w:rPr>
              <w:t>2210991864)</w:t>
            </w:r>
          </w:p>
        </w:tc>
        <w:tc>
          <w:tcPr>
            <w:tcW w:w="4500" w:type="dxa"/>
          </w:tcPr>
          <w:p w14:paraId="062A5E38" w14:textId="38A367B5" w:rsidR="0088739A" w:rsidRDefault="00AB78E9" w:rsidP="00AB78E9">
            <w:pPr>
              <w:spacing w:before="60" w:line="240" w:lineRule="auto"/>
              <w:jc w:val="center"/>
            </w:pPr>
            <w:r>
              <w:rPr>
                <w:b/>
              </w:rPr>
              <w:t xml:space="preserve">                                   Department of CSE</w:t>
            </w:r>
          </w:p>
        </w:tc>
      </w:tr>
      <w:tr w:rsidR="0088739A" w14:paraId="6EA02D41" w14:textId="77777777">
        <w:tc>
          <w:tcPr>
            <w:tcW w:w="4500" w:type="dxa"/>
          </w:tcPr>
          <w:p w14:paraId="53B89529" w14:textId="77777777" w:rsidR="0088739A" w:rsidRDefault="00000000">
            <w:pPr>
              <w:spacing w:before="60" w:line="240" w:lineRule="auto"/>
            </w:pPr>
            <w:proofErr w:type="gramStart"/>
            <w:r>
              <w:rPr>
                <w:b/>
              </w:rPr>
              <w:t>Nishtha  (</w:t>
            </w:r>
            <w:proofErr w:type="gramEnd"/>
            <w:r>
              <w:rPr>
                <w:b/>
              </w:rPr>
              <w:t>2210991994)</w:t>
            </w:r>
          </w:p>
        </w:tc>
        <w:tc>
          <w:tcPr>
            <w:tcW w:w="4500" w:type="dxa"/>
          </w:tcPr>
          <w:p w14:paraId="6B3F189D" w14:textId="51710E7E" w:rsidR="0088739A" w:rsidRDefault="00AB78E9" w:rsidP="00AB78E9">
            <w:pPr>
              <w:spacing w:before="60" w:line="240" w:lineRule="auto"/>
              <w:jc w:val="center"/>
            </w:pPr>
            <w:r>
              <w:rPr>
                <w:b/>
              </w:rPr>
              <w:t xml:space="preserve">                                    Chitkara University</w:t>
            </w:r>
          </w:p>
        </w:tc>
      </w:tr>
    </w:tbl>
    <w:p w14:paraId="11F4F7F3" w14:textId="77777777" w:rsidR="0088739A" w:rsidRDefault="0088739A">
      <w:pPr>
        <w:spacing w:line="240" w:lineRule="auto"/>
      </w:pPr>
    </w:p>
    <w:p w14:paraId="7DD8D6F4" w14:textId="77777777"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02BB38E5"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63824C2E" w14:textId="77777777"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DEPARTMENT OF COMPUTER SCIENCE AND ENGINEERING</w:t>
      </w:r>
    </w:p>
    <w:p w14:paraId="18B17A40"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BABA531"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32ED2EA1"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5022AAA2"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5CF8E204" w14:textId="77777777"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PUNJAB, INDIA</w:t>
      </w:r>
    </w:p>
    <w:p w14:paraId="53039323" w14:textId="77777777" w:rsidR="00985E93" w:rsidRDefault="00985E93" w:rsidP="00985E93">
      <w:pPr>
        <w:jc w:val="center"/>
        <w:rPr>
          <w:rFonts w:ascii="Times New Roman" w:hAnsi="Times New Roman" w:cs="Times New Roman"/>
          <w:b/>
          <w:sz w:val="32"/>
          <w:szCs w:val="32"/>
          <w:u w:val="single"/>
        </w:rPr>
      </w:pPr>
    </w:p>
    <w:p w14:paraId="4B307DD5" w14:textId="77777777" w:rsidR="00985E93" w:rsidRDefault="00985E93"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CONTENTS</w:t>
      </w:r>
    </w:p>
    <w:p w14:paraId="1E581F3C" w14:textId="77777777" w:rsidR="00985E93" w:rsidRDefault="00985E93" w:rsidP="00985E93">
      <w:pPr>
        <w:jc w:val="center"/>
        <w:rPr>
          <w:b/>
          <w:sz w:val="28"/>
        </w:rPr>
      </w:pPr>
    </w:p>
    <w:p w14:paraId="35B305E2"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491B99A3" w14:textId="77777777" w:rsidTr="00336B32">
        <w:tc>
          <w:tcPr>
            <w:tcW w:w="1336" w:type="dxa"/>
          </w:tcPr>
          <w:p w14:paraId="2FF574B6" w14:textId="77777777"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768B3A23"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5642509E"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7BEF3E4E" w14:textId="77777777" w:rsidTr="00336B32">
        <w:tc>
          <w:tcPr>
            <w:tcW w:w="1336" w:type="dxa"/>
          </w:tcPr>
          <w:p w14:paraId="42E1CCB2" w14:textId="77777777" w:rsidR="00336B32" w:rsidRDefault="00336B32" w:rsidP="00336B32">
            <w:pPr>
              <w:rPr>
                <w:rFonts w:ascii="Times New Roman" w:hAnsi="Times New Roman" w:cs="Times New Roman"/>
                <w:bCs/>
                <w:sz w:val="28"/>
                <w:szCs w:val="28"/>
              </w:rPr>
            </w:pPr>
          </w:p>
        </w:tc>
        <w:tc>
          <w:tcPr>
            <w:tcW w:w="5103" w:type="dxa"/>
          </w:tcPr>
          <w:p w14:paraId="6B769144"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 xml:space="preserve">Acknowledgement </w:t>
            </w:r>
            <w:r>
              <w:rPr>
                <w:rFonts w:ascii="Times New Roman" w:hAnsi="Times New Roman" w:cs="Times New Roman"/>
                <w:bCs/>
                <w:sz w:val="28"/>
                <w:szCs w:val="28"/>
              </w:rPr>
              <w:tab/>
            </w:r>
          </w:p>
        </w:tc>
        <w:tc>
          <w:tcPr>
            <w:tcW w:w="2620" w:type="dxa"/>
          </w:tcPr>
          <w:p w14:paraId="3EAFDE48"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0F5EE71A" w14:textId="77777777" w:rsidTr="00336B32">
        <w:tc>
          <w:tcPr>
            <w:tcW w:w="1336" w:type="dxa"/>
          </w:tcPr>
          <w:p w14:paraId="2436217C" w14:textId="77777777" w:rsidR="00336B32" w:rsidRDefault="00336B32" w:rsidP="00336B32">
            <w:pPr>
              <w:rPr>
                <w:rFonts w:ascii="Times New Roman" w:hAnsi="Times New Roman" w:cs="Times New Roman"/>
                <w:bCs/>
                <w:sz w:val="28"/>
                <w:szCs w:val="28"/>
              </w:rPr>
            </w:pPr>
          </w:p>
        </w:tc>
        <w:tc>
          <w:tcPr>
            <w:tcW w:w="5103" w:type="dxa"/>
          </w:tcPr>
          <w:p w14:paraId="4BAF624B"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List of Figures and Tables</w:t>
            </w:r>
          </w:p>
        </w:tc>
        <w:tc>
          <w:tcPr>
            <w:tcW w:w="2620" w:type="dxa"/>
          </w:tcPr>
          <w:p w14:paraId="225AC5B1"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7E2BEDA4" w14:textId="77777777" w:rsidTr="00336B32">
        <w:tc>
          <w:tcPr>
            <w:tcW w:w="1336" w:type="dxa"/>
          </w:tcPr>
          <w:p w14:paraId="46D49514" w14:textId="77777777" w:rsidR="00336B32" w:rsidRDefault="00336B32" w:rsidP="00336B32">
            <w:pPr>
              <w:rPr>
                <w:rFonts w:ascii="Times New Roman" w:hAnsi="Times New Roman" w:cs="Times New Roman"/>
                <w:bCs/>
                <w:sz w:val="28"/>
                <w:szCs w:val="28"/>
              </w:rPr>
            </w:pPr>
          </w:p>
        </w:tc>
        <w:tc>
          <w:tcPr>
            <w:tcW w:w="5103" w:type="dxa"/>
          </w:tcPr>
          <w:p w14:paraId="646808CA"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Abstract</w:t>
            </w:r>
          </w:p>
        </w:tc>
        <w:tc>
          <w:tcPr>
            <w:tcW w:w="2620" w:type="dxa"/>
          </w:tcPr>
          <w:p w14:paraId="06261623"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251D6307" w14:textId="77777777" w:rsidTr="00336B32">
        <w:tc>
          <w:tcPr>
            <w:tcW w:w="1336" w:type="dxa"/>
          </w:tcPr>
          <w:p w14:paraId="76489DDE"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ADD4010"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74EF8DBC"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5D0D492B" w14:textId="77777777" w:rsidTr="00336B32">
        <w:tc>
          <w:tcPr>
            <w:tcW w:w="1336" w:type="dxa"/>
          </w:tcPr>
          <w:p w14:paraId="736CD596"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314AD7B9"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Methodology</w:t>
            </w:r>
          </w:p>
        </w:tc>
        <w:tc>
          <w:tcPr>
            <w:tcW w:w="2620" w:type="dxa"/>
          </w:tcPr>
          <w:p w14:paraId="1F42B458"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11</w:t>
            </w:r>
          </w:p>
        </w:tc>
      </w:tr>
      <w:tr w:rsidR="00336B32" w14:paraId="5F9DDA41" w14:textId="77777777" w:rsidTr="00336B32">
        <w:tc>
          <w:tcPr>
            <w:tcW w:w="1336" w:type="dxa"/>
          </w:tcPr>
          <w:p w14:paraId="61BCCF1C"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236252DE"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0E11E57E"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13</w:t>
            </w:r>
          </w:p>
        </w:tc>
      </w:tr>
      <w:tr w:rsidR="00336B32" w14:paraId="7CA78877" w14:textId="77777777" w:rsidTr="00336B32">
        <w:tc>
          <w:tcPr>
            <w:tcW w:w="1336" w:type="dxa"/>
          </w:tcPr>
          <w:p w14:paraId="45CAD464"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1142E5EF" w14:textId="77777777"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Implementation</w:t>
            </w:r>
          </w:p>
        </w:tc>
        <w:tc>
          <w:tcPr>
            <w:tcW w:w="2620" w:type="dxa"/>
          </w:tcPr>
          <w:p w14:paraId="4E7BC0FD"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15</w:t>
            </w:r>
          </w:p>
        </w:tc>
      </w:tr>
      <w:tr w:rsidR="00336B32" w14:paraId="32F48896" w14:textId="77777777" w:rsidTr="00336B32">
        <w:tc>
          <w:tcPr>
            <w:tcW w:w="1336" w:type="dxa"/>
          </w:tcPr>
          <w:p w14:paraId="422B4646"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1133CDD0" w14:textId="77777777"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0" w:type="dxa"/>
          </w:tcPr>
          <w:p w14:paraId="0B6B6B00"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17</w:t>
            </w:r>
          </w:p>
        </w:tc>
      </w:tr>
      <w:tr w:rsidR="00336B32" w14:paraId="323FED98" w14:textId="77777777" w:rsidTr="00336B32">
        <w:tc>
          <w:tcPr>
            <w:tcW w:w="1336" w:type="dxa"/>
          </w:tcPr>
          <w:p w14:paraId="6A28B510"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36B70719" w14:textId="77777777"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26980D38"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20</w:t>
            </w:r>
          </w:p>
        </w:tc>
      </w:tr>
      <w:tr w:rsidR="00336B32" w14:paraId="77F555D6" w14:textId="77777777" w:rsidTr="00336B32">
        <w:tc>
          <w:tcPr>
            <w:tcW w:w="1336" w:type="dxa"/>
          </w:tcPr>
          <w:p w14:paraId="598AA84C" w14:textId="77777777" w:rsidR="00336B32" w:rsidRDefault="00336B32" w:rsidP="00336B32">
            <w:pPr>
              <w:rPr>
                <w:rFonts w:ascii="Times New Roman" w:hAnsi="Times New Roman" w:cs="Times New Roman"/>
                <w:bCs/>
                <w:sz w:val="28"/>
                <w:szCs w:val="28"/>
              </w:rPr>
            </w:pPr>
          </w:p>
        </w:tc>
        <w:tc>
          <w:tcPr>
            <w:tcW w:w="5103" w:type="dxa"/>
          </w:tcPr>
          <w:p w14:paraId="376761C6" w14:textId="77777777"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141EAD91"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22</w:t>
            </w:r>
          </w:p>
        </w:tc>
      </w:tr>
      <w:tr w:rsidR="00336B32" w14:paraId="4F45CEA4" w14:textId="77777777" w:rsidTr="00336B32">
        <w:tc>
          <w:tcPr>
            <w:tcW w:w="1336" w:type="dxa"/>
          </w:tcPr>
          <w:p w14:paraId="19EADB7F" w14:textId="77777777" w:rsidR="00336B32" w:rsidRDefault="00336B32" w:rsidP="00336B32">
            <w:pPr>
              <w:rPr>
                <w:rFonts w:ascii="Times New Roman" w:hAnsi="Times New Roman" w:cs="Times New Roman"/>
                <w:bCs/>
                <w:sz w:val="28"/>
                <w:szCs w:val="28"/>
              </w:rPr>
            </w:pPr>
          </w:p>
        </w:tc>
        <w:tc>
          <w:tcPr>
            <w:tcW w:w="5103" w:type="dxa"/>
          </w:tcPr>
          <w:p w14:paraId="61F34837" w14:textId="77777777"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Appendices</w:t>
            </w:r>
            <w:r>
              <w:rPr>
                <w:rFonts w:ascii="Times New Roman" w:hAnsi="Times New Roman" w:cs="Times New Roman"/>
                <w:bCs/>
                <w:sz w:val="28"/>
                <w:szCs w:val="28"/>
              </w:rPr>
              <w:tab/>
            </w:r>
          </w:p>
        </w:tc>
        <w:tc>
          <w:tcPr>
            <w:tcW w:w="2620" w:type="dxa"/>
          </w:tcPr>
          <w:p w14:paraId="4D263ED8"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24</w:t>
            </w:r>
          </w:p>
        </w:tc>
      </w:tr>
    </w:tbl>
    <w:p w14:paraId="4415522E" w14:textId="77777777" w:rsidR="00336B32" w:rsidRDefault="00336B32" w:rsidP="00336B32">
      <w:pPr>
        <w:ind w:left="360"/>
        <w:rPr>
          <w:rFonts w:ascii="Times New Roman" w:hAnsi="Times New Roman" w:cs="Times New Roman"/>
          <w:bCs/>
          <w:sz w:val="28"/>
          <w:szCs w:val="28"/>
        </w:rPr>
      </w:pPr>
    </w:p>
    <w:p w14:paraId="00FE7812" w14:textId="77777777" w:rsidR="00336B32" w:rsidRDefault="00336B32" w:rsidP="00336B32">
      <w:pPr>
        <w:ind w:left="360"/>
        <w:rPr>
          <w:rFonts w:ascii="Times New Roman" w:hAnsi="Times New Roman" w:cs="Times New Roman"/>
          <w:bCs/>
          <w:sz w:val="28"/>
          <w:szCs w:val="28"/>
        </w:rPr>
      </w:pPr>
    </w:p>
    <w:p w14:paraId="3D50F759" w14:textId="77777777" w:rsidR="00336B32" w:rsidRDefault="00336B32" w:rsidP="00336B32">
      <w:pPr>
        <w:ind w:left="360"/>
        <w:rPr>
          <w:rFonts w:ascii="Times New Roman" w:hAnsi="Times New Roman" w:cs="Times New Roman"/>
          <w:bCs/>
          <w:sz w:val="28"/>
          <w:szCs w:val="28"/>
        </w:rPr>
      </w:pPr>
    </w:p>
    <w:p w14:paraId="662DDCA2" w14:textId="77777777" w:rsidR="00336B32" w:rsidRDefault="00336B32" w:rsidP="00336B32">
      <w:pPr>
        <w:ind w:left="360"/>
        <w:rPr>
          <w:rFonts w:ascii="Times New Roman" w:hAnsi="Times New Roman" w:cs="Times New Roman"/>
          <w:bCs/>
          <w:sz w:val="28"/>
          <w:szCs w:val="28"/>
        </w:rPr>
      </w:pPr>
    </w:p>
    <w:p w14:paraId="08762D37"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38B13BD9"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0251B566" w14:textId="77777777" w:rsidR="00985E93" w:rsidRPr="00336B32" w:rsidRDefault="00336B32"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13A8BB10"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r>
    </w:p>
    <w:p w14:paraId="4B1D0059"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32A33544"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3A3F50DD"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2A0DFBFD"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7588DA3F"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1E298BB7" w14:textId="77777777" w:rsidR="00985E93" w:rsidRDefault="00985E93" w:rsidP="00336B32">
      <w:pPr>
        <w:ind w:left="360"/>
        <w:jc w:val="center"/>
        <w:rPr>
          <w:rFonts w:ascii="Times New Roman" w:hAnsi="Times New Roman" w:cs="Times New Roman"/>
          <w:b/>
          <w:sz w:val="24"/>
        </w:rPr>
      </w:pPr>
    </w:p>
    <w:p w14:paraId="3AE1A374" w14:textId="77777777" w:rsidR="00985E93" w:rsidRDefault="00985E93" w:rsidP="00985E93">
      <w:pPr>
        <w:jc w:val="center"/>
        <w:rPr>
          <w:b/>
          <w:sz w:val="32"/>
          <w:szCs w:val="32"/>
          <w:u w:val="single"/>
        </w:rPr>
      </w:pPr>
    </w:p>
    <w:p w14:paraId="7D4866EA" w14:textId="77777777" w:rsidR="00985E93" w:rsidRDefault="00985E93" w:rsidP="00985E93">
      <w:pPr>
        <w:jc w:val="center"/>
        <w:rPr>
          <w:b/>
          <w:sz w:val="32"/>
          <w:szCs w:val="32"/>
          <w:u w:val="single"/>
        </w:rPr>
      </w:pPr>
    </w:p>
    <w:p w14:paraId="5DA10DAD" w14:textId="77777777" w:rsidR="00985E93" w:rsidRDefault="00985E93" w:rsidP="00985E93">
      <w:pPr>
        <w:jc w:val="center"/>
        <w:rPr>
          <w:b/>
          <w:sz w:val="32"/>
          <w:szCs w:val="32"/>
          <w:u w:val="single"/>
        </w:rPr>
      </w:pPr>
    </w:p>
    <w:p w14:paraId="06968AA1" w14:textId="77777777" w:rsidR="00985E93" w:rsidRDefault="00985E93" w:rsidP="00985E93">
      <w:pPr>
        <w:jc w:val="center"/>
        <w:rPr>
          <w:b/>
          <w:sz w:val="32"/>
          <w:szCs w:val="32"/>
          <w:u w:val="single"/>
        </w:rPr>
      </w:pPr>
    </w:p>
    <w:p w14:paraId="585101BA" w14:textId="77777777" w:rsidR="00985E93" w:rsidRDefault="00985E93" w:rsidP="00985E93">
      <w:pPr>
        <w:jc w:val="center"/>
        <w:rPr>
          <w:b/>
          <w:sz w:val="32"/>
          <w:szCs w:val="32"/>
          <w:u w:val="single"/>
        </w:rPr>
      </w:pPr>
    </w:p>
    <w:p w14:paraId="36BC2219" w14:textId="77777777" w:rsidR="00985E93" w:rsidRDefault="00985E93" w:rsidP="00985E93">
      <w:pPr>
        <w:jc w:val="center"/>
        <w:rPr>
          <w:rFonts w:ascii="Times New Roman" w:hAnsi="Times New Roman" w:cs="Times New Roman"/>
          <w:b/>
          <w:sz w:val="32"/>
          <w:szCs w:val="32"/>
          <w:u w:val="single"/>
        </w:rPr>
      </w:pPr>
    </w:p>
    <w:p w14:paraId="6A74F7A4" w14:textId="77777777" w:rsidR="000755B0" w:rsidRDefault="000755B0" w:rsidP="00985E93">
      <w:pPr>
        <w:jc w:val="center"/>
        <w:rPr>
          <w:rFonts w:ascii="Times New Roman" w:hAnsi="Times New Roman" w:cs="Times New Roman"/>
          <w:b/>
          <w:sz w:val="32"/>
          <w:szCs w:val="32"/>
          <w:u w:val="single"/>
        </w:rPr>
      </w:pPr>
    </w:p>
    <w:p w14:paraId="244D3143" w14:textId="77777777" w:rsidR="00985E93" w:rsidRDefault="00985E93"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DECLARATION</w:t>
      </w:r>
    </w:p>
    <w:p w14:paraId="40679348" w14:textId="77777777" w:rsidR="00985E93" w:rsidRDefault="00985E93" w:rsidP="00985E93">
      <w:pPr>
        <w:jc w:val="center"/>
        <w:rPr>
          <w:rFonts w:ascii="Times New Roman" w:hAnsi="Times New Roman" w:cs="Times New Roman"/>
          <w:b/>
          <w:sz w:val="32"/>
          <w:szCs w:val="32"/>
          <w:u w:val="single"/>
        </w:rPr>
      </w:pPr>
    </w:p>
    <w:p w14:paraId="608A16FB" w14:textId="59721E41" w:rsidR="006A604B" w:rsidRPr="006A604B" w:rsidRDefault="006A604B" w:rsidP="006A604B">
      <w:pPr>
        <w:spacing w:line="360" w:lineRule="auto"/>
        <w:jc w:val="both"/>
        <w:rPr>
          <w:rFonts w:ascii="Times New Roman" w:hAnsi="Times New Roman" w:cs="Times New Roman"/>
          <w:b/>
          <w:shd w:val="clear" w:color="auto" w:fill="FFFFFF"/>
        </w:rPr>
      </w:pPr>
      <w:r>
        <w:rPr>
          <w:rFonts w:ascii="Times New Roman" w:hAnsi="Times New Roman" w:cs="Times New Roman"/>
        </w:rPr>
        <w:t>I hereby certify that the work which is being presented in the project report entitled</w:t>
      </w:r>
      <w:r>
        <w:rPr>
          <w:rFonts w:ascii="Times New Roman" w:hAnsi="Times New Roman" w:cs="Times New Roman"/>
          <w:b/>
        </w:rPr>
        <w:t xml:space="preserve"> “Media’s Effect on Public Opinion: A Survey-Based Analysis</w:t>
      </w:r>
      <w:r>
        <w:rPr>
          <w:rFonts w:ascii="Times New Roman" w:hAnsi="Times New Roman" w:cs="Times New Roman"/>
          <w:b/>
          <w:lang w:val="en-US"/>
        </w:rPr>
        <w:t xml:space="preserve">” </w:t>
      </w:r>
      <w:r>
        <w:rPr>
          <w:rFonts w:ascii="Times New Roman" w:hAnsi="Times New Roman" w:cs="Times New Roman"/>
          <w:b/>
        </w:rPr>
        <w:t xml:space="preserve"> </w:t>
      </w:r>
      <w:r>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is an authentic record of our own work carried out under the supervision of </w:t>
      </w:r>
      <w:r w:rsidR="003205F9">
        <w:rPr>
          <w:rFonts w:ascii="Times New Roman" w:hAnsi="Times New Roman" w:cs="Times New Roman"/>
          <w:b/>
          <w:bCs/>
        </w:rPr>
        <w:t>Dr</w:t>
      </w:r>
      <w:r>
        <w:rPr>
          <w:rFonts w:ascii="Times New Roman" w:hAnsi="Times New Roman" w:cs="Times New Roman"/>
          <w:b/>
          <w:bCs/>
        </w:rPr>
        <w:t>. Preeti Saini</w:t>
      </w:r>
      <w:r>
        <w:rPr>
          <w:rFonts w:ascii="Times New Roman" w:hAnsi="Times New Roman" w:cs="Times New Roman"/>
        </w:rPr>
        <w:t>. The matter presented in this project report has not been submitted in any other university/institute for the award of any degree.</w:t>
      </w:r>
    </w:p>
    <w:p w14:paraId="2CA0959E"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 xml:space="preserve">                                      </w:t>
      </w:r>
    </w:p>
    <w:p w14:paraId="4140A947" w14:textId="427BDE2E" w:rsidR="00107F60" w:rsidRDefault="006A604B" w:rsidP="006A604B">
      <w:pPr>
        <w:spacing w:line="360" w:lineRule="auto"/>
        <w:jc w:val="both"/>
        <w:rPr>
          <w:rFonts w:ascii="Times New Roman" w:hAnsi="Times New Roman" w:cs="Times New Roman"/>
          <w:b/>
          <w:bCs/>
          <w:lang w:val="fr-FR"/>
        </w:rPr>
      </w:pPr>
      <w:proofErr w:type="gramStart"/>
      <w:r>
        <w:rPr>
          <w:rFonts w:ascii="Times New Roman" w:hAnsi="Times New Roman" w:cs="Times New Roman"/>
          <w:lang w:val="fr-FR"/>
        </w:rPr>
        <w:t>Place:</w:t>
      </w:r>
      <w:proofErr w:type="gramEnd"/>
      <w:r>
        <w:rPr>
          <w:rFonts w:ascii="Times New Roman" w:hAnsi="Times New Roman" w:cs="Times New Roman"/>
          <w:lang w:val="fr-FR"/>
        </w:rPr>
        <w:tab/>
        <w:t>Rajpura</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proofErr w:type="gramStart"/>
      <w:r>
        <w:rPr>
          <w:rFonts w:ascii="Times New Roman" w:hAnsi="Times New Roman" w:cs="Times New Roman"/>
          <w:lang w:val="fr-FR"/>
        </w:rPr>
        <w:tab/>
        <w:t xml:space="preserve"> </w:t>
      </w:r>
      <w:r w:rsidR="00107F60">
        <w:rPr>
          <w:rFonts w:ascii="Times New Roman" w:hAnsi="Times New Roman" w:cs="Times New Roman"/>
          <w:b/>
          <w:bCs/>
          <w:lang w:val="fr-FR"/>
        </w:rPr>
        <w:t xml:space="preserve"> </w:t>
      </w:r>
      <w:r>
        <w:rPr>
          <w:rFonts w:ascii="Times New Roman" w:hAnsi="Times New Roman" w:cs="Times New Roman"/>
          <w:b/>
          <w:bCs/>
          <w:lang w:val="fr-FR"/>
        </w:rPr>
        <w:t>Sahil</w:t>
      </w:r>
      <w:proofErr w:type="gramEnd"/>
      <w:r w:rsidR="00107F60">
        <w:rPr>
          <w:rFonts w:ascii="Times New Roman" w:hAnsi="Times New Roman" w:cs="Times New Roman"/>
          <w:b/>
          <w:bCs/>
          <w:lang w:val="fr-FR"/>
        </w:rPr>
        <w:t xml:space="preserve">                 2210992209</w:t>
      </w:r>
    </w:p>
    <w:p w14:paraId="7403E15D" w14:textId="4C3D70D8" w:rsidR="00107F60" w:rsidRDefault="00107F60" w:rsidP="006A604B">
      <w:pPr>
        <w:spacing w:line="360" w:lineRule="auto"/>
        <w:jc w:val="both"/>
        <w:rPr>
          <w:rFonts w:ascii="Times New Roman" w:hAnsi="Times New Roman" w:cs="Times New Roman"/>
          <w:b/>
          <w:bCs/>
          <w:lang w:val="fr-FR"/>
        </w:rPr>
      </w:pPr>
      <w:r>
        <w:rPr>
          <w:rFonts w:ascii="Times New Roman" w:hAnsi="Times New Roman" w:cs="Times New Roman"/>
          <w:b/>
          <w:bCs/>
          <w:lang w:val="fr-FR"/>
        </w:rPr>
        <w:t xml:space="preserve">                                                                                                                        </w:t>
      </w:r>
      <w:r w:rsidR="006A604B">
        <w:rPr>
          <w:rFonts w:ascii="Times New Roman" w:hAnsi="Times New Roman" w:cs="Times New Roman"/>
          <w:b/>
          <w:bCs/>
          <w:lang w:val="fr-FR"/>
        </w:rPr>
        <w:t xml:space="preserve">Kanishk </w:t>
      </w:r>
      <w:r>
        <w:rPr>
          <w:rFonts w:ascii="Times New Roman" w:hAnsi="Times New Roman" w:cs="Times New Roman"/>
          <w:b/>
          <w:bCs/>
          <w:lang w:val="fr-FR"/>
        </w:rPr>
        <w:t xml:space="preserve">          2210991739</w:t>
      </w:r>
    </w:p>
    <w:p w14:paraId="474AAFE6" w14:textId="58899391" w:rsidR="00107F60" w:rsidRDefault="00107F60" w:rsidP="006A604B">
      <w:pPr>
        <w:spacing w:line="360" w:lineRule="auto"/>
        <w:jc w:val="both"/>
        <w:rPr>
          <w:rFonts w:ascii="Times New Roman" w:hAnsi="Times New Roman" w:cs="Times New Roman"/>
          <w:b/>
          <w:bCs/>
          <w:lang w:val="fr-FR"/>
        </w:rPr>
      </w:pPr>
      <w:r>
        <w:rPr>
          <w:rFonts w:ascii="Times New Roman" w:hAnsi="Times New Roman" w:cs="Times New Roman"/>
          <w:b/>
          <w:bCs/>
          <w:lang w:val="fr-FR"/>
        </w:rPr>
        <w:t xml:space="preserve">                                                                                                                        </w:t>
      </w:r>
      <w:r w:rsidR="006A604B">
        <w:rPr>
          <w:rFonts w:ascii="Times New Roman" w:hAnsi="Times New Roman" w:cs="Times New Roman"/>
          <w:b/>
          <w:bCs/>
          <w:lang w:val="fr-FR"/>
        </w:rPr>
        <w:t>Madhav</w:t>
      </w:r>
      <w:r>
        <w:rPr>
          <w:rFonts w:ascii="Times New Roman" w:hAnsi="Times New Roman" w:cs="Times New Roman"/>
          <w:b/>
          <w:bCs/>
          <w:lang w:val="fr-FR"/>
        </w:rPr>
        <w:t xml:space="preserve">           2210991864</w:t>
      </w:r>
    </w:p>
    <w:p w14:paraId="2798A099" w14:textId="65C7774F" w:rsidR="006A604B" w:rsidRPr="00107F60" w:rsidRDefault="00107F60" w:rsidP="006A604B">
      <w:pPr>
        <w:spacing w:line="360" w:lineRule="auto"/>
        <w:jc w:val="both"/>
        <w:rPr>
          <w:rFonts w:ascii="Times New Roman" w:hAnsi="Times New Roman" w:cs="Times New Roman"/>
          <w:b/>
          <w:bCs/>
          <w:lang w:val="fr-FR"/>
        </w:rPr>
      </w:pPr>
      <w:r>
        <w:rPr>
          <w:rFonts w:ascii="Times New Roman" w:hAnsi="Times New Roman" w:cs="Times New Roman"/>
          <w:b/>
          <w:bCs/>
          <w:lang w:val="fr-FR"/>
        </w:rPr>
        <w:t xml:space="preserve">                                                                                                                       </w:t>
      </w:r>
      <w:r w:rsidR="006A604B">
        <w:rPr>
          <w:rFonts w:ascii="Times New Roman" w:hAnsi="Times New Roman" w:cs="Times New Roman"/>
          <w:b/>
          <w:bCs/>
          <w:lang w:val="fr-FR"/>
        </w:rPr>
        <w:t xml:space="preserve"> Nishtha</w:t>
      </w:r>
      <w:r>
        <w:rPr>
          <w:rFonts w:ascii="Times New Roman" w:hAnsi="Times New Roman" w:cs="Times New Roman"/>
          <w:b/>
          <w:bCs/>
          <w:lang w:val="fr-FR"/>
        </w:rPr>
        <w:t xml:space="preserve">            2210991994</w:t>
      </w:r>
    </w:p>
    <w:p w14:paraId="2555CB06" w14:textId="6025E513" w:rsidR="006A604B" w:rsidRPr="006A604B" w:rsidRDefault="006A604B" w:rsidP="006A604B">
      <w:pPr>
        <w:spacing w:line="360" w:lineRule="auto"/>
        <w:jc w:val="both"/>
        <w:rPr>
          <w:rFonts w:ascii="Times New Roman" w:hAnsi="Times New Roman" w:cs="Times New Roman"/>
        </w:rPr>
      </w:pPr>
      <w:proofErr w:type="gramStart"/>
      <w:r>
        <w:rPr>
          <w:rFonts w:ascii="Times New Roman" w:hAnsi="Times New Roman" w:cs="Times New Roman"/>
          <w:lang w:val="fr-FR"/>
        </w:rPr>
        <w:t>Date:</w:t>
      </w:r>
      <w:proofErr w:type="gramEnd"/>
      <w:r>
        <w:rPr>
          <w:rFonts w:ascii="Times New Roman" w:hAnsi="Times New Roman" w:cs="Times New Roman"/>
          <w:lang w:val="fr-FR"/>
        </w:rPr>
        <w:tab/>
        <w:t>…</w:t>
      </w:r>
      <w:r w:rsidR="00AB78E9">
        <w:rPr>
          <w:rFonts w:ascii="Times New Roman" w:hAnsi="Times New Roman" w:cs="Times New Roman"/>
          <w:lang w:val="fr-FR"/>
        </w:rPr>
        <w:t>07/05/2026</w:t>
      </w:r>
      <w:r>
        <w:rPr>
          <w:rFonts w:ascii="Times New Roman" w:hAnsi="Times New Roman" w:cs="Times New Roman"/>
          <w:lang w:val="fr-FR"/>
        </w:rPr>
        <w:t>………</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fr-FR"/>
        </w:rPr>
        <w:tab/>
      </w:r>
    </w:p>
    <w:p w14:paraId="675A7CEB" w14:textId="77777777" w:rsidR="006A604B" w:rsidRPr="006A604B" w:rsidRDefault="006A604B" w:rsidP="006A604B">
      <w:pPr>
        <w:spacing w:line="360" w:lineRule="auto"/>
        <w:jc w:val="both"/>
        <w:rPr>
          <w:rFonts w:ascii="Times New Roman" w:hAnsi="Times New Roman" w:cs="Times New Roman"/>
        </w:rPr>
      </w:pPr>
    </w:p>
    <w:p w14:paraId="1577381D"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This is to certify that the above statement made by the candidate is correct to the best of my knowledge and belief.</w:t>
      </w:r>
    </w:p>
    <w:p w14:paraId="19B063DD" w14:textId="77777777" w:rsidR="000755B0" w:rsidRDefault="006A604B" w:rsidP="006A604B">
      <w:pPr>
        <w:spacing w:line="360" w:lineRule="auto"/>
        <w:jc w:val="both"/>
        <w:rPr>
          <w:rFonts w:ascii="Times New Roman" w:hAnsi="Times New Roman" w:cs="Times New Roman"/>
        </w:rPr>
      </w:pPr>
      <w:r>
        <w:rPr>
          <w:rFonts w:ascii="Times New Roman" w:hAnsi="Times New Roman" w:cs="Times New Roman"/>
        </w:rPr>
        <w:t xml:space="preserve">         </w:t>
      </w:r>
    </w:p>
    <w:p w14:paraId="1EF3D906" w14:textId="77777777" w:rsidR="000755B0" w:rsidRDefault="000755B0" w:rsidP="006A604B">
      <w:pPr>
        <w:spacing w:line="360" w:lineRule="auto"/>
        <w:jc w:val="both"/>
        <w:rPr>
          <w:rFonts w:ascii="Times New Roman" w:hAnsi="Times New Roman" w:cs="Times New Roman"/>
        </w:rPr>
      </w:pPr>
    </w:p>
    <w:p w14:paraId="0BD97674"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 xml:space="preserve">                                             </w:t>
      </w:r>
    </w:p>
    <w:p w14:paraId="30A1E741" w14:textId="12794B34" w:rsidR="006A604B" w:rsidRPr="006A604B" w:rsidRDefault="006A604B"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w:t>
      </w:r>
      <w:r w:rsidR="00AB78E9">
        <w:rPr>
          <w:rFonts w:ascii="Times New Roman" w:hAnsi="Times New Roman" w:cs="Times New Roman"/>
          <w:b/>
          <w:bCs/>
          <w:spacing w:val="-16"/>
        </w:rPr>
        <w:t>Dr</w:t>
      </w:r>
      <w:r>
        <w:rPr>
          <w:rFonts w:ascii="Times New Roman" w:hAnsi="Times New Roman" w:cs="Times New Roman"/>
          <w:b/>
          <w:bCs/>
          <w:spacing w:val="-16"/>
        </w:rPr>
        <w:t>. Preeti Saini)</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4E317B69"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Assistant Professor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B5839F8"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Department of Computer Science and Engineering</w:t>
      </w:r>
    </w:p>
    <w:p w14:paraId="62B4BC3A" w14:textId="77777777" w:rsidR="006A604B" w:rsidRDefault="006A604B" w:rsidP="006A604B">
      <w:pPr>
        <w:spacing w:line="360" w:lineRule="auto"/>
        <w:jc w:val="both"/>
        <w:rPr>
          <w:rFonts w:ascii="Times New Roman" w:hAnsi="Times New Roman" w:cs="Times New Roman"/>
        </w:rPr>
      </w:pPr>
      <w:r>
        <w:rPr>
          <w:rFonts w:ascii="Times New Roman" w:hAnsi="Times New Roman" w:cs="Times New Roman"/>
        </w:rPr>
        <w:t xml:space="preserve">Chitkara University Institute of Engineering and Technology, </w:t>
      </w:r>
    </w:p>
    <w:p w14:paraId="4AA5F4CE" w14:textId="77777777" w:rsidR="006A604B" w:rsidRPr="006A604B" w:rsidRDefault="006A604B" w:rsidP="006A604B">
      <w:pPr>
        <w:spacing w:line="360" w:lineRule="auto"/>
        <w:jc w:val="both"/>
        <w:rPr>
          <w:rFonts w:ascii="Times New Roman" w:hAnsi="Times New Roman" w:cs="Times New Roman"/>
          <w:spacing w:val="-16"/>
        </w:rPr>
      </w:pPr>
      <w:r>
        <w:rPr>
          <w:rFonts w:ascii="Times New Roman" w:hAnsi="Times New Roman" w:cs="Times New Roman"/>
        </w:rPr>
        <w:t>Chitkara University, Punjab, India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5BAD66B7" w14:textId="77777777" w:rsidR="006A604B" w:rsidRPr="006A604B" w:rsidRDefault="006A604B" w:rsidP="006A604B">
      <w:pPr>
        <w:spacing w:line="360" w:lineRule="auto"/>
        <w:jc w:val="both"/>
        <w:rPr>
          <w:rFonts w:ascii="Times New Roman" w:hAnsi="Times New Roman" w:cs="Times New Roman"/>
        </w:rPr>
      </w:pPr>
    </w:p>
    <w:p w14:paraId="264A5931" w14:textId="77777777" w:rsidR="00985E93" w:rsidRDefault="00985E93" w:rsidP="006A604B">
      <w:pPr>
        <w:rPr>
          <w:rFonts w:ascii="Times New Roman" w:hAnsi="Times New Roman" w:cs="Times New Roman"/>
        </w:rPr>
      </w:pPr>
    </w:p>
    <w:p w14:paraId="0D4C770F" w14:textId="77777777" w:rsidR="006A604B" w:rsidRDefault="006A604B" w:rsidP="006A604B">
      <w:pPr>
        <w:rPr>
          <w:rFonts w:ascii="Times New Roman" w:hAnsi="Times New Roman" w:cs="Times New Roman"/>
        </w:rPr>
      </w:pPr>
    </w:p>
    <w:p w14:paraId="49802E26" w14:textId="77777777" w:rsidR="006A604B" w:rsidRDefault="006A604B" w:rsidP="006A604B">
      <w:pPr>
        <w:rPr>
          <w:rFonts w:ascii="Times New Roman" w:hAnsi="Times New Roman" w:cs="Times New Roman"/>
        </w:rPr>
      </w:pPr>
    </w:p>
    <w:p w14:paraId="55774E61" w14:textId="77777777" w:rsidR="006A604B" w:rsidRPr="00DD6FB3" w:rsidRDefault="006A604B" w:rsidP="006A604B">
      <w:pPr>
        <w:rPr>
          <w:rFonts w:ascii="Times New Roman" w:hAnsi="Times New Roman" w:cs="Times New Roman"/>
          <w:b/>
          <w:sz w:val="32"/>
          <w:szCs w:val="32"/>
          <w:u w:val="single"/>
        </w:rPr>
      </w:pPr>
    </w:p>
    <w:p w14:paraId="5D06D2A0" w14:textId="77777777" w:rsidR="00985E93" w:rsidRDefault="00985E93" w:rsidP="00985E93">
      <w:pPr>
        <w:jc w:val="center"/>
        <w:rPr>
          <w:b/>
          <w:sz w:val="32"/>
          <w:szCs w:val="32"/>
          <w:u w:val="single"/>
        </w:rPr>
      </w:pPr>
    </w:p>
    <w:p w14:paraId="69CB39D6" w14:textId="77777777" w:rsidR="00985E93" w:rsidRDefault="00985E93" w:rsidP="00985E93">
      <w:pPr>
        <w:jc w:val="center"/>
        <w:rPr>
          <w:b/>
          <w:sz w:val="32"/>
          <w:szCs w:val="32"/>
          <w:u w:val="single"/>
        </w:rPr>
      </w:pPr>
    </w:p>
    <w:p w14:paraId="3476AE4B" w14:textId="77777777" w:rsidR="00985E93" w:rsidRDefault="00985E93" w:rsidP="00985E93">
      <w:pPr>
        <w:jc w:val="center"/>
        <w:rPr>
          <w:b/>
          <w:sz w:val="32"/>
          <w:szCs w:val="32"/>
          <w:u w:val="single"/>
        </w:rPr>
      </w:pPr>
    </w:p>
    <w:p w14:paraId="48094E22" w14:textId="77777777" w:rsidR="00985E93" w:rsidRDefault="00985E93" w:rsidP="00985E93">
      <w:pPr>
        <w:jc w:val="center"/>
        <w:rPr>
          <w:b/>
          <w:sz w:val="32"/>
          <w:szCs w:val="32"/>
          <w:u w:val="single"/>
        </w:rPr>
      </w:pPr>
    </w:p>
    <w:p w14:paraId="280754DB" w14:textId="77777777" w:rsidR="006A604B" w:rsidRDefault="006A604B" w:rsidP="00985E93">
      <w:pPr>
        <w:jc w:val="center"/>
        <w:rPr>
          <w:b/>
          <w:sz w:val="32"/>
          <w:szCs w:val="32"/>
          <w:u w:val="single"/>
        </w:rPr>
      </w:pPr>
    </w:p>
    <w:p w14:paraId="3C4F1B9E" w14:textId="77777777" w:rsidR="006A604B" w:rsidRDefault="006A604B" w:rsidP="00985E93">
      <w:pPr>
        <w:jc w:val="center"/>
        <w:rPr>
          <w:b/>
          <w:sz w:val="32"/>
          <w:szCs w:val="32"/>
          <w:u w:val="single"/>
        </w:rPr>
      </w:pPr>
    </w:p>
    <w:p w14:paraId="41E34FDE" w14:textId="77777777" w:rsidR="006A604B" w:rsidRDefault="006A604B" w:rsidP="00985E93">
      <w:pPr>
        <w:jc w:val="center"/>
        <w:rPr>
          <w:b/>
          <w:sz w:val="32"/>
          <w:szCs w:val="32"/>
          <w:u w:val="single"/>
        </w:rPr>
      </w:pPr>
    </w:p>
    <w:p w14:paraId="487BDED3" w14:textId="77777777" w:rsidR="006A604B" w:rsidRDefault="006A604B" w:rsidP="00985E93">
      <w:pPr>
        <w:jc w:val="center"/>
        <w:rPr>
          <w:b/>
          <w:sz w:val="32"/>
          <w:szCs w:val="32"/>
          <w:u w:val="single"/>
        </w:rPr>
      </w:pPr>
    </w:p>
    <w:p w14:paraId="53202310" w14:textId="77777777" w:rsidR="00985E93" w:rsidRDefault="00985E93" w:rsidP="00985E93">
      <w:pPr>
        <w:jc w:val="center"/>
        <w:rPr>
          <w:b/>
          <w:sz w:val="32"/>
          <w:szCs w:val="32"/>
          <w:u w:val="single"/>
        </w:rPr>
      </w:pPr>
    </w:p>
    <w:p w14:paraId="12EDF18F" w14:textId="77777777" w:rsidR="00985E93" w:rsidRPr="006A604B" w:rsidRDefault="006A604B"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t>ACKNOWLEDGEMENT</w:t>
      </w:r>
    </w:p>
    <w:p w14:paraId="4D58BF22"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We would like to express our heartfelt gratitude to everyone who supported us throughout this research project on media’s effect on public opinion. Their guidance, encouragement, and constructive feedback have been invaluable in shaping this work.</w:t>
      </w:r>
    </w:p>
    <w:p w14:paraId="60A9606E" w14:textId="21545086"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We are deeply thankful to our project mentor, </w:t>
      </w:r>
      <w:r w:rsidR="003205F9">
        <w:rPr>
          <w:rFonts w:ascii="Times New Roman" w:hAnsi="Times New Roman" w:cs="Times New Roman"/>
          <w:b/>
          <w:sz w:val="24"/>
          <w:szCs w:val="24"/>
        </w:rPr>
        <w:t>Dr</w:t>
      </w:r>
      <w:r>
        <w:rPr>
          <w:rFonts w:ascii="Times New Roman" w:hAnsi="Times New Roman" w:cs="Times New Roman"/>
          <w:b/>
          <w:sz w:val="24"/>
          <w:szCs w:val="24"/>
        </w:rPr>
        <w:t>. Preeti Saini</w:t>
      </w:r>
      <w:r>
        <w:rPr>
          <w:rFonts w:ascii="Times New Roman" w:hAnsi="Times New Roman" w:cs="Times New Roman"/>
          <w:sz w:val="24"/>
          <w:szCs w:val="24"/>
        </w:rPr>
        <w:t>, Assistant Professor, Department of Computer Science and Engineering, Chitkara University, for her continuous guidance, patient mentoring, and thoughtful insights at every stage of this project. Her direction helped us frame our research questions clearly and approach the survey methodology with rigour.</w:t>
      </w:r>
    </w:p>
    <w:p w14:paraId="5CE53713"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We are grateful to the Department of Computer Science and Engineering, Chitkara University Institute of Engineering and Technology, for providing the academic environment and resources that made this study possible. We also thank our peers and faculty for their feedback during review sessions.</w:t>
      </w:r>
    </w:p>
    <w:p w14:paraId="607EA8F2"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Finally, we acknowledge all the survey respondents whose participation made this primary research possible. Without their willingness to share their views on media trust, consumption habits, and political perception, the empirical portion of this study would not exist.</w:t>
      </w:r>
    </w:p>
    <w:p w14:paraId="76242BF8" w14:textId="77777777" w:rsidR="0088739A" w:rsidRDefault="00000000">
      <w:pPr>
        <w:spacing w:after="120" w:line="360" w:lineRule="auto"/>
        <w:jc w:val="right"/>
        <w:rPr>
          <w:rFonts w:ascii="Times New Roman" w:hAnsi="Times New Roman" w:cs="Times New Roman"/>
          <w:sz w:val="24"/>
          <w:szCs w:val="24"/>
        </w:rPr>
      </w:pPr>
      <w:r>
        <w:rPr>
          <w:rFonts w:ascii="Times New Roman" w:hAnsi="Times New Roman" w:cs="Times New Roman"/>
          <w:b/>
          <w:sz w:val="24"/>
          <w:szCs w:val="24"/>
        </w:rPr>
        <w:t>Sahil, Kanishk, Madhav, Nishtha</w:t>
      </w:r>
    </w:p>
    <w:p w14:paraId="64B7C40D" w14:textId="77777777" w:rsidR="0088739A" w:rsidRDefault="00000000">
      <w:r>
        <w:br w:type="page"/>
      </w:r>
    </w:p>
    <w:p w14:paraId="78E90368" w14:textId="77777777" w:rsidR="0088739A" w:rsidRDefault="00000000">
      <w:pPr>
        <w:spacing w:before="240" w:after="240"/>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LIST OF FIGURES AND TABLES</w:t>
      </w:r>
    </w:p>
    <w:p w14:paraId="1E34A113"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Figures</w:t>
      </w:r>
    </w:p>
    <w:p w14:paraId="641405C8"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Fig. 1   Media Platform Usage Distribution</w:t>
      </w:r>
    </w:p>
    <w:p w14:paraId="6F2EA61D"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Fig. 2   Trust in Media (10-point scale)</w:t>
      </w:r>
    </w:p>
    <w:p w14:paraId="6BA7AC48"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Fig. 3   Responsibility for Unbiased Information</w:t>
      </w:r>
    </w:p>
    <w:p w14:paraId="1A8928D7"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Fig. 4   Types of News Considered Important</w:t>
      </w:r>
    </w:p>
    <w:p w14:paraId="1AF07C20"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Fig. 5   Media Influence on Political Perception</w:t>
      </w:r>
    </w:p>
    <w:p w14:paraId="16D69E0F"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Fig. 6   Factors Influencing Trust</w:t>
      </w:r>
    </w:p>
    <w:p w14:paraId="427A7566"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Fig. 7   Fact-Checking Behaviour</w:t>
      </w:r>
    </w:p>
    <w:p w14:paraId="6EF69CA0"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Fig. 8   Preferred Media Influence</w:t>
      </w:r>
    </w:p>
    <w:p w14:paraId="05E38669"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Tables</w:t>
      </w:r>
    </w:p>
    <w:p w14:paraId="04A82D5C"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Table 1   Summary of Survey Findings</w:t>
      </w:r>
    </w:p>
    <w:p w14:paraId="42E0D346" w14:textId="77777777" w:rsidR="0088739A" w:rsidRDefault="00000000">
      <w:r>
        <w:br w:type="page"/>
      </w:r>
    </w:p>
    <w:p w14:paraId="46160EC1" w14:textId="77777777" w:rsidR="0088739A" w:rsidRDefault="00000000">
      <w:pPr>
        <w:spacing w:before="240" w:after="240"/>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ABSTRACT</w:t>
      </w:r>
    </w:p>
    <w:p w14:paraId="5740D249"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media plays a pivotal role in shaping public opinion by influencing perceptions of issues, understanding of events, and the evidence used to inform attitudes. This project synthesises five decades of research on media effects and supplements it with a primary survey to examine how traditional and digital channels shape opinion formation in modern democracies.</w:t>
      </w:r>
    </w:p>
    <w:p w14:paraId="6CD021FE"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Four foundational theories are examined: agenda-setting, framing, the social amplification of risk, and uses and gratifications. The literature confirms that media plays an important role in shaping political ideology, environmental attitudes, and perceptions of public health. The advent of digital media has amplified and complicated these processes through algorithmic curation, filter bubbles, mis- and disinformation, and computational propaganda, with implications for democratic decision-making and trust in institutions.</w:t>
      </w:r>
    </w:p>
    <w:p w14:paraId="07B5078F"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A structured survey was conducted using Google Forms to capture public attitudes on media trust, factors influencing credibility, fact-checking habits, and the perceived political influence of media. Findings show that 89.5% of respondents rely primarily on social </w:t>
      </w:r>
      <w:proofErr w:type="gramStart"/>
      <w:r>
        <w:rPr>
          <w:rFonts w:ascii="Times New Roman" w:hAnsi="Times New Roman" w:cs="Times New Roman"/>
          <w:sz w:val="24"/>
          <w:szCs w:val="24"/>
        </w:rPr>
        <w:t>media, yet</w:t>
      </w:r>
      <w:proofErr w:type="gramEnd"/>
      <w:r>
        <w:rPr>
          <w:rFonts w:ascii="Times New Roman" w:hAnsi="Times New Roman" w:cs="Times New Roman"/>
          <w:sz w:val="24"/>
          <w:szCs w:val="24"/>
        </w:rPr>
        <w:t xml:space="preserve"> trust ratings cluster between 4 and 7 on a 10-point scale. Source credibility (63.2%) and </w:t>
      </w:r>
      <w:proofErr w:type="gramStart"/>
      <w:r>
        <w:rPr>
          <w:rFonts w:ascii="Times New Roman" w:hAnsi="Times New Roman" w:cs="Times New Roman"/>
          <w:sz w:val="24"/>
          <w:szCs w:val="24"/>
        </w:rPr>
        <w:t>fact-checking</w:t>
      </w:r>
      <w:proofErr w:type="gramEnd"/>
      <w:r>
        <w:rPr>
          <w:rFonts w:ascii="Times New Roman" w:hAnsi="Times New Roman" w:cs="Times New Roman"/>
          <w:sz w:val="24"/>
          <w:szCs w:val="24"/>
        </w:rPr>
        <w:t xml:space="preserve"> (57.9%) emerged as the strongest trust drivers, while audiences increasingly demand unbiased reporting.</w:t>
      </w:r>
    </w:p>
    <w:p w14:paraId="46EFBD35"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results highlight the importance of improved media accountability, expanded media literacy education, and stronger platform governance to maintain informed public debate. The changing dynamics of media influence remain critical to preserving democratic societies in an increasingly digital and polarised media environment.</w:t>
      </w:r>
    </w:p>
    <w:p w14:paraId="763A864C"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b/>
          <w:sz w:val="24"/>
          <w:szCs w:val="24"/>
        </w:rPr>
        <w:t xml:space="preserve">Keywords: </w:t>
      </w:r>
      <w:r>
        <w:rPr>
          <w:rFonts w:ascii="Times New Roman" w:hAnsi="Times New Roman" w:cs="Times New Roman"/>
          <w:sz w:val="24"/>
          <w:szCs w:val="24"/>
        </w:rPr>
        <w:t>media effects, public opinion, agenda-setting, media literacy, digital media, communication</w:t>
      </w:r>
    </w:p>
    <w:p w14:paraId="3E3F0EF7" w14:textId="77777777" w:rsidR="0088739A" w:rsidRDefault="00000000">
      <w:r>
        <w:br w:type="page"/>
      </w:r>
    </w:p>
    <w:p w14:paraId="142DEF3A" w14:textId="77777777" w:rsidR="0088739A" w:rsidRDefault="00000000">
      <w:pPr>
        <w:spacing w:before="240" w:after="240"/>
        <w:rPr>
          <w:rFonts w:ascii="Times New Roman" w:hAnsi="Times New Roman" w:cs="Times New Roman"/>
          <w:b/>
          <w:sz w:val="32"/>
          <w:szCs w:val="32"/>
        </w:rPr>
      </w:pPr>
      <w:r>
        <w:rPr>
          <w:rFonts w:ascii="Times New Roman" w:hAnsi="Times New Roman" w:cs="Times New Roman"/>
          <w:b/>
          <w:sz w:val="32"/>
          <w:szCs w:val="32"/>
        </w:rPr>
        <w:lastRenderedPageBreak/>
        <w:t>1. INTRODUCTION</w:t>
      </w:r>
    </w:p>
    <w:p w14:paraId="413F4136"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1.1 Background</w:t>
      </w:r>
    </w:p>
    <w:p w14:paraId="32B596D9"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relationship between media and public opinion is an important feature of modern democracies. Mass media has long been a significant intermediary between institutions and the public, shaping how people interpret, perceive, and respond to social and political reality. The advancements of digital media, social media, and alternative platforms in the 21st century have created a major shift in the media industry.</w:t>
      </w:r>
    </w:p>
    <w:p w14:paraId="7B68E1B0"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Media has become more proactive and influential in shaping public awareness, amplifying both the intensity and the nature of its influence. The impact of media on opinion formation is no longer a theoretical question but a real concern for policy makers, media professionals, and citizens alike.</w:t>
      </w:r>
    </w:p>
    <w:p w14:paraId="01A71B7F"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Media’s opinion-forming role is not limited to the reporting of facts; it extends to what should be reported, how it should be reported, and the interpretive frame within which the public is invited to understand the news. This is agenda-setting, a fundamental mechanism through which media influences public discourse and consequently the opinions, attitudes, and behaviours of millions of individuals.</w:t>
      </w:r>
    </w:p>
    <w:p w14:paraId="02D682AD"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1.2 Problem Statement</w:t>
      </w:r>
    </w:p>
    <w:p w14:paraId="7A5FC86A"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While media has always influenced opinion, the digital era has introduced new mechanisms such as algorithmic curation, filter bubbles, and computational propaganda. These mechanisms can both empower citizens with diverse information and isolate them within echo chambers. There is a need to understand how today’s media landscape affects public trust, perception, and political opinion, particularly among younger digital-first audiences.</w:t>
      </w:r>
    </w:p>
    <w:p w14:paraId="47987E3B"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1.3 Objectives</w:t>
      </w:r>
    </w:p>
    <w:p w14:paraId="402F885B"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To examine the major theories of media influence on public opinion, including agenda-setting, framing, the social amplification of risk, and uses and gratifications.</w:t>
      </w:r>
    </w:p>
    <w:p w14:paraId="7A8EEC9D"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To collect primary survey data on public perceptions of media credibility, trust, and political influence.</w:t>
      </w:r>
    </w:p>
    <w:p w14:paraId="58182FE8"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To compare the influence of traditional and digital media channels on opinion formation.</w:t>
      </w:r>
    </w:p>
    <w:p w14:paraId="32F2AE46"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To identify how individual factors such as media literacy and political knowledge moderate media effects.</w:t>
      </w:r>
    </w:p>
    <w:p w14:paraId="231488DA"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lastRenderedPageBreak/>
        <w:t>•   To discuss the practical and ethical implications for democracy, media responsibility, and citizen discourse.</w:t>
      </w:r>
    </w:p>
    <w:p w14:paraId="65D2C95E"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1.4 Scope of the Study</w:t>
      </w:r>
    </w:p>
    <w:p w14:paraId="62840180"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This study integrates a literature review of foundational and contemporary research with a primary survey conducted through a structured questionnaire. The scope includes both traditional channels such as newspapers, television, and radio, and digital channels such as social media, online news, and podcasts.</w:t>
      </w:r>
    </w:p>
    <w:p w14:paraId="7D3A69FB"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1.5 Literature Review</w:t>
      </w:r>
    </w:p>
    <w:p w14:paraId="4500C442"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A substantial body of research over the past five decades has examined how media </w:t>
      </w:r>
      <w:proofErr w:type="gramStart"/>
      <w:r>
        <w:rPr>
          <w:rFonts w:ascii="Times New Roman" w:hAnsi="Times New Roman" w:cs="Times New Roman"/>
          <w:sz w:val="24"/>
          <w:szCs w:val="24"/>
        </w:rPr>
        <w:t>shapes</w:t>
      </w:r>
      <w:proofErr w:type="gramEnd"/>
      <w:r>
        <w:rPr>
          <w:rFonts w:ascii="Times New Roman" w:hAnsi="Times New Roman" w:cs="Times New Roman"/>
          <w:sz w:val="24"/>
          <w:szCs w:val="24"/>
        </w:rPr>
        <w:t xml:space="preserve"> public opinion. This section synthesises the key findings across foundational theories, empirical evidence, the digital transformation, individual moderating factors, and democratic implications.</w:t>
      </w:r>
    </w:p>
    <w:p w14:paraId="4975FE67"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1.5.1 Foundational Theories Revisited</w:t>
      </w:r>
    </w:p>
    <w:p w14:paraId="4EAD9ADF"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McCombs and Shaw’s 1972 study of the Chapel Hill voters established the empirical basis for agenda-setting theory. Their finding that media salience predicted public salience has been replicated across multiple countries and decades. Subsequent work by Scheufele (2000) clarified the mechanism: through repeated exposure, media coverage builds cognitive accessibility, making certain issues easier to retrieve when forming opinions.</w:t>
      </w:r>
    </w:p>
    <w:p w14:paraId="751B349A"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Framing theory built on agenda-setting by examining how, not just what, media communicates. </w:t>
      </w:r>
      <w:proofErr w:type="spellStart"/>
      <w:r>
        <w:rPr>
          <w:rFonts w:ascii="Times New Roman" w:hAnsi="Times New Roman" w:cs="Times New Roman"/>
          <w:sz w:val="24"/>
          <w:szCs w:val="24"/>
        </w:rPr>
        <w:t>Entman</w:t>
      </w:r>
      <w:proofErr w:type="spellEnd"/>
      <w:r>
        <w:rPr>
          <w:rFonts w:ascii="Times New Roman" w:hAnsi="Times New Roman" w:cs="Times New Roman"/>
          <w:sz w:val="24"/>
          <w:szCs w:val="24"/>
        </w:rPr>
        <w:t xml:space="preserve"> (1993) defined framing as the selection of certain aspects of a perceived reality to make them more salient. A widely cited example is the equivalent presentation of identical health policies framed as “patient rights” versus “government overreach”, which produces sharply different opinion outcomes (Druckman, 2001).</w:t>
      </w:r>
    </w:p>
    <w:p w14:paraId="2FBDDEC0"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Social Amplification of Risk Framework introduced by Kasperson and colleagues in 1988 explained why public concern often diverges from scientific risk assessment. Media </w:t>
      </w:r>
      <w:proofErr w:type="spellStart"/>
      <w:r>
        <w:rPr>
          <w:rFonts w:ascii="Times New Roman" w:hAnsi="Times New Roman" w:cs="Times New Roman"/>
          <w:sz w:val="24"/>
          <w:szCs w:val="24"/>
        </w:rPr>
        <w:t>dramatisation</w:t>
      </w:r>
      <w:proofErr w:type="spellEnd"/>
      <w:r>
        <w:rPr>
          <w:rFonts w:ascii="Times New Roman" w:hAnsi="Times New Roman" w:cs="Times New Roman"/>
          <w:sz w:val="24"/>
          <w:szCs w:val="24"/>
        </w:rPr>
        <w:t xml:space="preserve"> amplifies certain hazards while silencing others, and these signals interact with social institutions and personal networks to shape collective response.</w:t>
      </w:r>
    </w:p>
    <w:p w14:paraId="22172752"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uses and gratifications tradition, originating with Katz, </w:t>
      </w:r>
      <w:proofErr w:type="spellStart"/>
      <w:r>
        <w:rPr>
          <w:rFonts w:ascii="Times New Roman" w:hAnsi="Times New Roman" w:cs="Times New Roman"/>
          <w:sz w:val="24"/>
          <w:szCs w:val="24"/>
        </w:rPr>
        <w:t>Blumler</w:t>
      </w:r>
      <w:proofErr w:type="spellEnd"/>
      <w:r>
        <w:rPr>
          <w:rFonts w:ascii="Times New Roman" w:hAnsi="Times New Roman" w:cs="Times New Roman"/>
          <w:sz w:val="24"/>
          <w:szCs w:val="24"/>
        </w:rPr>
        <w:t xml:space="preserve"> and Gurevitch in 1974, reframed audiences as active participants rather than passive receivers. People consume media to satisfy specific needs: information, entertainment, social interaction, and personal identity </w:t>
      </w:r>
      <w:r>
        <w:rPr>
          <w:rFonts w:ascii="Times New Roman" w:hAnsi="Times New Roman" w:cs="Times New Roman"/>
          <w:sz w:val="24"/>
          <w:szCs w:val="24"/>
        </w:rPr>
        <w:lastRenderedPageBreak/>
        <w:t>reinforcement. This perspective explains why identical content can produce divergent effects across audience segments.</w:t>
      </w:r>
    </w:p>
    <w:p w14:paraId="6D4C37C6"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1.5.2 Empirical Evidence on Opinion Formation</w:t>
      </w:r>
    </w:p>
    <w:p w14:paraId="20048F9B"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Research on political campaigns has consistently shown large media effects, particularly among less-informed voters and those without strong prior opinions (Zaller, 1992). Studies of recent presidential election cycles have documented agenda-setting effects: issues that received heavy coverage rose sharply in public salience, while underreported issues faded from voter consideration.</w:t>
      </w:r>
    </w:p>
    <w:p w14:paraId="6A05FDB4"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Environmental concern follows a similar pattern. Dunlap (2016) found that public attention to environmental issues fluctuates with media coverage rather than with measurable environmental conditions. Similarly, public perception of crime severity tracks media coverage more closely than actual crime statistics (Jewkes, 2015), demonstrating that media frames shape collective sense of risk.</w:t>
      </w:r>
    </w:p>
    <w:p w14:paraId="02E2DEC7"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A meta-analysis by Chong and Druckman (2007) confirmed that framing effects vary in magnitude depending on topic and audience. Strong effects appear in domains such as political tolerance, welfare policy, and risk perception. The same </w:t>
      </w:r>
      <w:proofErr w:type="gramStart"/>
      <w:r>
        <w:rPr>
          <w:rFonts w:ascii="Times New Roman" w:hAnsi="Times New Roman" w:cs="Times New Roman"/>
          <w:sz w:val="24"/>
          <w:szCs w:val="24"/>
        </w:rPr>
        <w:t>factual information</w:t>
      </w:r>
      <w:proofErr w:type="gramEnd"/>
      <w:r>
        <w:rPr>
          <w:rFonts w:ascii="Times New Roman" w:hAnsi="Times New Roman" w:cs="Times New Roman"/>
          <w:sz w:val="24"/>
          <w:szCs w:val="24"/>
        </w:rPr>
        <w:t xml:space="preserve"> about immigration, presented as economic benefit versus economic threat, yields opposite policy preferences.</w:t>
      </w:r>
    </w:p>
    <w:p w14:paraId="5489197C"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1.5.3 Digital Media and Contemporary Opinion Formation</w:t>
      </w:r>
    </w:p>
    <w:p w14:paraId="2AA395CC"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Digital platforms have transformed media’s role in opinion formation. Unlike gatekeeper-driven traditional media, digital platforms allow direct producer-to-consumer communication, democratising distribution while fragmenting the information environment (van Dijck, 2013). Social media platforms have become primary news sources for younger audiences, partially replacing legacy news institutions.</w:t>
      </w:r>
    </w:p>
    <w:p w14:paraId="60B6853B"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Algorithmic curation creates filter bubbles, where users predominantly encounter content aligned with their existing views (Pariser, 2011). Wardle and Ward (2019) found that algorithmic feeds significantly increase the probability of exposure to false claims compared to traditional news channels. The COVID-19 pandemic served as a natural experiment, with social media accelerating the spread of medical misinformation, conspiracy theories, and vaccine scepticism (Cinelli et al., 2020).</w:t>
      </w:r>
    </w:p>
    <w:p w14:paraId="55220545"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Coordinated disinformation campaigns add another layer of complexity. State-sponsored and domestic actors deliberately seed misleading content to shape public opinion on political and social issues (Woolley &amp; Howard, 2018). These dynamics fundamentally alter the conditions under which citizens form opinions in democratic societies.</w:t>
      </w:r>
    </w:p>
    <w:p w14:paraId="153103EE"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1.5.4 Individual Differences as Moderators</w:t>
      </w:r>
    </w:p>
    <w:p w14:paraId="14708F77"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Media effects are not uniform across audiences. Political knowledge and educational attainment significantly moderate the magnitude of effects, with less-informed individuals more susceptible to agenda-setting and framing (Zaller, 1992). Media literacy, the capacity to critically evaluate messages, further reduces vulnerability to manipulation (Hobbs, 2010).</w:t>
      </w:r>
    </w:p>
    <w:p w14:paraId="3D3C7F14"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Motivated reasoning produces ideologically biased interpretation of identical content. Kahan (2017) documented backfire effects, where exposure to disconfirming information can entrench rather than soften prior beliefs. Personality variables such as need for cognition (Cacioppo &amp; Petty, 1982) influence how deeply audiences process media messages, leading to variable effects across individuals.</w:t>
      </w:r>
    </w:p>
    <w:p w14:paraId="54E3FA9B"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1.5.5 Democratic Implications</w:t>
      </w:r>
    </w:p>
    <w:p w14:paraId="4911EC11"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cumulative literature suggests that the media system plays a constitutive role in democratic governance. When citizens occupy distinct informational realities, common ground for democratic deliberation erodes (Stroud, 2010). Sunstein (2001) warned that ideologically segregated media consumption produces echo chambers that intensify polarisation.</w:t>
      </w:r>
    </w:p>
    <w:p w14:paraId="4F9A2742"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Misinformation poses a particularly serious threat. Nyhan and Reifler (2010) showed that corrections frequently fail to dislodge prior </w:t>
      </w:r>
      <w:proofErr w:type="gramStart"/>
      <w:r>
        <w:rPr>
          <w:rFonts w:ascii="Times New Roman" w:hAnsi="Times New Roman" w:cs="Times New Roman"/>
          <w:sz w:val="24"/>
          <w:szCs w:val="24"/>
        </w:rPr>
        <w:t>misperceptions, and</w:t>
      </w:r>
      <w:proofErr w:type="gramEnd"/>
      <w:r>
        <w:rPr>
          <w:rFonts w:ascii="Times New Roman" w:hAnsi="Times New Roman" w:cs="Times New Roman"/>
          <w:sz w:val="24"/>
          <w:szCs w:val="24"/>
        </w:rPr>
        <w:t xml:space="preserve"> van der Linden and Lewandowsky (2021) demonstrated that pre-emptive inoculation is more effective than after-the-fact correction. The combined effect is that media literacy education, platform accountability, and regulatory reform are increasingly viewed as essential infrastructure for healthy democratic discourse.</w:t>
      </w:r>
    </w:p>
    <w:p w14:paraId="67E0FC12" w14:textId="77777777" w:rsidR="0088739A" w:rsidRDefault="00000000">
      <w:r>
        <w:br w:type="page"/>
      </w:r>
    </w:p>
    <w:p w14:paraId="3D332A5D" w14:textId="77777777" w:rsidR="0088739A" w:rsidRDefault="00000000">
      <w:pPr>
        <w:spacing w:before="240" w:after="240"/>
        <w:rPr>
          <w:rFonts w:ascii="Times New Roman" w:hAnsi="Times New Roman" w:cs="Times New Roman"/>
          <w:b/>
          <w:sz w:val="32"/>
          <w:szCs w:val="32"/>
        </w:rPr>
      </w:pPr>
      <w:r>
        <w:rPr>
          <w:rFonts w:ascii="Times New Roman" w:hAnsi="Times New Roman" w:cs="Times New Roman"/>
          <w:b/>
          <w:sz w:val="32"/>
          <w:szCs w:val="32"/>
        </w:rPr>
        <w:lastRenderedPageBreak/>
        <w:t>2. METHODOLOGY</w:t>
      </w:r>
    </w:p>
    <w:p w14:paraId="6EECF3DF"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2.1 Research Design</w:t>
      </w:r>
    </w:p>
    <w:p w14:paraId="135493CC"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study follows a mixed-method design that combines a structured literature review with a quantitative survey of public opinion. The literature review draws on 50 years of research across communication, psychology, sociology, and political science. The primary research uses a Google Forms questionnaire to collect respondent data on media usage, trust, and perceived political influence.</w:t>
      </w:r>
    </w:p>
    <w:p w14:paraId="2EB6AE3C"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2.2 Survey Instrument</w:t>
      </w:r>
    </w:p>
    <w:p w14:paraId="31470552"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questionnaire was designed with a mix of multiple-choice, multi-select, and Likert-scale items. Questions covered media platform usage, trust ratings, factors influencing trust, fact-checking habits, perceptions of bias, and the perceived influence of media on political opinion. Care was taken to phrase items in plain language to reduce response bias.</w:t>
      </w:r>
    </w:p>
    <w:p w14:paraId="0CA3E63F"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2.3 Sampling and Data Collection</w:t>
      </w:r>
    </w:p>
    <w:p w14:paraId="06C4AEFF"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Respondents were recruited through online distribution, primarily targeting university students and young professionals. The sample, while not representative of the general population, captures a digital-first audience that is most exposed to evolving media platforms. Responses were collected anonymously through Google Forms.</w:t>
      </w:r>
    </w:p>
    <w:p w14:paraId="427A1147"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2.4 Data Analysis</w:t>
      </w:r>
    </w:p>
    <w:p w14:paraId="5FF5A3D0"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Survey responses were aggregated and analysed using descriptive statistics, with each item summarised by frequency and percentage. The findings were then mapped to the four foundational theoretical frameworks examined in the literature review: agenda-setting, framing, social amplification of risk, and uses and gratifications.</w:t>
      </w:r>
    </w:p>
    <w:p w14:paraId="6D9A464A"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2.5 Theoretical Frameworks</w:t>
      </w:r>
    </w:p>
    <w:p w14:paraId="52877C05"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Agenda-Setting Theory</w:t>
      </w:r>
      <w:r>
        <w:rPr>
          <w:rFonts w:ascii="Times New Roman" w:hAnsi="Times New Roman" w:cs="Times New Roman"/>
          <w:sz w:val="24"/>
          <w:szCs w:val="24"/>
        </w:rPr>
        <w:t xml:space="preserve"> (McCombs &amp; Shaw, 1972) holds that the media may not effectively shape what audiences think, but it strongly shapes what they think about.</w:t>
      </w:r>
    </w:p>
    <w:p w14:paraId="32AD9E77"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Framing Theory</w:t>
      </w:r>
      <w:r>
        <w:rPr>
          <w:rFonts w:ascii="Times New Roman" w:hAnsi="Times New Roman" w:cs="Times New Roman"/>
          <w:sz w:val="24"/>
          <w:szCs w:val="24"/>
        </w:rPr>
        <w:t xml:space="preserve"> (</w:t>
      </w:r>
      <w:proofErr w:type="spellStart"/>
      <w:r>
        <w:rPr>
          <w:rFonts w:ascii="Times New Roman" w:hAnsi="Times New Roman" w:cs="Times New Roman"/>
          <w:sz w:val="24"/>
          <w:szCs w:val="24"/>
        </w:rPr>
        <w:t>Entman</w:t>
      </w:r>
      <w:proofErr w:type="spellEnd"/>
      <w:r>
        <w:rPr>
          <w:rFonts w:ascii="Times New Roman" w:hAnsi="Times New Roman" w:cs="Times New Roman"/>
          <w:sz w:val="24"/>
          <w:szCs w:val="24"/>
        </w:rPr>
        <w:t>, 1993) extends agenda-setting by examining how issues are framed, with the same facts producing different opinions depending on emphasis.</w:t>
      </w:r>
    </w:p>
    <w:p w14:paraId="49A4FC1E"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b/>
          <w:sz w:val="24"/>
          <w:szCs w:val="24"/>
        </w:rPr>
        <w:t>Social Amplification of Risk</w:t>
      </w:r>
      <w:r>
        <w:rPr>
          <w:rFonts w:ascii="Times New Roman" w:hAnsi="Times New Roman" w:cs="Times New Roman"/>
          <w:sz w:val="24"/>
          <w:szCs w:val="24"/>
        </w:rPr>
        <w:t xml:space="preserve"> (Kasperson et al., 1988) describes how media coverage amplifies certain risks beyond their scientific assessment while silencing others.</w:t>
      </w:r>
    </w:p>
    <w:p w14:paraId="5968F046"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Uses and Gratifications</w:t>
      </w:r>
      <w:r>
        <w:rPr>
          <w:rFonts w:ascii="Times New Roman" w:hAnsi="Times New Roman" w:cs="Times New Roman"/>
          <w:sz w:val="24"/>
          <w:szCs w:val="24"/>
        </w:rPr>
        <w:t xml:space="preserve"> (Katz, </w:t>
      </w:r>
      <w:proofErr w:type="spellStart"/>
      <w:r>
        <w:rPr>
          <w:rFonts w:ascii="Times New Roman" w:hAnsi="Times New Roman" w:cs="Times New Roman"/>
          <w:sz w:val="24"/>
          <w:szCs w:val="24"/>
        </w:rPr>
        <w:t>Blumler</w:t>
      </w:r>
      <w:proofErr w:type="spellEnd"/>
      <w:r>
        <w:rPr>
          <w:rFonts w:ascii="Times New Roman" w:hAnsi="Times New Roman" w:cs="Times New Roman"/>
          <w:sz w:val="24"/>
          <w:szCs w:val="24"/>
        </w:rPr>
        <w:t xml:space="preserve"> &amp; Gurevitch, 1974) emphasises that audiences select media to fulfil specific needs, making effects a function of motivation as much as exposure.</w:t>
      </w:r>
    </w:p>
    <w:p w14:paraId="29D6A46B"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2.6 Survey Design Principles</w:t>
      </w:r>
    </w:p>
    <w:p w14:paraId="2A6E616F"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questionnaire was designed following established survey methodology principles. Items were sequenced from general to specific, beginning with platform usage to establish context before moving to attitudinal items on trust and credibility. Likert scales used a balanced 10-point range to capture nuance without overwhelming respondents.</w:t>
      </w:r>
    </w:p>
    <w:p w14:paraId="679C9A84"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Care was taken to avoid leading or double-barrelled questions. For example, instead of asking whether respondents trust media to report “accurately and fairly” (which combines two distinct attributes), separate items addressed source credibility, </w:t>
      </w:r>
      <w:proofErr w:type="gramStart"/>
      <w:r>
        <w:rPr>
          <w:rFonts w:ascii="Times New Roman" w:hAnsi="Times New Roman" w:cs="Times New Roman"/>
          <w:sz w:val="24"/>
          <w:szCs w:val="24"/>
        </w:rPr>
        <w:t>fact-checking</w:t>
      </w:r>
      <w:proofErr w:type="gramEnd"/>
      <w:r>
        <w:rPr>
          <w:rFonts w:ascii="Times New Roman" w:hAnsi="Times New Roman" w:cs="Times New Roman"/>
          <w:sz w:val="24"/>
          <w:szCs w:val="24"/>
        </w:rPr>
        <w:t>, and reporting quality. Multi-select items were used where respondents could legitimately hold multiple views, avoiding forced single-choice trade-offs that distort response distributions.</w:t>
      </w:r>
    </w:p>
    <w:p w14:paraId="7DE0A6D2"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2.7 Ethical Considerations</w:t>
      </w:r>
    </w:p>
    <w:p w14:paraId="2E6CC392"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Participation was voluntary and anonymous. The survey landing page disclosed the academic purpose of the study and stated that no personally identifying information would be collected or stored. Respondents could exit at any point without penalty, and incomplete responses were not retained beyond the basic count needed for response-rate reporting.</w:t>
      </w:r>
    </w:p>
    <w:p w14:paraId="1D97867E"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Data was processed in aggregate. No individual response was singled out for analysis or quotation in the report. The study posed minimal risk to participants and required no formal ethical clearance under the institution’s standards for unfunded student research.</w:t>
      </w:r>
    </w:p>
    <w:p w14:paraId="590F4A11"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2.8 Limitations of the Methodology</w:t>
      </w:r>
    </w:p>
    <w:p w14:paraId="3A995427"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methodology has known limitations. The sample is non-probability and skews toward digitally connected, younger respondents. Self-reported measures may overstate behaviour due to social desirability bias. The cross-sectional design cannot establish causal relationships between exposure and opinion change.</w:t>
      </w:r>
    </w:p>
    <w:p w14:paraId="273E3E2D" w14:textId="77777777" w:rsidR="0088739A" w:rsidRDefault="00000000">
      <w:r>
        <w:br w:type="page"/>
      </w:r>
    </w:p>
    <w:p w14:paraId="19E40E4E" w14:textId="77777777" w:rsidR="0088739A" w:rsidRDefault="00000000">
      <w:pPr>
        <w:spacing w:before="240" w:after="240"/>
        <w:rPr>
          <w:rFonts w:ascii="Times New Roman" w:hAnsi="Times New Roman" w:cs="Times New Roman"/>
          <w:b/>
          <w:sz w:val="32"/>
          <w:szCs w:val="32"/>
        </w:rPr>
      </w:pPr>
      <w:r>
        <w:rPr>
          <w:rFonts w:ascii="Times New Roman" w:hAnsi="Times New Roman" w:cs="Times New Roman"/>
          <w:b/>
          <w:sz w:val="32"/>
          <w:szCs w:val="32"/>
        </w:rPr>
        <w:lastRenderedPageBreak/>
        <w:t>3. TOOLS AND TECHNOLOGIES</w:t>
      </w:r>
    </w:p>
    <w:p w14:paraId="5D058486"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project relied on widely accessible digital tools for survey design, distribution, and analysis. The choice of tools was driven by ease of access, reliability, and zero-cost availability for student research.</w:t>
      </w:r>
    </w:p>
    <w:p w14:paraId="37B9FFBE"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3.1 Survey Platform</w:t>
      </w:r>
    </w:p>
    <w:p w14:paraId="7594E78C"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Google Forms was used to design and host the questionnaire. It supports multiple question types including single-select, multi-select, Likert scales, and free-text responses. It also automatically aggregates responses into a Google Sheet for analysis.</w:t>
      </w:r>
    </w:p>
    <w:p w14:paraId="6C83E9A8"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3.2 Data Analysis</w:t>
      </w:r>
    </w:p>
    <w:p w14:paraId="1BA7BF5B"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Google Sheets was used for tabulation and computation of frequencies and percentages. The built-in chart tools rendered the visualisations included in this report.</w:t>
      </w:r>
    </w:p>
    <w:p w14:paraId="0D64BA23"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3.3 Literature Sources</w:t>
      </w:r>
    </w:p>
    <w:p w14:paraId="6C458D68"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Peer-reviewed journals, books, and reputable research repositories were consulted, including the Public Opinion Quarterly, Journal of Communication, Annual Review of Political Science, Risk Analysis, and Pew Research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 xml:space="preserve"> publications.</w:t>
      </w:r>
    </w:p>
    <w:p w14:paraId="434EAD91"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3.4 Documentation</w:t>
      </w:r>
    </w:p>
    <w:p w14:paraId="3C6564F9"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Microsoft Word was used for report drafting and formatting per the prescribed institutional template. Reference management was handled manually, with citations following a consistent IEEE-like format.</w:t>
      </w:r>
    </w:p>
    <w:p w14:paraId="18DF815F"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3.5 Tool Selection Rationale</w:t>
      </w:r>
    </w:p>
    <w:p w14:paraId="5172D5FA"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Tools were chosen based on four criteria: zero or low cost, accessibility from any device, reliability for unattended data collection, and compatibility with downstream analysis. Google Forms met all four criteria as the primary survey instrument. Its automatic synchronisation with Google Sheets eliminated manual data export steps and reduced transcription errors.</w:t>
      </w:r>
    </w:p>
    <w:p w14:paraId="3D87C810"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For visualisation, Google Sheets’ native chart engine was preferred over external tools because it stays in sync with the underlying response data. When new responses arrived, charts updated automatically, ensuring that the report always reflected the most recent dataset. This avoided the common pitfall of stale screenshots or hand-edited figures drifting from the source.</w:t>
      </w:r>
    </w:p>
    <w:p w14:paraId="1D12EB67"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lastRenderedPageBreak/>
        <w:t>3.6 Limitations of the Toolset</w:t>
      </w:r>
    </w:p>
    <w:p w14:paraId="79DD7CDF"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chosen toolset has known constraints. Google Forms does not natively support survey logic such as branching or skip patterns based on prior answers. This limited the ability to ask follow-up questions tailored to specific response paths. Google Sheets’ chart engine, while convenient, offers limited control over visual styling, which is why the figures in this report use the default chart aesthetic rather than a customised house style.</w:t>
      </w:r>
    </w:p>
    <w:p w14:paraId="410C6887"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More advanced platforms such as Qualtrics or SurveyMonkey would address some of these gaps but require paid plans for the response volumes typical of a graded research project. For the scope of this study, the trade-off favoured accessibility over feature depth.</w:t>
      </w:r>
    </w:p>
    <w:p w14:paraId="1412E414" w14:textId="77777777" w:rsidR="0088739A" w:rsidRDefault="00000000">
      <w:r>
        <w:br w:type="page"/>
      </w:r>
    </w:p>
    <w:p w14:paraId="33C48F5C" w14:textId="77777777" w:rsidR="0088739A" w:rsidRDefault="00000000">
      <w:pPr>
        <w:spacing w:before="240" w:after="240"/>
        <w:rPr>
          <w:rFonts w:ascii="Times New Roman" w:hAnsi="Times New Roman" w:cs="Times New Roman"/>
          <w:b/>
          <w:sz w:val="32"/>
          <w:szCs w:val="32"/>
        </w:rPr>
      </w:pPr>
      <w:r>
        <w:rPr>
          <w:rFonts w:ascii="Times New Roman" w:hAnsi="Times New Roman" w:cs="Times New Roman"/>
          <w:b/>
          <w:sz w:val="32"/>
          <w:szCs w:val="32"/>
        </w:rPr>
        <w:lastRenderedPageBreak/>
        <w:t>4. IMPLEMENTATION</w:t>
      </w:r>
    </w:p>
    <w:p w14:paraId="16BC89D3"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4.1 Survey Design Phase</w:t>
      </w:r>
    </w:p>
    <w:p w14:paraId="5A002F7A"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questionnaire was structured around five thematic blocks: media platform usage, trust ratings, factors influencing trust, fact-checking habits, and the perceived influence of media on political opinion. Each block contained 2 to 4 items to minimise respondent fatigue while capturing rich data.</w:t>
      </w:r>
    </w:p>
    <w:p w14:paraId="542A54A1"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4.2 Pilot Testing</w:t>
      </w:r>
    </w:p>
    <w:p w14:paraId="76FD813F"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Before full distribution, the survey was tested with a small group of peers to identify ambiguous wording and flow issues. Minor edits were made to question phrasing to improve clarity and to ensure response options were mutually exclusive where required.</w:t>
      </w:r>
    </w:p>
    <w:p w14:paraId="76544924"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4.3 Distribution</w:t>
      </w:r>
    </w:p>
    <w:p w14:paraId="1A86E2A4"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finalised survey link was distributed across personal networks, university group chats, and social media. Distribution remained open for two weeks to allow for varied response timing. No personally identifying information was collected.</w:t>
      </w:r>
    </w:p>
    <w:p w14:paraId="43B16B18"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4.4 Response Collection</w:t>
      </w:r>
    </w:p>
    <w:p w14:paraId="0866566F"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Responses were captured automatically by Google Forms and synced to a Google Sheet in real time. The dataset was then cleaned: duplicate or incomplete responses were removed, and free-text answers were lightly normalised.</w:t>
      </w:r>
    </w:p>
    <w:p w14:paraId="590E8437"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4.5 Mapping to Theory</w:t>
      </w:r>
    </w:p>
    <w:p w14:paraId="1CF30C0C"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Each item was mapped to the relevant theoretical framework. For example, the news-topic salience question maps to agenda-setting; the unbiased-reporting expectation maps to framing; trust ratings and factor rankings inform uses and gratifications; questions on misinformation exposure inform the social amplification of risk lens.</w:t>
      </w:r>
    </w:p>
    <w:p w14:paraId="3321E893"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4.6 Visualisation</w:t>
      </w:r>
    </w:p>
    <w:p w14:paraId="36E41C6E"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Charts were generated to visualise the distribution of responses for each item. Pie and bar charts were chosen based on the nature of the underlying variable (categorical vs ordinal). Each visualisation is accompanied by an interpretive note in the Findings section.</w:t>
      </w:r>
    </w:p>
    <w:p w14:paraId="6823774F"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4.7 Project Timeline</w:t>
      </w:r>
    </w:p>
    <w:p w14:paraId="33A4F940"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project was executed over approximately eight weeks, beginning with literature review and theory mapping. Week one to two covered background research and theory mapping. Week three was devoted to questionnaire design and pilot testing. Weeks four and five handled distribution and response collection. Week six was set aside for cleaning and analysis, and weeks seven and eight covered drafting, formatting, and review.</w:t>
      </w:r>
    </w:p>
    <w:p w14:paraId="5AFAE723"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Time pressure during distribution was managed by leveraging existing networks rather than cold-recruiting strangers, which materially reduced the number of days needed to reach the target response count. The pilot test was conducted with five peers and revealed two ambiguous items that were rewritten before full release.</w:t>
      </w:r>
    </w:p>
    <w:p w14:paraId="66821037"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4.8 Challenges and Mitigations</w:t>
      </w:r>
    </w:p>
    <w:p w14:paraId="26B4FA67"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Three challenges emerged during implementation. First, response rates were initially low; this was mitigated by personalised outreach and reminder messages, which roughly doubled the response volume in the second week. Second, several respondents skipped the multi-select items entirely, suggesting fatigue or confusion; we improved this by simplifying the wording and reducing the number of options per item. Third, free-text responses produced unstructured data that required manual normalisation; we kept free-text fields to a minimum to limit this overhead.</w:t>
      </w:r>
    </w:p>
    <w:p w14:paraId="07F714E4"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Each challenge informed methodological refinements that would strengthen any follow-up study. The mitigations adopted here represent practical lessons rather than novel methodological contributions.</w:t>
      </w:r>
    </w:p>
    <w:p w14:paraId="2CE92FA5" w14:textId="77777777" w:rsidR="0088739A" w:rsidRDefault="00000000">
      <w:r>
        <w:br w:type="page"/>
      </w:r>
    </w:p>
    <w:p w14:paraId="08D584FE" w14:textId="77777777" w:rsidR="0088739A" w:rsidRDefault="00000000">
      <w:pPr>
        <w:spacing w:before="240" w:after="240"/>
        <w:rPr>
          <w:rFonts w:ascii="Times New Roman" w:hAnsi="Times New Roman" w:cs="Times New Roman"/>
          <w:b/>
          <w:sz w:val="32"/>
          <w:szCs w:val="32"/>
        </w:rPr>
      </w:pPr>
      <w:r>
        <w:rPr>
          <w:rFonts w:ascii="Times New Roman" w:hAnsi="Times New Roman" w:cs="Times New Roman"/>
          <w:b/>
          <w:sz w:val="32"/>
          <w:szCs w:val="32"/>
        </w:rPr>
        <w:lastRenderedPageBreak/>
        <w:t>5. MAJOR FINDINGS / RESULTS</w:t>
      </w:r>
    </w:p>
    <w:p w14:paraId="025BB2A8"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This section summarises the eight headline findings from the survey. Each is paired with an interpretive insight that connects observed behaviour to the theoretical frameworks discussed earlier.</w:t>
      </w:r>
    </w:p>
    <w:p w14:paraId="12E19B38"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5.1 Media Platform Usage</w:t>
      </w:r>
    </w:p>
    <w:p w14:paraId="740C720F"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Approximately 89.5% of respondents reported social media as their most-used platform, vastly outpacing newspapers, podcasts, and radio. Despite this dominance, the credibility of social media remains questionable, creating a clear gap between usage frequency and perceived trustworthiness.</w:t>
      </w:r>
    </w:p>
    <w:p w14:paraId="1C809B91"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5.2 Trust in Media</w:t>
      </w:r>
    </w:p>
    <w:p w14:paraId="0CDCD5BB"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Trust ratings clustered between 5 and 7 on a 10-point scale. This indicates moderate trust paired with active </w:t>
      </w:r>
      <w:proofErr w:type="spellStart"/>
      <w:r>
        <w:rPr>
          <w:rFonts w:ascii="Times New Roman" w:hAnsi="Times New Roman" w:cs="Times New Roman"/>
          <w:sz w:val="24"/>
          <w:szCs w:val="24"/>
        </w:rPr>
        <w:t>skepticism</w:t>
      </w:r>
      <w:proofErr w:type="spellEnd"/>
      <w:r>
        <w:rPr>
          <w:rFonts w:ascii="Times New Roman" w:hAnsi="Times New Roman" w:cs="Times New Roman"/>
          <w:sz w:val="24"/>
          <w:szCs w:val="24"/>
        </w:rPr>
        <w:t>. Audiences are not blindly trusting media, yet critical thinking is not strong enough to result in outright rejection of mainstream channels.</w:t>
      </w:r>
    </w:p>
    <w:p w14:paraId="0F00286D"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5.3 Factors Influencing Trust</w:t>
      </w:r>
    </w:p>
    <w:p w14:paraId="141B87A3"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Source credibility (63.2%) and </w:t>
      </w:r>
      <w:proofErr w:type="gramStart"/>
      <w:r>
        <w:rPr>
          <w:rFonts w:ascii="Times New Roman" w:hAnsi="Times New Roman" w:cs="Times New Roman"/>
          <w:sz w:val="24"/>
          <w:szCs w:val="24"/>
        </w:rPr>
        <w:t>fact-checking</w:t>
      </w:r>
      <w:proofErr w:type="gramEnd"/>
      <w:r>
        <w:rPr>
          <w:rFonts w:ascii="Times New Roman" w:hAnsi="Times New Roman" w:cs="Times New Roman"/>
          <w:sz w:val="24"/>
          <w:szCs w:val="24"/>
        </w:rPr>
        <w:t xml:space="preserve"> (57.9%) emerged as the most significant trust drivers, followed by quality of reporting (52.6%) and personal experience (47.4%). Peer recommendations and outlet reputation tied at 26.3%, suggesting trust is becoming evidence-based rather than brand-based.</w:t>
      </w:r>
    </w:p>
    <w:p w14:paraId="7F2F27DE"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5.4 News Topics Considered Important</w:t>
      </w:r>
    </w:p>
    <w:p w14:paraId="4F195D91"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Social Issues and Science &amp; Technology tied at 68.4% as the most important news categories, followed by Politics and Entertainment at 63.2% each. Health (36.8%) and Economics (42.1%) received less emphasis. The audience leans towards progressive and innovation-driven content.</w:t>
      </w:r>
    </w:p>
    <w:p w14:paraId="1B276F80"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5.5 Media Influence on Political Perception</w:t>
      </w:r>
    </w:p>
    <w:p w14:paraId="52ED4396" w14:textId="77777777" w:rsidR="0088739A" w:rsidRDefault="00000000">
      <w:pPr>
        <w:spacing w:after="12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The majority of</w:t>
      </w:r>
      <w:proofErr w:type="gramEnd"/>
      <w:r>
        <w:rPr>
          <w:rFonts w:ascii="Times New Roman" w:hAnsi="Times New Roman" w:cs="Times New Roman"/>
          <w:sz w:val="24"/>
          <w:szCs w:val="24"/>
        </w:rPr>
        <w:t xml:space="preserve"> respondents rated media’s influence on political perception between 6 and 9 on a 10-point scale. This confirms a strong belief that media meaningfully shapes political narratives, reinforcing classic agenda-setting theory in a digital context.</w:t>
      </w:r>
    </w:p>
    <w:p w14:paraId="7346B345"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5.6 Responsibility for Unbiased Information</w:t>
      </w:r>
    </w:p>
    <w:p w14:paraId="7A585FD7"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Roughly 73% of respondents agreed or strongly agreed that media has a responsibility to present unbiased information. The expectation gap is notable: people demand neutrality even while consuming platforms known for partisan framing.</w:t>
      </w:r>
    </w:p>
    <w:p w14:paraId="2B61AC06"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5.7 Fact-Checking Behaviour</w:t>
      </w:r>
    </w:p>
    <w:p w14:paraId="5D1131D4"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Fact-checking ratings clustered between 4 and 8 on a 10-point scale. Awareness of misinformation exists, but verification practices are inconsistent. Awareness without discipline limits the protective effect of media literacy.</w:t>
      </w:r>
    </w:p>
    <w:p w14:paraId="77B16F13"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5.8 Preferred Media Influence</w:t>
      </w:r>
    </w:p>
    <w:p w14:paraId="6CFF1CAB"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When asked which channel should ideally influence opinion, respondents leaned toward traditional media despite consuming social media most. This highlights a credibility deficit in digital channels even as they dominate daily attention.</w:t>
      </w:r>
    </w:p>
    <w:p w14:paraId="11FBB433"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5.9 Summary Table</w:t>
      </w:r>
    </w:p>
    <w:p w14:paraId="003CC78C"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table below summarises the key results and the corresponding insight for each survey aspect.</w:t>
      </w:r>
    </w:p>
    <w:tbl>
      <w:tblPr>
        <w:tblW w:w="9000" w:type="dxa"/>
        <w:jc w:val="center"/>
        <w:tblBorders>
          <w:top w:val="single" w:sz="6" w:space="0" w:color="000000"/>
          <w:left w:val="single" w:sz="6" w:space="0" w:color="000000"/>
          <w:bottom w:val="single" w:sz="6" w:space="0" w:color="000000"/>
          <w:right w:val="single" w:sz="6" w:space="0" w:color="000000"/>
          <w:insideH w:val="single" w:sz="4" w:space="0" w:color="888888"/>
          <w:insideV w:val="single" w:sz="4" w:space="0" w:color="888888"/>
        </w:tblBorders>
        <w:tblLook w:val="04A0" w:firstRow="1" w:lastRow="0" w:firstColumn="1" w:lastColumn="0" w:noHBand="0" w:noVBand="1"/>
      </w:tblPr>
      <w:tblGrid>
        <w:gridCol w:w="2700"/>
        <w:gridCol w:w="3000"/>
        <w:gridCol w:w="3300"/>
      </w:tblGrid>
      <w:tr w:rsidR="0088739A" w14:paraId="5917A8A8" w14:textId="77777777">
        <w:trPr>
          <w:jc w:val="center"/>
        </w:trPr>
        <w:tc>
          <w:tcPr>
            <w:tcW w:w="2700" w:type="dxa"/>
            <w:shd w:val="clear" w:color="auto" w:fill="D9E2F3"/>
          </w:tcPr>
          <w:p w14:paraId="36BFF01F" w14:textId="77777777" w:rsidR="0088739A" w:rsidRDefault="00000000">
            <w:pPr>
              <w:spacing w:before="60" w:after="60"/>
              <w:rPr>
                <w:rFonts w:ascii="Times New Roman" w:hAnsi="Times New Roman" w:cs="Times New Roman"/>
                <w:b/>
              </w:rPr>
            </w:pPr>
            <w:r>
              <w:rPr>
                <w:rFonts w:ascii="Times New Roman" w:hAnsi="Times New Roman" w:cs="Times New Roman"/>
                <w:b/>
              </w:rPr>
              <w:t>Survey Aspect</w:t>
            </w:r>
          </w:p>
        </w:tc>
        <w:tc>
          <w:tcPr>
            <w:tcW w:w="3000" w:type="dxa"/>
            <w:shd w:val="clear" w:color="auto" w:fill="D9E2F3"/>
          </w:tcPr>
          <w:p w14:paraId="7C6B99D2" w14:textId="77777777" w:rsidR="0088739A" w:rsidRDefault="00000000">
            <w:pPr>
              <w:spacing w:before="60" w:after="60"/>
              <w:rPr>
                <w:rFonts w:ascii="Times New Roman" w:hAnsi="Times New Roman" w:cs="Times New Roman"/>
                <w:b/>
              </w:rPr>
            </w:pPr>
            <w:r>
              <w:rPr>
                <w:rFonts w:ascii="Times New Roman" w:hAnsi="Times New Roman" w:cs="Times New Roman"/>
                <w:b/>
              </w:rPr>
              <w:t>Key Result</w:t>
            </w:r>
          </w:p>
        </w:tc>
        <w:tc>
          <w:tcPr>
            <w:tcW w:w="3300" w:type="dxa"/>
            <w:shd w:val="clear" w:color="auto" w:fill="D9E2F3"/>
          </w:tcPr>
          <w:p w14:paraId="46F8FD3B" w14:textId="77777777" w:rsidR="0088739A" w:rsidRDefault="00000000">
            <w:pPr>
              <w:spacing w:before="60" w:after="60"/>
              <w:rPr>
                <w:rFonts w:ascii="Times New Roman" w:hAnsi="Times New Roman" w:cs="Times New Roman"/>
                <w:b/>
              </w:rPr>
            </w:pPr>
            <w:r>
              <w:rPr>
                <w:rFonts w:ascii="Times New Roman" w:hAnsi="Times New Roman" w:cs="Times New Roman"/>
                <w:b/>
              </w:rPr>
              <w:t>Insight</w:t>
            </w:r>
          </w:p>
        </w:tc>
      </w:tr>
      <w:tr w:rsidR="0088739A" w14:paraId="500FD290" w14:textId="77777777">
        <w:trPr>
          <w:jc w:val="center"/>
        </w:trPr>
        <w:tc>
          <w:tcPr>
            <w:tcW w:w="2700" w:type="dxa"/>
          </w:tcPr>
          <w:p w14:paraId="7BAE2845" w14:textId="77777777" w:rsidR="0088739A" w:rsidRDefault="00000000">
            <w:pPr>
              <w:spacing w:before="60" w:after="60"/>
              <w:rPr>
                <w:rFonts w:ascii="Times New Roman" w:hAnsi="Times New Roman" w:cs="Times New Roman"/>
              </w:rPr>
            </w:pPr>
            <w:r>
              <w:rPr>
                <w:rFonts w:ascii="Times New Roman" w:hAnsi="Times New Roman" w:cs="Times New Roman"/>
              </w:rPr>
              <w:t>Media Platform Usage</w:t>
            </w:r>
          </w:p>
        </w:tc>
        <w:tc>
          <w:tcPr>
            <w:tcW w:w="3000" w:type="dxa"/>
          </w:tcPr>
          <w:p w14:paraId="634BC6D7" w14:textId="77777777" w:rsidR="0088739A" w:rsidRDefault="00000000">
            <w:pPr>
              <w:spacing w:before="60" w:after="60"/>
              <w:rPr>
                <w:rFonts w:ascii="Times New Roman" w:hAnsi="Times New Roman" w:cs="Times New Roman"/>
              </w:rPr>
            </w:pPr>
            <w:r>
              <w:rPr>
                <w:rFonts w:ascii="Times New Roman" w:hAnsi="Times New Roman" w:cs="Times New Roman"/>
              </w:rPr>
              <w:t>~89.5% prefer social media</w:t>
            </w:r>
          </w:p>
        </w:tc>
        <w:tc>
          <w:tcPr>
            <w:tcW w:w="3300" w:type="dxa"/>
          </w:tcPr>
          <w:p w14:paraId="6D1815F9" w14:textId="77777777" w:rsidR="0088739A" w:rsidRDefault="00000000">
            <w:pPr>
              <w:spacing w:before="60" w:after="60"/>
              <w:rPr>
                <w:rFonts w:ascii="Times New Roman" w:hAnsi="Times New Roman" w:cs="Times New Roman"/>
              </w:rPr>
            </w:pPr>
            <w:r>
              <w:rPr>
                <w:rFonts w:ascii="Times New Roman" w:hAnsi="Times New Roman" w:cs="Times New Roman"/>
              </w:rPr>
              <w:t>Digital dominates despite credibility concerns</w:t>
            </w:r>
          </w:p>
        </w:tc>
      </w:tr>
      <w:tr w:rsidR="0088739A" w14:paraId="0A76768A" w14:textId="77777777">
        <w:trPr>
          <w:jc w:val="center"/>
        </w:trPr>
        <w:tc>
          <w:tcPr>
            <w:tcW w:w="2700" w:type="dxa"/>
          </w:tcPr>
          <w:p w14:paraId="0A0DC7BD" w14:textId="77777777" w:rsidR="0088739A" w:rsidRDefault="00000000">
            <w:pPr>
              <w:spacing w:before="60" w:after="60"/>
              <w:rPr>
                <w:rFonts w:ascii="Times New Roman" w:hAnsi="Times New Roman" w:cs="Times New Roman"/>
              </w:rPr>
            </w:pPr>
            <w:r>
              <w:rPr>
                <w:rFonts w:ascii="Times New Roman" w:hAnsi="Times New Roman" w:cs="Times New Roman"/>
              </w:rPr>
              <w:t>Trust in Media</w:t>
            </w:r>
          </w:p>
        </w:tc>
        <w:tc>
          <w:tcPr>
            <w:tcW w:w="3000" w:type="dxa"/>
          </w:tcPr>
          <w:p w14:paraId="4DB466F1" w14:textId="77777777" w:rsidR="0088739A" w:rsidRDefault="00000000">
            <w:pPr>
              <w:spacing w:before="60" w:after="60"/>
              <w:rPr>
                <w:rFonts w:ascii="Times New Roman" w:hAnsi="Times New Roman" w:cs="Times New Roman"/>
              </w:rPr>
            </w:pPr>
            <w:r>
              <w:rPr>
                <w:rFonts w:ascii="Times New Roman" w:hAnsi="Times New Roman" w:cs="Times New Roman"/>
              </w:rPr>
              <w:t>Mostly rated 5–7 of 10</w:t>
            </w:r>
          </w:p>
        </w:tc>
        <w:tc>
          <w:tcPr>
            <w:tcW w:w="3300" w:type="dxa"/>
          </w:tcPr>
          <w:p w14:paraId="1CDDF7C1" w14:textId="77777777" w:rsidR="0088739A" w:rsidRDefault="00000000">
            <w:pPr>
              <w:spacing w:before="60" w:after="60"/>
              <w:rPr>
                <w:rFonts w:ascii="Times New Roman" w:hAnsi="Times New Roman" w:cs="Times New Roman"/>
              </w:rPr>
            </w:pPr>
            <w:r>
              <w:rPr>
                <w:rFonts w:ascii="Times New Roman" w:hAnsi="Times New Roman" w:cs="Times New Roman"/>
              </w:rPr>
              <w:t xml:space="preserve">Moderate trust with noticeable </w:t>
            </w:r>
            <w:proofErr w:type="spellStart"/>
            <w:r>
              <w:rPr>
                <w:rFonts w:ascii="Times New Roman" w:hAnsi="Times New Roman" w:cs="Times New Roman"/>
              </w:rPr>
              <w:t>skepticism</w:t>
            </w:r>
            <w:proofErr w:type="spellEnd"/>
          </w:p>
        </w:tc>
      </w:tr>
      <w:tr w:rsidR="0088739A" w14:paraId="3826915A" w14:textId="77777777">
        <w:trPr>
          <w:jc w:val="center"/>
        </w:trPr>
        <w:tc>
          <w:tcPr>
            <w:tcW w:w="2700" w:type="dxa"/>
          </w:tcPr>
          <w:p w14:paraId="7DAE5449" w14:textId="77777777" w:rsidR="0088739A" w:rsidRDefault="00000000">
            <w:pPr>
              <w:spacing w:before="60" w:after="60"/>
              <w:rPr>
                <w:rFonts w:ascii="Times New Roman" w:hAnsi="Times New Roman" w:cs="Times New Roman"/>
              </w:rPr>
            </w:pPr>
            <w:r>
              <w:rPr>
                <w:rFonts w:ascii="Times New Roman" w:hAnsi="Times New Roman" w:cs="Times New Roman"/>
              </w:rPr>
              <w:t>Factors Influencing Trust</w:t>
            </w:r>
          </w:p>
        </w:tc>
        <w:tc>
          <w:tcPr>
            <w:tcW w:w="3000" w:type="dxa"/>
          </w:tcPr>
          <w:p w14:paraId="23E471A7" w14:textId="77777777" w:rsidR="0088739A" w:rsidRDefault="00000000">
            <w:pPr>
              <w:spacing w:before="60" w:after="60"/>
              <w:rPr>
                <w:rFonts w:ascii="Times New Roman" w:hAnsi="Times New Roman" w:cs="Times New Roman"/>
              </w:rPr>
            </w:pPr>
            <w:r>
              <w:rPr>
                <w:rFonts w:ascii="Times New Roman" w:hAnsi="Times New Roman" w:cs="Times New Roman"/>
              </w:rPr>
              <w:t>Credibility 63%, Fact-check 58%</w:t>
            </w:r>
          </w:p>
        </w:tc>
        <w:tc>
          <w:tcPr>
            <w:tcW w:w="3300" w:type="dxa"/>
          </w:tcPr>
          <w:p w14:paraId="0DE8D456" w14:textId="77777777" w:rsidR="0088739A" w:rsidRDefault="00000000">
            <w:pPr>
              <w:spacing w:before="60" w:after="60"/>
              <w:rPr>
                <w:rFonts w:ascii="Times New Roman" w:hAnsi="Times New Roman" w:cs="Times New Roman"/>
              </w:rPr>
            </w:pPr>
            <w:r>
              <w:rPr>
                <w:rFonts w:ascii="Times New Roman" w:hAnsi="Times New Roman" w:cs="Times New Roman"/>
              </w:rPr>
              <w:t>Trust is verification-driven, not brand-driven</w:t>
            </w:r>
          </w:p>
        </w:tc>
      </w:tr>
      <w:tr w:rsidR="0088739A" w14:paraId="368F7DCB" w14:textId="77777777">
        <w:trPr>
          <w:jc w:val="center"/>
        </w:trPr>
        <w:tc>
          <w:tcPr>
            <w:tcW w:w="2700" w:type="dxa"/>
          </w:tcPr>
          <w:p w14:paraId="3AA306AF" w14:textId="77777777" w:rsidR="0088739A" w:rsidRDefault="00000000">
            <w:pPr>
              <w:spacing w:before="60" w:after="60"/>
              <w:rPr>
                <w:rFonts w:ascii="Times New Roman" w:hAnsi="Times New Roman" w:cs="Times New Roman"/>
              </w:rPr>
            </w:pPr>
            <w:r>
              <w:rPr>
                <w:rFonts w:ascii="Times New Roman" w:hAnsi="Times New Roman" w:cs="Times New Roman"/>
              </w:rPr>
              <w:t>Important News Types</w:t>
            </w:r>
          </w:p>
        </w:tc>
        <w:tc>
          <w:tcPr>
            <w:tcW w:w="3000" w:type="dxa"/>
          </w:tcPr>
          <w:p w14:paraId="1B442B03" w14:textId="77777777" w:rsidR="0088739A" w:rsidRDefault="00000000">
            <w:pPr>
              <w:spacing w:before="60" w:after="60"/>
              <w:rPr>
                <w:rFonts w:ascii="Times New Roman" w:hAnsi="Times New Roman" w:cs="Times New Roman"/>
              </w:rPr>
            </w:pPr>
            <w:r>
              <w:rPr>
                <w:rFonts w:ascii="Times New Roman" w:hAnsi="Times New Roman" w:cs="Times New Roman"/>
              </w:rPr>
              <w:t>Social &amp; Science/Tech ~68%</w:t>
            </w:r>
          </w:p>
        </w:tc>
        <w:tc>
          <w:tcPr>
            <w:tcW w:w="3300" w:type="dxa"/>
          </w:tcPr>
          <w:p w14:paraId="2132D7DA" w14:textId="77777777" w:rsidR="0088739A" w:rsidRDefault="00000000">
            <w:pPr>
              <w:spacing w:before="60" w:after="60"/>
              <w:rPr>
                <w:rFonts w:ascii="Times New Roman" w:hAnsi="Times New Roman" w:cs="Times New Roman"/>
              </w:rPr>
            </w:pPr>
            <w:r>
              <w:rPr>
                <w:rFonts w:ascii="Times New Roman" w:hAnsi="Times New Roman" w:cs="Times New Roman"/>
              </w:rPr>
              <w:t>Audience prefers progressive content</w:t>
            </w:r>
          </w:p>
        </w:tc>
      </w:tr>
      <w:tr w:rsidR="0088739A" w14:paraId="7D791D7C" w14:textId="77777777">
        <w:trPr>
          <w:jc w:val="center"/>
        </w:trPr>
        <w:tc>
          <w:tcPr>
            <w:tcW w:w="2700" w:type="dxa"/>
          </w:tcPr>
          <w:p w14:paraId="39D9A60B" w14:textId="77777777" w:rsidR="0088739A" w:rsidRDefault="00000000">
            <w:pPr>
              <w:spacing w:before="60" w:after="60"/>
              <w:rPr>
                <w:rFonts w:ascii="Times New Roman" w:hAnsi="Times New Roman" w:cs="Times New Roman"/>
              </w:rPr>
            </w:pPr>
            <w:r>
              <w:rPr>
                <w:rFonts w:ascii="Times New Roman" w:hAnsi="Times New Roman" w:cs="Times New Roman"/>
              </w:rPr>
              <w:t>Media Influence on Politics</w:t>
            </w:r>
          </w:p>
        </w:tc>
        <w:tc>
          <w:tcPr>
            <w:tcW w:w="3000" w:type="dxa"/>
          </w:tcPr>
          <w:p w14:paraId="6DC3D0E8" w14:textId="77777777" w:rsidR="0088739A" w:rsidRDefault="00000000">
            <w:pPr>
              <w:spacing w:before="60" w:after="60"/>
              <w:rPr>
                <w:rFonts w:ascii="Times New Roman" w:hAnsi="Times New Roman" w:cs="Times New Roman"/>
              </w:rPr>
            </w:pPr>
            <w:r>
              <w:rPr>
                <w:rFonts w:ascii="Times New Roman" w:hAnsi="Times New Roman" w:cs="Times New Roman"/>
              </w:rPr>
              <w:t>Majority rated 6–9 of 10</w:t>
            </w:r>
          </w:p>
        </w:tc>
        <w:tc>
          <w:tcPr>
            <w:tcW w:w="3300" w:type="dxa"/>
          </w:tcPr>
          <w:p w14:paraId="0C32371D" w14:textId="77777777" w:rsidR="0088739A" w:rsidRDefault="00000000">
            <w:pPr>
              <w:spacing w:before="60" w:after="60"/>
              <w:rPr>
                <w:rFonts w:ascii="Times New Roman" w:hAnsi="Times New Roman" w:cs="Times New Roman"/>
              </w:rPr>
            </w:pPr>
            <w:r>
              <w:rPr>
                <w:rFonts w:ascii="Times New Roman" w:hAnsi="Times New Roman" w:cs="Times New Roman"/>
              </w:rPr>
              <w:t>Media strongly shapes political perception</w:t>
            </w:r>
          </w:p>
        </w:tc>
      </w:tr>
      <w:tr w:rsidR="0088739A" w14:paraId="0CDE73A1" w14:textId="77777777">
        <w:trPr>
          <w:jc w:val="center"/>
        </w:trPr>
        <w:tc>
          <w:tcPr>
            <w:tcW w:w="2700" w:type="dxa"/>
          </w:tcPr>
          <w:p w14:paraId="2A6D28F7" w14:textId="77777777" w:rsidR="0088739A" w:rsidRDefault="00000000">
            <w:pPr>
              <w:spacing w:before="60" w:after="60"/>
              <w:rPr>
                <w:rFonts w:ascii="Times New Roman" w:hAnsi="Times New Roman" w:cs="Times New Roman"/>
              </w:rPr>
            </w:pPr>
            <w:r>
              <w:rPr>
                <w:rFonts w:ascii="Times New Roman" w:hAnsi="Times New Roman" w:cs="Times New Roman"/>
              </w:rPr>
              <w:t>Responsibility for Unbiased Info</w:t>
            </w:r>
          </w:p>
        </w:tc>
        <w:tc>
          <w:tcPr>
            <w:tcW w:w="3000" w:type="dxa"/>
          </w:tcPr>
          <w:p w14:paraId="38C95C94" w14:textId="77777777" w:rsidR="0088739A" w:rsidRDefault="00000000">
            <w:pPr>
              <w:spacing w:before="60" w:after="60"/>
              <w:rPr>
                <w:rFonts w:ascii="Times New Roman" w:hAnsi="Times New Roman" w:cs="Times New Roman"/>
              </w:rPr>
            </w:pPr>
            <w:r>
              <w:rPr>
                <w:rFonts w:ascii="Times New Roman" w:hAnsi="Times New Roman" w:cs="Times New Roman"/>
              </w:rPr>
              <w:t>~73% agree or strongly agree</w:t>
            </w:r>
          </w:p>
        </w:tc>
        <w:tc>
          <w:tcPr>
            <w:tcW w:w="3300" w:type="dxa"/>
          </w:tcPr>
          <w:p w14:paraId="1FF1733B" w14:textId="77777777" w:rsidR="0088739A" w:rsidRDefault="00000000">
            <w:pPr>
              <w:spacing w:before="60" w:after="60"/>
              <w:rPr>
                <w:rFonts w:ascii="Times New Roman" w:hAnsi="Times New Roman" w:cs="Times New Roman"/>
              </w:rPr>
            </w:pPr>
            <w:r>
              <w:rPr>
                <w:rFonts w:ascii="Times New Roman" w:hAnsi="Times New Roman" w:cs="Times New Roman"/>
              </w:rPr>
              <w:t>High demand for ethical journalism</w:t>
            </w:r>
          </w:p>
        </w:tc>
      </w:tr>
      <w:tr w:rsidR="0088739A" w14:paraId="452480F8" w14:textId="77777777">
        <w:trPr>
          <w:jc w:val="center"/>
        </w:trPr>
        <w:tc>
          <w:tcPr>
            <w:tcW w:w="2700" w:type="dxa"/>
          </w:tcPr>
          <w:p w14:paraId="4D06AF1F" w14:textId="77777777" w:rsidR="0088739A" w:rsidRDefault="00000000">
            <w:pPr>
              <w:spacing w:before="60" w:after="60"/>
              <w:rPr>
                <w:rFonts w:ascii="Times New Roman" w:hAnsi="Times New Roman" w:cs="Times New Roman"/>
              </w:rPr>
            </w:pPr>
            <w:r>
              <w:rPr>
                <w:rFonts w:ascii="Times New Roman" w:hAnsi="Times New Roman" w:cs="Times New Roman"/>
              </w:rPr>
              <w:t>Fact-Checking Behaviour</w:t>
            </w:r>
          </w:p>
        </w:tc>
        <w:tc>
          <w:tcPr>
            <w:tcW w:w="3000" w:type="dxa"/>
          </w:tcPr>
          <w:p w14:paraId="1479049E" w14:textId="77777777" w:rsidR="0088739A" w:rsidRDefault="00000000">
            <w:pPr>
              <w:spacing w:before="60" w:after="60"/>
              <w:rPr>
                <w:rFonts w:ascii="Times New Roman" w:hAnsi="Times New Roman" w:cs="Times New Roman"/>
              </w:rPr>
            </w:pPr>
            <w:r>
              <w:rPr>
                <w:rFonts w:ascii="Times New Roman" w:hAnsi="Times New Roman" w:cs="Times New Roman"/>
              </w:rPr>
              <w:t>Mostly rated 4–8 of 10</w:t>
            </w:r>
          </w:p>
        </w:tc>
        <w:tc>
          <w:tcPr>
            <w:tcW w:w="3300" w:type="dxa"/>
          </w:tcPr>
          <w:p w14:paraId="01B2D866" w14:textId="77777777" w:rsidR="0088739A" w:rsidRDefault="00000000">
            <w:pPr>
              <w:spacing w:before="60" w:after="60"/>
              <w:rPr>
                <w:rFonts w:ascii="Times New Roman" w:hAnsi="Times New Roman" w:cs="Times New Roman"/>
              </w:rPr>
            </w:pPr>
            <w:r>
              <w:rPr>
                <w:rFonts w:ascii="Times New Roman" w:hAnsi="Times New Roman" w:cs="Times New Roman"/>
              </w:rPr>
              <w:t xml:space="preserve">Awareness </w:t>
            </w:r>
            <w:proofErr w:type="gramStart"/>
            <w:r>
              <w:rPr>
                <w:rFonts w:ascii="Times New Roman" w:hAnsi="Times New Roman" w:cs="Times New Roman"/>
              </w:rPr>
              <w:t>exists,</w:t>
            </w:r>
            <w:proofErr w:type="gramEnd"/>
            <w:r>
              <w:rPr>
                <w:rFonts w:ascii="Times New Roman" w:hAnsi="Times New Roman" w:cs="Times New Roman"/>
              </w:rPr>
              <w:t xml:space="preserve"> consistency does not</w:t>
            </w:r>
          </w:p>
        </w:tc>
      </w:tr>
      <w:tr w:rsidR="0088739A" w14:paraId="5DB6CD6A" w14:textId="77777777">
        <w:trPr>
          <w:jc w:val="center"/>
        </w:trPr>
        <w:tc>
          <w:tcPr>
            <w:tcW w:w="2700" w:type="dxa"/>
          </w:tcPr>
          <w:p w14:paraId="2474819D" w14:textId="77777777" w:rsidR="0088739A" w:rsidRDefault="00000000">
            <w:pPr>
              <w:spacing w:before="60" w:after="60"/>
              <w:rPr>
                <w:rFonts w:ascii="Times New Roman" w:hAnsi="Times New Roman" w:cs="Times New Roman"/>
              </w:rPr>
            </w:pPr>
            <w:r>
              <w:rPr>
                <w:rFonts w:ascii="Times New Roman" w:hAnsi="Times New Roman" w:cs="Times New Roman"/>
              </w:rPr>
              <w:t>Preferred Media Influence</w:t>
            </w:r>
          </w:p>
        </w:tc>
        <w:tc>
          <w:tcPr>
            <w:tcW w:w="3000" w:type="dxa"/>
          </w:tcPr>
          <w:p w14:paraId="249D3483" w14:textId="77777777" w:rsidR="0088739A" w:rsidRDefault="00000000">
            <w:pPr>
              <w:spacing w:before="60" w:after="60"/>
              <w:rPr>
                <w:rFonts w:ascii="Times New Roman" w:hAnsi="Times New Roman" w:cs="Times New Roman"/>
              </w:rPr>
            </w:pPr>
            <w:r>
              <w:rPr>
                <w:rFonts w:ascii="Times New Roman" w:hAnsi="Times New Roman" w:cs="Times New Roman"/>
              </w:rPr>
              <w:t>~58% favour traditional media</w:t>
            </w:r>
          </w:p>
        </w:tc>
        <w:tc>
          <w:tcPr>
            <w:tcW w:w="3300" w:type="dxa"/>
          </w:tcPr>
          <w:p w14:paraId="3DF43C37" w14:textId="77777777" w:rsidR="0088739A" w:rsidRDefault="00000000">
            <w:pPr>
              <w:spacing w:before="60" w:after="60"/>
              <w:rPr>
                <w:rFonts w:ascii="Times New Roman" w:hAnsi="Times New Roman" w:cs="Times New Roman"/>
              </w:rPr>
            </w:pPr>
            <w:r>
              <w:rPr>
                <w:rFonts w:ascii="Times New Roman" w:hAnsi="Times New Roman" w:cs="Times New Roman"/>
              </w:rPr>
              <w:t>Traditional channels seen as more trustworthy</w:t>
            </w:r>
          </w:p>
        </w:tc>
      </w:tr>
    </w:tbl>
    <w:p w14:paraId="48F347A1" w14:textId="77777777" w:rsidR="0088739A" w:rsidRDefault="0088739A">
      <w:pPr>
        <w:rPr>
          <w:rFonts w:ascii="Times New Roman" w:hAnsi="Times New Roman" w:cs="Times New Roman"/>
        </w:rPr>
      </w:pPr>
    </w:p>
    <w:p w14:paraId="380FC973"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5.10 Cross-Cutting Analysis</w:t>
      </w:r>
    </w:p>
    <w:p w14:paraId="50B01213"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Reading the findings together rather than in isolation reveals three cross-cutting themes. The first is the gap between consumption and trust: respondents overwhelmingly use social media yet rate it lower on perceived trustworthiness than traditional media. This is consistent with broader research on the credibility deficit in algorithmically curated platforms (Wardle &amp; Ward, 2019).</w:t>
      </w:r>
    </w:p>
    <w:p w14:paraId="0DB23FD1"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second theme is the shift toward evidence-based trust. Source credibility and fact-checking outranked outlet reputation and peer recommendation as drivers of trust. This suggests that audiences are increasingly evaluating individual stories on their merits rather than extending blanket credibility to brands. The shift may reflect growing media literacy, repeated exposure to high-profile retractions, or both.</w:t>
      </w:r>
    </w:p>
    <w:p w14:paraId="0A46F166"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third theme is the awareness-action gap. While 73% of respondents agreed that media should present unbiased information, fact-checking behaviour rated only moderately, with most respondents in the 4 to 8 range on a 10-point scale. Awareness of misinformation does not automatically translate into verification habits, mirroring well-documented gaps between intention and behaviour in other domains.</w:t>
      </w:r>
    </w:p>
    <w:p w14:paraId="5EA77992"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5.11 Comparison with Prior Research</w:t>
      </w:r>
    </w:p>
    <w:p w14:paraId="59EFB3A0"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survey results align with several established patterns in media research. The strong perceived political influence of media (rated 6 to 9 by most respondents) is consistent with classic agenda-setting findings. The dominance of social media as a news source matches Pew Research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 xml:space="preserve"> reporting on news consumption among younger demographics. The credibility gap between social and traditional media echoes longitudinal studies on media trust over the past decade.</w:t>
      </w:r>
    </w:p>
    <w:p w14:paraId="5BCAD5F1"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Where this study adds value is in showing how these patterns persist in a digital-native sample. Even respondents who use social media as their primary news source recognise its credibility limitations, which suggests the credibility gap is widely acknowledged rather than obscured by usage habits. This nuance has implications for media literacy interventions: education may not need to convince audiences that social media has a credibility problem; it may instead need to bridge the gap between recognition and verification practice.</w:t>
      </w:r>
    </w:p>
    <w:p w14:paraId="0F7E7012" w14:textId="77777777" w:rsidR="0088739A" w:rsidRDefault="00000000">
      <w:r>
        <w:br w:type="page"/>
      </w:r>
    </w:p>
    <w:p w14:paraId="009E1D23" w14:textId="77777777" w:rsidR="0088739A" w:rsidRDefault="00000000">
      <w:pPr>
        <w:spacing w:before="240" w:after="240"/>
        <w:rPr>
          <w:rFonts w:ascii="Times New Roman" w:hAnsi="Times New Roman" w:cs="Times New Roman"/>
          <w:b/>
          <w:sz w:val="32"/>
          <w:szCs w:val="32"/>
        </w:rPr>
      </w:pPr>
      <w:r>
        <w:rPr>
          <w:rFonts w:ascii="Times New Roman" w:hAnsi="Times New Roman" w:cs="Times New Roman"/>
          <w:b/>
          <w:sz w:val="32"/>
          <w:szCs w:val="32"/>
        </w:rPr>
        <w:lastRenderedPageBreak/>
        <w:t>6. CONCLUSION AND FUTURE SCOPE</w:t>
      </w:r>
    </w:p>
    <w:p w14:paraId="4CD07CD7"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6.1 Conclusion</w:t>
      </w:r>
    </w:p>
    <w:p w14:paraId="755215A0"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This study examined the multifaceted role of media in shaping public opinion, combining theoretical synthesis with primary survey evidence. The findings substantiate that media exerts substantial influence on opinion formation through agenda-setting, framing, risk amplification, and the systematic provision of information that citizens use to construct opinions.</w:t>
      </w:r>
    </w:p>
    <w:p w14:paraId="69149867"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Five key conclusions emerge from the survey. First, media exerts substantial influence through agenda-setting, framing, and risk amplification. Second, source credibility (63.2%) and </w:t>
      </w:r>
      <w:proofErr w:type="gramStart"/>
      <w:r>
        <w:rPr>
          <w:rFonts w:ascii="Times New Roman" w:hAnsi="Times New Roman" w:cs="Times New Roman"/>
          <w:sz w:val="24"/>
          <w:szCs w:val="24"/>
        </w:rPr>
        <w:t>fact-checking</w:t>
      </w:r>
      <w:proofErr w:type="gramEnd"/>
      <w:r>
        <w:rPr>
          <w:rFonts w:ascii="Times New Roman" w:hAnsi="Times New Roman" w:cs="Times New Roman"/>
          <w:sz w:val="24"/>
          <w:szCs w:val="24"/>
        </w:rPr>
        <w:t xml:space="preserve"> (57.9%) emerge as the strongest trust drivers, edging out brand reputation. Third, social media dominates daily usage at 89.5% yet trails traditional media on perceived trust. Fourth, filter bubbles, algorithmic curation, and misinformation continue to intensify polarisation. Fifth, individual factors such as media literacy and political knowledge significantly moderate exposure effects.</w:t>
      </w:r>
    </w:p>
    <w:p w14:paraId="56279C3B"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transition from traditional to digital media has intensified media’s opinion-shaping power while creating new vulnerabilities to manipulation and misinformation. Algorithmic curation, fragmented landscapes, and coordinated disinformation campaigns present novel challenges to maintaining an informed citizenry. The democratisation of content creation enabled by digital platforms offers potential for diverse perspectives, yet algorithmic amplification of provocative content frequently reinforces polarisation rather than understanding.</w:t>
      </w:r>
    </w:p>
    <w:p w14:paraId="48A16417"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6.2 Limitations</w:t>
      </w:r>
    </w:p>
    <w:p w14:paraId="7289AC55"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The sample size is modest, which limits statistical generalisability across the broader population.</w:t>
      </w:r>
    </w:p>
    <w:p w14:paraId="26A51AE3"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Self-reported responses may carry social desirability and recall bias.</w:t>
      </w:r>
    </w:p>
    <w:p w14:paraId="2705406C"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The cross-sectional design captures attitudes at a single moment in time and cannot track change over major news cycles.</w:t>
      </w:r>
    </w:p>
    <w:p w14:paraId="0F852D6E"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6.3 Future Scope</w:t>
      </w:r>
    </w:p>
    <w:p w14:paraId="032C7F4D"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Longitudinal studies that track opinion shifts across major news cycles would strengthen causal inference.</w:t>
      </w:r>
    </w:p>
    <w:p w14:paraId="5D1C5223"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lastRenderedPageBreak/>
        <w:t>•   Cross-national comparative work would clarify how different media systems produce different democratic outcomes.</w:t>
      </w:r>
    </w:p>
    <w:p w14:paraId="2287E628"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Experimental designs that randomise exposure to different framings and platforms would isolate causal pathways from exposure to belief change.</w:t>
      </w:r>
    </w:p>
    <w:p w14:paraId="5295440D"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Deeper investigation of platform-specific algorithmic dynamics would help identify which design choices most amplify or moderate polarisation.</w:t>
      </w:r>
    </w:p>
    <w:p w14:paraId="4360976A"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6.4 Practical Recommendations</w:t>
      </w:r>
    </w:p>
    <w:p w14:paraId="6B9D9E8A"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Embed media literacy curricula at the secondary and undergraduate levels. Education should focus on practical verification habits rather than abstract awareness of bias.</w:t>
      </w:r>
    </w:p>
    <w:p w14:paraId="18D7F697"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Encourage social media platforms to expose source provenance and fact-check labels prominently in feed interfaces, reducing the friction of verification.</w:t>
      </w:r>
    </w:p>
    <w:p w14:paraId="301BCC68"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Support independent fact-checking organisations through stable funding mechanisms that protect them from political or commercial capture.</w:t>
      </w:r>
    </w:p>
    <w:p w14:paraId="357D8B8C"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Promote transparency in algorithmic curation so users can understand why specific content is surfaced to them, enabling informed engagement.</w:t>
      </w:r>
    </w:p>
    <w:p w14:paraId="2C5F4490" w14:textId="77777777" w:rsidR="0088739A" w:rsidRDefault="00000000">
      <w:pPr>
        <w:spacing w:after="8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Strengthen newsroom standards for accuracy and correction, with public correction pages that audiences can audit.</w:t>
      </w:r>
    </w:p>
    <w:p w14:paraId="5DD625D2" w14:textId="77777777" w:rsidR="0088739A" w:rsidRDefault="00000000">
      <w:pPr>
        <w:spacing w:before="180" w:after="120"/>
        <w:rPr>
          <w:rFonts w:ascii="Times New Roman" w:hAnsi="Times New Roman" w:cs="Times New Roman"/>
          <w:b/>
          <w:sz w:val="28"/>
          <w:szCs w:val="28"/>
        </w:rPr>
      </w:pPr>
      <w:r>
        <w:rPr>
          <w:rFonts w:ascii="Times New Roman" w:hAnsi="Times New Roman" w:cs="Times New Roman"/>
          <w:b/>
          <w:sz w:val="28"/>
          <w:szCs w:val="28"/>
        </w:rPr>
        <w:t>6.5 Implications for Stakeholders</w:t>
      </w:r>
    </w:p>
    <w:p w14:paraId="7B75DD80"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For policy makers, the findings reinforce the case for proportionate platform regulation focused on transparency, advertising disclosure, and content provenance, rather than direct content censorship that risks free-expression concerns. Sensible reforms would mandate clear labelling of paid political content and algorithmic amplification metrics.</w:t>
      </w:r>
    </w:p>
    <w:p w14:paraId="73BF6D22"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For educators, the recommendation is to integrate media literacy into core curricula, not as an optional elective. Practical exercises in source evaluation, lateral reading, and reverse-image search should accompany any theoretical instruction in framing or agenda-setting.</w:t>
      </w:r>
    </w:p>
    <w:p w14:paraId="11CAB873"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For platform designers, the implication is that interface choices materially shape opinion formation. Small design changes such as friction before sharing unverified content, or surfacing alternative perspectives alongside trending stories, can meaningfully shift behaviour without restricting expression.</w:t>
      </w:r>
    </w:p>
    <w:p w14:paraId="2912DA70" w14:textId="77777777" w:rsidR="0088739A" w:rsidRDefault="00000000">
      <w:pPr>
        <w:spacing w:before="240" w:after="240"/>
        <w:rPr>
          <w:rFonts w:ascii="Times New Roman" w:hAnsi="Times New Roman" w:cs="Times New Roman"/>
          <w:b/>
          <w:sz w:val="32"/>
          <w:szCs w:val="32"/>
        </w:rPr>
      </w:pPr>
      <w:r>
        <w:br w:type="page"/>
      </w:r>
      <w:r>
        <w:rPr>
          <w:rFonts w:ascii="Times New Roman" w:hAnsi="Times New Roman" w:cs="Times New Roman"/>
          <w:b/>
          <w:sz w:val="32"/>
          <w:szCs w:val="32"/>
        </w:rPr>
        <w:lastRenderedPageBreak/>
        <w:t>REFERENCES</w:t>
      </w:r>
    </w:p>
    <w:p w14:paraId="5352B92D"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[1] Arceneaux, K., &amp; Johnson, M. (2013). Changing minds or changing channels? Partisan news in an age of choice. University of Chicago Press.</w:t>
      </w:r>
    </w:p>
    <w:p w14:paraId="2796DFEC"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[2] Ashley, S., Maksl, A., &amp; Craft, S. (2015). Developing a news media literacy scale. Journalism &amp; Mass Communication Educator, 68(2), 84–100.</w:t>
      </w:r>
    </w:p>
    <w:p w14:paraId="62191BC7"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[3] Cacioppo, J. T., &amp; Petty, R. E. (1982). The need for cognition. Journal of Personality and Social Psychology, 42(1), 116–131.</w:t>
      </w:r>
    </w:p>
    <w:p w14:paraId="784B8039"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[4] Chong, D., &amp; Druckman, J. N. (2007). Framing theory. Annual Review of Political Science, 10, 103–126.</w:t>
      </w:r>
    </w:p>
    <w:p w14:paraId="0383103C"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[5] Cinelli, M., Quattrociocchi, W., Galeazzi, A., et al. (2020). The COVID-19 social media infodemic. Nature Scientific Reports, 10, 16598.</w:t>
      </w:r>
    </w:p>
    <w:p w14:paraId="56127548"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[6] Croteau, D., &amp; Hoynes, W. (2014). Media/Society: Industries, images, and audiences (5th ed.). SAGE Publications.</w:t>
      </w:r>
    </w:p>
    <w:p w14:paraId="1D2A40CC"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[7] Druckman, J. N. (2001). On the limits of framing effects: Who can frame? Journal of Politics, 63(4), 1041–1066.</w:t>
      </w:r>
    </w:p>
    <w:p w14:paraId="79048C53"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[8] Dunlap, R. E. (2016). Environmental sociology and the social shaping of environmentalism. Routledge.</w:t>
      </w:r>
    </w:p>
    <w:p w14:paraId="3E885186"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[9] </w:t>
      </w:r>
      <w:proofErr w:type="spellStart"/>
      <w:r>
        <w:rPr>
          <w:rFonts w:ascii="Times New Roman" w:hAnsi="Times New Roman" w:cs="Times New Roman"/>
          <w:sz w:val="24"/>
          <w:szCs w:val="24"/>
        </w:rPr>
        <w:t>Entman</w:t>
      </w:r>
      <w:proofErr w:type="spellEnd"/>
      <w:r>
        <w:rPr>
          <w:rFonts w:ascii="Times New Roman" w:hAnsi="Times New Roman" w:cs="Times New Roman"/>
          <w:sz w:val="24"/>
          <w:szCs w:val="24"/>
        </w:rPr>
        <w:t>, R. M. (1993). Framing: Toward clarification of a fractured paradigm. Journal of Communication, 43(4), 51–58.</w:t>
      </w:r>
    </w:p>
    <w:p w14:paraId="0EAC67CF"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[10] </w:t>
      </w:r>
      <w:proofErr w:type="spellStart"/>
      <w:r>
        <w:rPr>
          <w:rFonts w:ascii="Times New Roman" w:hAnsi="Times New Roman" w:cs="Times New Roman"/>
          <w:sz w:val="24"/>
          <w:szCs w:val="24"/>
        </w:rPr>
        <w:t>Hameleers</w:t>
      </w:r>
      <w:proofErr w:type="spellEnd"/>
      <w:r>
        <w:rPr>
          <w:rFonts w:ascii="Times New Roman" w:hAnsi="Times New Roman" w:cs="Times New Roman"/>
          <w:sz w:val="24"/>
          <w:szCs w:val="24"/>
        </w:rPr>
        <w:t>, M. (2020). Needs-based media selection and use during election campaigns. Studies in Communication Sciences, 20(1), 41–53.</w:t>
      </w:r>
    </w:p>
    <w:p w14:paraId="071739C8"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[11] Hobbs, R. (2010). Digital and media literacy: A plan of action. Aspen Institute.</w:t>
      </w:r>
    </w:p>
    <w:p w14:paraId="21106F5F"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[12] Jewkes, Y. (2015). Media and crime (3rd ed.). SAGE Publications.</w:t>
      </w:r>
    </w:p>
    <w:p w14:paraId="0E8D4E74"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[13] Kahan, D. M. (2017). The intellectually honest case against vouching. Colorado Technology Law Journal, 15, 45–72.</w:t>
      </w:r>
    </w:p>
    <w:p w14:paraId="5E0781CB"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[14] Kasperson, R. E., Renn, O., Slovic, P., et al. (1988). The social amplification of risk: A conceptual framework. Risk Analysis, 8(2), 177–187.</w:t>
      </w:r>
    </w:p>
    <w:p w14:paraId="610B37CA"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[15] Katz, E., </w:t>
      </w:r>
      <w:proofErr w:type="spellStart"/>
      <w:r>
        <w:rPr>
          <w:rFonts w:ascii="Times New Roman" w:hAnsi="Times New Roman" w:cs="Times New Roman"/>
          <w:sz w:val="24"/>
          <w:szCs w:val="24"/>
        </w:rPr>
        <w:t>Blumler</w:t>
      </w:r>
      <w:proofErr w:type="spellEnd"/>
      <w:r>
        <w:rPr>
          <w:rFonts w:ascii="Times New Roman" w:hAnsi="Times New Roman" w:cs="Times New Roman"/>
          <w:sz w:val="24"/>
          <w:szCs w:val="24"/>
        </w:rPr>
        <w:t>, J. G., &amp; Gurevitch, M. (1974). Utilization of mass communication by the individual. SAGE Publications.</w:t>
      </w:r>
    </w:p>
    <w:p w14:paraId="06682192"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[16] McChesney, R. W. (2013). Digital disconnect: How capitalism is turning the internet against democracy. The New Press.</w:t>
      </w:r>
    </w:p>
    <w:p w14:paraId="63DC81B4"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[17] McCombs, M. E. (2004). Setting the agenda: The mass media and public opinion. Polity Press.</w:t>
      </w:r>
    </w:p>
    <w:p w14:paraId="1D68C1EA"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[18] McCombs, M. E., &amp; Shaw, D. L. (1972). The agenda-setting function of mass media. Public Opinion Quarterly, 36(2), 176–187.</w:t>
      </w:r>
    </w:p>
    <w:p w14:paraId="56E3FA95"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[19] Nyhan, B., &amp; Reifler, J. (2010). When corrections fail: The persistence of political misperceptions. Political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32(2), 303–330.</w:t>
      </w:r>
    </w:p>
    <w:p w14:paraId="03111866"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[20] Pariser, E. (2011). The filter bubble: What the internet is hiding from you. Penguin Press.</w:t>
      </w:r>
    </w:p>
    <w:p w14:paraId="41E1B49B"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[21] Pew Research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 (2020). News consumption across social media in 2020.</w:t>
      </w:r>
    </w:p>
    <w:p w14:paraId="0ADA76F4"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[22] Scheufele, D. A. (2000). Agenda-setting, priming, and framing revisited. Mass Communication &amp; Society, 3(2–3), 297–316.</w:t>
      </w:r>
    </w:p>
    <w:p w14:paraId="7A12348C"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[23] Stroud, N. J. (2010). Niche news and political polarization in the United States. Princeton University.</w:t>
      </w:r>
    </w:p>
    <w:p w14:paraId="2776CAC2"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[24] Sunstein, C. R. (2001). Republic.com: Dealing with extreme democracy. Princeton University Press.</w:t>
      </w:r>
    </w:p>
    <w:p w14:paraId="134D3D89"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[25] Tversky, A., &amp; Kahneman, D. (1981). The framing of decisions and the psychology of choice. Science, 211(4481), 453–458.</w:t>
      </w:r>
    </w:p>
    <w:p w14:paraId="153E6812"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[26] van der Linden, S., &amp; Lewandowsky, S. (2021). Countering misinformation through inoculation and </w:t>
      </w:r>
      <w:proofErr w:type="spellStart"/>
      <w:r>
        <w:rPr>
          <w:rFonts w:ascii="Times New Roman" w:hAnsi="Times New Roman" w:cs="Times New Roman"/>
          <w:sz w:val="24"/>
          <w:szCs w:val="24"/>
        </w:rPr>
        <w:t>prebunking</w:t>
      </w:r>
      <w:proofErr w:type="spellEnd"/>
      <w:r>
        <w:rPr>
          <w:rFonts w:ascii="Times New Roman" w:hAnsi="Times New Roman" w:cs="Times New Roman"/>
          <w:sz w:val="24"/>
          <w:szCs w:val="24"/>
        </w:rPr>
        <w:t>. European Review of Social Psychology, 32(2), 348–384.</w:t>
      </w:r>
    </w:p>
    <w:p w14:paraId="162B2FF7"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[27] van Dijck, J. (2013). The culture of connectivity: A critical history of social media. Oxford University Press.</w:t>
      </w:r>
    </w:p>
    <w:p w14:paraId="11DBDDC4"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[28] Wardle, C., &amp; Ward, H. (2019). Misinformation is a serious global challenge. Poynter Institute.</w:t>
      </w:r>
    </w:p>
    <w:p w14:paraId="3AD7632C"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[29] Woolley, S. C., &amp; Howard, P. N. (2018). Computational propaganda worldwide. Oxford Internet Institute.</w:t>
      </w:r>
    </w:p>
    <w:p w14:paraId="740466F3"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[30] Zaller, J. R. (1992). The nature and origins of mass opinion. Cambridge University Press.</w:t>
      </w:r>
    </w:p>
    <w:p w14:paraId="67EE5B8E" w14:textId="77777777" w:rsidR="0088739A" w:rsidRDefault="00000000">
      <w:r>
        <w:br w:type="page"/>
      </w:r>
    </w:p>
    <w:p w14:paraId="3E3B4A5A" w14:textId="77777777" w:rsidR="0088739A" w:rsidRDefault="00000000">
      <w:pPr>
        <w:spacing w:before="240" w:after="240"/>
        <w:rPr>
          <w:rFonts w:ascii="Times New Roman" w:hAnsi="Times New Roman" w:cs="Times New Roman"/>
          <w:b/>
          <w:sz w:val="32"/>
          <w:szCs w:val="32"/>
        </w:rPr>
      </w:pPr>
      <w:r>
        <w:rPr>
          <w:rFonts w:ascii="Times New Roman" w:hAnsi="Times New Roman" w:cs="Times New Roman"/>
          <w:b/>
          <w:sz w:val="32"/>
          <w:szCs w:val="32"/>
        </w:rPr>
        <w:lastRenderedPageBreak/>
        <w:t>APPENDIX: SURVEY QUESTIONNAIRE</w:t>
      </w:r>
    </w:p>
    <w:p w14:paraId="03A02A87"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following items formed the structured survey distributed via Google Forms.</w:t>
      </w:r>
    </w:p>
    <w:p w14:paraId="328C29A0"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Q1. Which media platform do you use most frequently for news?</w:t>
      </w:r>
    </w:p>
    <w:p w14:paraId="4625BBE3"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Q2. On a scale of 1 to 10, how much do you trust news media in general?</w:t>
      </w:r>
    </w:p>
    <w:p w14:paraId="30A5C85C"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Q3. Which factors most influence your trust in a news source? (multi-select)</w:t>
      </w:r>
    </w:p>
    <w:p w14:paraId="6304438B"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Q4. Which types of news do you consider most important? (multi-select)</w:t>
      </w:r>
    </w:p>
    <w:p w14:paraId="35A00855"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Q5. On a scale of 1 to 10, how much does media influence your political perception?</w:t>
      </w:r>
    </w:p>
    <w:p w14:paraId="576C80BD"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Q6. Do you agree that media has a responsibility to present unbiased information?</w:t>
      </w:r>
    </w:p>
    <w:p w14:paraId="7893C705"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Q7. On a scale of 1 to 10, how often do </w:t>
      </w:r>
      <w:proofErr w:type="gramStart"/>
      <w:r>
        <w:rPr>
          <w:rFonts w:ascii="Times New Roman" w:hAnsi="Times New Roman" w:cs="Times New Roman"/>
          <w:sz w:val="24"/>
          <w:szCs w:val="24"/>
        </w:rPr>
        <w:t>you</w:t>
      </w:r>
      <w:proofErr w:type="gramEnd"/>
      <w:r>
        <w:rPr>
          <w:rFonts w:ascii="Times New Roman" w:hAnsi="Times New Roman" w:cs="Times New Roman"/>
          <w:sz w:val="24"/>
          <w:szCs w:val="24"/>
        </w:rPr>
        <w:t xml:space="preserve"> fact-check news before sharing?</w:t>
      </w:r>
    </w:p>
    <w:p w14:paraId="58470E64" w14:textId="77777777" w:rsidR="0088739A"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Q8. Which type of media do you believe should have greater influence on public opinion?</w:t>
      </w:r>
    </w:p>
    <w:sectPr w:rsidR="0088739A">
      <w:headerReference w:type="default" r:id="rId10"/>
      <w:footerReference w:type="default" r:id="rId1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B049F" w14:textId="77777777" w:rsidR="00015331" w:rsidRDefault="00015331">
      <w:pPr>
        <w:spacing w:line="240" w:lineRule="auto"/>
      </w:pPr>
      <w:r>
        <w:separator/>
      </w:r>
    </w:p>
  </w:endnote>
  <w:endnote w:type="continuationSeparator" w:id="0">
    <w:p w14:paraId="7A6DC03F" w14:textId="77777777" w:rsidR="00015331" w:rsidRDefault="000153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1C39"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361F5" w14:textId="77777777" w:rsidR="00015331" w:rsidRDefault="00015331">
      <w:pPr>
        <w:spacing w:line="240" w:lineRule="auto"/>
      </w:pPr>
      <w:r>
        <w:separator/>
      </w:r>
    </w:p>
  </w:footnote>
  <w:footnote w:type="continuationSeparator" w:id="0">
    <w:p w14:paraId="304C268E" w14:textId="77777777" w:rsidR="00015331" w:rsidRDefault="000153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342B"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4"/>
  </w:num>
  <w:num w:numId="2" w16cid:durableId="1552956632">
    <w:abstractNumId w:val="8"/>
  </w:num>
  <w:num w:numId="3" w16cid:durableId="891844765">
    <w:abstractNumId w:val="11"/>
  </w:num>
  <w:num w:numId="4" w16cid:durableId="406920987">
    <w:abstractNumId w:val="13"/>
  </w:num>
  <w:num w:numId="5" w16cid:durableId="1681278146">
    <w:abstractNumId w:val="3"/>
  </w:num>
  <w:num w:numId="6" w16cid:durableId="458108738">
    <w:abstractNumId w:val="6"/>
  </w:num>
  <w:num w:numId="7" w16cid:durableId="39013002">
    <w:abstractNumId w:val="5"/>
  </w:num>
  <w:num w:numId="8" w16cid:durableId="1284072195">
    <w:abstractNumId w:val="12"/>
  </w:num>
  <w:num w:numId="9" w16cid:durableId="667294033">
    <w:abstractNumId w:val="1"/>
  </w:num>
  <w:num w:numId="10" w16cid:durableId="1917082791">
    <w:abstractNumId w:val="7"/>
  </w:num>
  <w:num w:numId="11" w16cid:durableId="1353459324">
    <w:abstractNumId w:val="9"/>
  </w:num>
  <w:num w:numId="12" w16cid:durableId="47845988">
    <w:abstractNumId w:val="2"/>
  </w:num>
  <w:num w:numId="13" w16cid:durableId="1079906381">
    <w:abstractNumId w:val="0"/>
  </w:num>
  <w:num w:numId="14" w16cid:durableId="11533283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15331"/>
    <w:rsid w:val="00041427"/>
    <w:rsid w:val="000755B0"/>
    <w:rsid w:val="000E4741"/>
    <w:rsid w:val="00107F60"/>
    <w:rsid w:val="00131C58"/>
    <w:rsid w:val="001405C5"/>
    <w:rsid w:val="00147AB8"/>
    <w:rsid w:val="001E4DB2"/>
    <w:rsid w:val="001E76E7"/>
    <w:rsid w:val="00234F52"/>
    <w:rsid w:val="00265C1E"/>
    <w:rsid w:val="00295D1D"/>
    <w:rsid w:val="003205F9"/>
    <w:rsid w:val="00336B32"/>
    <w:rsid w:val="0043349A"/>
    <w:rsid w:val="00464AF9"/>
    <w:rsid w:val="00566715"/>
    <w:rsid w:val="00641561"/>
    <w:rsid w:val="006573A8"/>
    <w:rsid w:val="00663278"/>
    <w:rsid w:val="006675F6"/>
    <w:rsid w:val="006A604B"/>
    <w:rsid w:val="006C337B"/>
    <w:rsid w:val="006E3DD5"/>
    <w:rsid w:val="00712C7F"/>
    <w:rsid w:val="00795233"/>
    <w:rsid w:val="007D6FFB"/>
    <w:rsid w:val="008013D2"/>
    <w:rsid w:val="008213C3"/>
    <w:rsid w:val="0088739A"/>
    <w:rsid w:val="00897530"/>
    <w:rsid w:val="008B28BD"/>
    <w:rsid w:val="009042D0"/>
    <w:rsid w:val="00982D41"/>
    <w:rsid w:val="00985E93"/>
    <w:rsid w:val="00A338AF"/>
    <w:rsid w:val="00A56703"/>
    <w:rsid w:val="00A62A58"/>
    <w:rsid w:val="00AB78E9"/>
    <w:rsid w:val="00AF667E"/>
    <w:rsid w:val="00AF69E5"/>
    <w:rsid w:val="00B23E0E"/>
    <w:rsid w:val="00B36DD0"/>
    <w:rsid w:val="00BA5657"/>
    <w:rsid w:val="00BB6DCC"/>
    <w:rsid w:val="00C060EA"/>
    <w:rsid w:val="00C156E2"/>
    <w:rsid w:val="00C237FB"/>
    <w:rsid w:val="00C7183E"/>
    <w:rsid w:val="00C871E7"/>
    <w:rsid w:val="00CD6014"/>
    <w:rsid w:val="00DA4034"/>
    <w:rsid w:val="00E4645A"/>
    <w:rsid w:val="00E54055"/>
    <w:rsid w:val="00ED26B1"/>
    <w:rsid w:val="00EF7540"/>
    <w:rsid w:val="00F132FC"/>
    <w:rsid w:val="00FE209A"/>
    <w:rsid w:val="00FF1571"/>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4DA13"/>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50D8148F-9F84-42F2-BD29-AF89289C6B6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5831</Words>
  <Characters>33241</Characters>
  <Application>Microsoft Office Word</Application>
  <DocSecurity>0</DocSecurity>
  <Lines>277</Lines>
  <Paragraphs>77</Paragraphs>
  <ScaleCrop>false</ScaleCrop>
  <Company/>
  <LinksUpToDate>false</LinksUpToDate>
  <CharactersWithSpaces>38995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Shubham Sharma</cp:lastModifiedBy>
  <cp:revision>2</cp:revision>
  <dcterms:created xsi:type="dcterms:W3CDTF">2026-05-07T07:17:00Z</dcterms:created>
  <dcterms:modified xsi:type="dcterms:W3CDTF">2026-05-07T07:17:00Z</dcterms:modified>
</cp:coreProperties>
</file>