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1bb97ce9900b723e25791e658c9cf4b9fd86eb"/>
    <w:p>
      <w:pPr>
        <w:pStyle w:val="Heading1"/>
      </w:pPr>
      <w:r>
        <w:t xml:space="preserve">Report on the Potential Acquisition of Canvassian Pty Ltd</w:t>
      </w:r>
    </w:p>
    <w:bookmarkStart w:id="9" w:name="executive-summary"/>
    <w:p>
      <w:pPr>
        <w:pStyle w:val="Heading2"/>
      </w:pPr>
      <w:r>
        <w:t xml:space="preserve">1. Executive Summary</w:t>
      </w:r>
    </w:p>
    <w:p>
      <w:pPr>
        <w:pStyle w:val="FirstParagraph"/>
      </w:pPr>
      <w:r>
        <w:rPr>
          <w:b/>
          <w:bCs/>
        </w:rPr>
        <w:t xml:space="preserve">Recommendation:</w:t>
      </w:r>
      <w:r>
        <w:t xml:space="preserve"> </w:t>
      </w:r>
      <w:r>
        <w:t xml:space="preserve">Proceed with conditions</w:t>
      </w:r>
    </w:p>
    <w:p>
      <w:pPr>
        <w:pStyle w:val="BodyText"/>
      </w:pPr>
      <w:r>
        <w:rPr>
          <w:b/>
          <w:bCs/>
        </w:rPr>
        <w:t xml:space="preserve">Key Reasons:</w:t>
      </w:r>
      <w:r>
        <w:t xml:space="preserve"> </w:t>
      </w:r>
      <w:r>
        <w:t xml:space="preserve">- The potential departure of the founder and CEO, Jane Wu, poses a significant risk to the company’s stability and future success.</w:t>
      </w:r>
      <w:r>
        <w:t xml:space="preserve"> </w:t>
      </w:r>
      <w:r>
        <w:t xml:space="preserve">- PayWise, a major client, is experiencing financial difficulties, which could impact Canvassian’s revenue.</w:t>
      </w:r>
      <w:r>
        <w:t xml:space="preserve"> </w:t>
      </w:r>
      <w:r>
        <w:t xml:space="preserve">- Several key client contracts contain change of control clauses that could lead to termination or require consent, affecting revenue stability.</w:t>
      </w:r>
    </w:p>
    <w:bookmarkEnd w:id="9"/>
    <w:bookmarkStart w:id="10" w:name="critical-risk-1-founder-jane-wu"/>
    <w:p>
      <w:pPr>
        <w:pStyle w:val="Heading2"/>
      </w:pPr>
      <w:r>
        <w:t xml:space="preserve">2. Critical Risk 1: Founder (Jane Wu)</w:t>
      </w:r>
    </w:p>
    <w:p>
      <w:pPr>
        <w:pStyle w:val="FirstParagraph"/>
      </w:pPr>
      <w:r>
        <w:t xml:space="preserve">Jane Wu, the founder and CEO, is considering stepping down within the next six months due to personal reasons. Her departure could significantly impact Canvassian’s strategic direction and operational stability. Although a succession plan is in place, with Hannah Lee proposed as Acting CEO, the transition could still pose challenges.</w:t>
      </w:r>
    </w:p>
    <w:p>
      <w:pPr>
        <w:pStyle w:val="BodyText"/>
      </w:pPr>
      <w:r>
        <w:rPr>
          <w:b/>
          <w:bCs/>
        </w:rPr>
        <w:t xml:space="preserve">Sources:</w:t>
      </w:r>
      <w:r>
        <w:t xml:space="preserve"> </w:t>
      </w:r>
      <w:r>
        <w:t xml:space="preserve">- Canvassian_Board_Paper_Strategic_Objectives_Leadership_Transition_October_2023_14.txt</w:t>
      </w:r>
      <w:r>
        <w:t xml:space="preserve"> </w:t>
      </w:r>
      <w:r>
        <w:t xml:space="preserve">- Leadership_Transition_Update_Canvassian_387.txt</w:t>
      </w:r>
    </w:p>
    <w:bookmarkEnd w:id="10"/>
    <w:bookmarkStart w:id="11" w:name="X8b9d2a0b312e0794c6c2b03099cf2ac737f5b37"/>
    <w:p>
      <w:pPr>
        <w:pStyle w:val="Heading2"/>
      </w:pPr>
      <w:r>
        <w:t xml:space="preserve">3. Critical Risk 2: PayWise Financial Position and Revenue Impact</w:t>
      </w:r>
    </w:p>
    <w:p>
      <w:pPr>
        <w:pStyle w:val="FirstParagraph"/>
      </w:pPr>
      <w:r>
        <w:t xml:space="preserve">PayWise, accounting for 20% of Canvassian’s revenue, is facing significant financial difficulties, including cash flow problems and restructuring initiatives. This situation poses a risk to Canvassian’s revenue stability and necessitates a strategic response to mitigate potential impacts.</w:t>
      </w:r>
    </w:p>
    <w:p>
      <w:pPr>
        <w:pStyle w:val="BodyText"/>
      </w:pPr>
      <w:r>
        <w:rPr>
          <w:b/>
          <w:bCs/>
        </w:rPr>
        <w:t xml:space="preserve">Sources:</w:t>
      </w:r>
      <w:r>
        <w:t xml:space="preserve"> </w:t>
      </w:r>
      <w:r>
        <w:t xml:space="preserve">- Urgent_Client_Financial_Review_Paywise_October_2023_350.txt</w:t>
      </w:r>
      <w:r>
        <w:t xml:space="preserve"> </w:t>
      </w:r>
      <w:r>
        <w:t xml:space="preserve">- Canvassian_Board_Paper_Quarterly_Business_Review_Strategic_Roadmap_October_2023_6.txt</w:t>
      </w:r>
    </w:p>
    <w:bookmarkEnd w:id="11"/>
    <w:bookmarkStart w:id="12" w:name="critical-risk-3-change-of-control"/>
    <w:p>
      <w:pPr>
        <w:pStyle w:val="Heading2"/>
      </w:pPr>
      <w:r>
        <w:t xml:space="preserve">4. Critical Risk 3: Change of Control</w:t>
      </w:r>
    </w:p>
    <w:tbl>
      <w:tblPr>
        <w:tblStyle w:val="Table"/>
        <w:tblW w:type="pct" w:w="5000"/>
        <w:tblLayout w:type="fixed"/>
        <w:tblLook w:firstRow="1" w:lastRow="0" w:firstColumn="0" w:lastColumn="0" w:noHBand="0" w:noVBand="0" w:val="0020"/>
      </w:tblPr>
      <w:tblGrid>
        <w:gridCol w:w="1234"/>
        <w:gridCol w:w="1028"/>
        <w:gridCol w:w="2777"/>
        <w:gridCol w:w="2880"/>
      </w:tblGrid>
      <w:tr>
        <w:trPr>
          <w:tblHeader w:val="on"/>
        </w:trPr>
        <w:tc>
          <w:tcPr/>
          <w:p>
            <w:pPr>
              <w:pStyle w:val="Compact"/>
            </w:pPr>
            <w:r>
              <w:t xml:space="preserve">Client</w:t>
            </w:r>
          </w:p>
        </w:tc>
        <w:tc>
          <w:tcPr/>
          <w:p>
            <w:pPr>
              <w:pStyle w:val="Compact"/>
            </w:pPr>
            <w:r>
              <w:t xml:space="preserve">Contract</w:t>
            </w:r>
          </w:p>
        </w:tc>
        <w:tc>
          <w:tcPr/>
          <w:p>
            <w:pPr>
              <w:pStyle w:val="Compact"/>
            </w:pPr>
            <w:r>
              <w:t xml:space="preserve">Change of Control Clause?</w:t>
            </w:r>
          </w:p>
        </w:tc>
        <w:tc>
          <w:tcPr/>
          <w:p>
            <w:pPr>
              <w:pStyle w:val="Compact"/>
            </w:pPr>
            <w:r>
              <w:t xml:space="preserve">Consequence on Acquisition</w:t>
            </w:r>
          </w:p>
        </w:tc>
      </w:tr>
      <w:tr>
        <w:tc>
          <w:tcPr/>
          <w:p>
            <w:pPr>
              <w:pStyle w:val="Compact"/>
            </w:pPr>
            <w:r>
              <w:t xml:space="preserve">PayWise</w:t>
            </w:r>
          </w:p>
        </w:tc>
        <w:tc>
          <w:tcPr/>
          <w:p>
            <w:pPr>
              <w:pStyle w:val="Compact"/>
            </w:pPr>
            <w:r>
              <w:t xml:space="preserve">Various</w:t>
            </w:r>
          </w:p>
        </w:tc>
        <w:tc>
          <w:tcPr/>
          <w:p>
            <w:pPr>
              <w:pStyle w:val="Compact"/>
            </w:pPr>
            <w:r>
              <w:t xml:space="preserve">No</w:t>
            </w:r>
          </w:p>
        </w:tc>
        <w:tc>
          <w:tcPr/>
          <w:p>
            <w:pPr>
              <w:pStyle w:val="Compact"/>
            </w:pPr>
            <w:r>
              <w:t xml:space="preserve">No direct consequence</w:t>
            </w:r>
          </w:p>
        </w:tc>
      </w:tr>
      <w:tr>
        <w:tc>
          <w:tcPr/>
          <w:p>
            <w:pPr>
              <w:pStyle w:val="Compact"/>
            </w:pPr>
            <w:r>
              <w:t xml:space="preserve">Alphabear</w:t>
            </w:r>
          </w:p>
        </w:tc>
        <w:tc>
          <w:tcPr/>
          <w:p>
            <w:pPr>
              <w:pStyle w:val="Compact"/>
            </w:pPr>
            <w:r>
              <w:t xml:space="preserve">Various</w:t>
            </w:r>
          </w:p>
        </w:tc>
        <w:tc>
          <w:tcPr/>
          <w:p>
            <w:pPr>
              <w:pStyle w:val="Compact"/>
            </w:pPr>
            <w:r>
              <w:t xml:space="preserve">No</w:t>
            </w:r>
          </w:p>
        </w:tc>
        <w:tc>
          <w:tcPr/>
          <w:p>
            <w:pPr>
              <w:pStyle w:val="Compact"/>
            </w:pPr>
            <w:r>
              <w:t xml:space="preserve">No direct consequence</w:t>
            </w:r>
          </w:p>
        </w:tc>
      </w:tr>
      <w:tr>
        <w:tc>
          <w:tcPr/>
          <w:p>
            <w:pPr>
              <w:pStyle w:val="Compact"/>
            </w:pPr>
            <w:r>
              <w:t xml:space="preserve">Bravocat</w:t>
            </w:r>
          </w:p>
        </w:tc>
        <w:tc>
          <w:tcPr/>
          <w:p>
            <w:pPr>
              <w:pStyle w:val="Compact"/>
            </w:pPr>
            <w:r>
              <w:t xml:space="preserve">Various</w:t>
            </w:r>
          </w:p>
        </w:tc>
        <w:tc>
          <w:tcPr/>
          <w:p>
            <w:pPr>
              <w:pStyle w:val="Compact"/>
            </w:pPr>
            <w:r>
              <w:t xml:space="preserve">Yes</w:t>
            </w:r>
          </w:p>
        </w:tc>
        <w:tc>
          <w:tcPr/>
          <w:p>
            <w:pPr>
              <w:pStyle w:val="Compact"/>
            </w:pPr>
            <w:r>
              <w:t xml:space="preserve">Right to terminate</w:t>
            </w:r>
          </w:p>
        </w:tc>
      </w:tr>
      <w:tr>
        <w:tc>
          <w:tcPr/>
          <w:p>
            <w:pPr>
              <w:pStyle w:val="Compact"/>
            </w:pPr>
            <w:r>
              <w:t xml:space="preserve">Charlemont</w:t>
            </w:r>
          </w:p>
        </w:tc>
        <w:tc>
          <w:tcPr/>
          <w:p>
            <w:pPr>
              <w:pStyle w:val="Compact"/>
            </w:pPr>
            <w:r>
              <w:t xml:space="preserve">Various</w:t>
            </w:r>
          </w:p>
        </w:tc>
        <w:tc>
          <w:tcPr/>
          <w:p>
            <w:pPr>
              <w:pStyle w:val="Compact"/>
            </w:pPr>
            <w:r>
              <w:t xml:space="preserve">Yes</w:t>
            </w:r>
          </w:p>
        </w:tc>
        <w:tc>
          <w:tcPr/>
          <w:p>
            <w:pPr>
              <w:pStyle w:val="Compact"/>
            </w:pPr>
            <w:r>
              <w:t xml:space="preserve">Right to terminate</w:t>
            </w:r>
          </w:p>
        </w:tc>
      </w:tr>
      <w:tr>
        <w:tc>
          <w:tcPr/>
          <w:p>
            <w:pPr>
              <w:pStyle w:val="Compact"/>
            </w:pPr>
            <w:r>
              <w:t xml:space="preserve">Deltaforce</w:t>
            </w:r>
          </w:p>
        </w:tc>
        <w:tc>
          <w:tcPr/>
          <w:p>
            <w:pPr>
              <w:pStyle w:val="Compact"/>
            </w:pPr>
            <w:r>
              <w:t xml:space="preserve">Various</w:t>
            </w:r>
          </w:p>
        </w:tc>
        <w:tc>
          <w:tcPr/>
          <w:p>
            <w:pPr>
              <w:pStyle w:val="Compact"/>
            </w:pPr>
            <w:r>
              <w:t xml:space="preserve">Yes</w:t>
            </w:r>
          </w:p>
        </w:tc>
        <w:tc>
          <w:tcPr/>
          <w:p>
            <w:pPr>
              <w:pStyle w:val="Compact"/>
            </w:pPr>
            <w:r>
              <w:t xml:space="preserve">Assignment requires consent</w:t>
            </w:r>
          </w:p>
        </w:tc>
      </w:tr>
      <w:tr>
        <w:tc>
          <w:tcPr/>
          <w:p>
            <w:pPr>
              <w:pStyle w:val="Compact"/>
            </w:pPr>
            <w:r>
              <w:t xml:space="preserve">Echona</w:t>
            </w:r>
          </w:p>
        </w:tc>
        <w:tc>
          <w:tcPr/>
          <w:p>
            <w:pPr>
              <w:pStyle w:val="Compact"/>
            </w:pPr>
            <w:r>
              <w:t xml:space="preserve">Various</w:t>
            </w:r>
          </w:p>
        </w:tc>
        <w:tc>
          <w:tcPr/>
          <w:p>
            <w:pPr>
              <w:pStyle w:val="Compact"/>
            </w:pPr>
            <w:r>
              <w:t xml:space="preserve">Yes</w:t>
            </w:r>
          </w:p>
        </w:tc>
        <w:tc>
          <w:tcPr/>
          <w:p>
            <w:pPr>
              <w:pStyle w:val="Compact"/>
            </w:pPr>
            <w:r>
              <w:t xml:space="preserve">Right to terminate</w:t>
            </w:r>
          </w:p>
        </w:tc>
      </w:tr>
    </w:tbl>
    <w:p>
      <w:pPr>
        <w:pStyle w:val="BodyText"/>
      </w:pPr>
      <w:r>
        <w:rPr>
          <w:b/>
          <w:bCs/>
        </w:rPr>
        <w:t xml:space="preserve">Sources:</w:t>
      </w:r>
      <w:r>
        <w:t xml:space="preserve"> </w:t>
      </w:r>
      <w:r>
        <w:t xml:space="preserve">- Comprehensive_Software_Service_Agreement_Canvassian_Charlemont_2023_47.txt</w:t>
      </w:r>
      <w:r>
        <w:t xml:space="preserve"> </w:t>
      </w:r>
      <w:r>
        <w:t xml:space="preserve">- Software_Service_Agreement_Canvassian_Echona_2023_23.txt</w:t>
      </w:r>
    </w:p>
    <w:bookmarkEnd w:id="12"/>
    <w:bookmarkStart w:id="13" w:name="other-significant-risks-identified"/>
    <w:p>
      <w:pPr>
        <w:pStyle w:val="Heading2"/>
      </w:pPr>
      <w:r>
        <w:t xml:space="preserve">5. Other Significant Risks Identified</w:t>
      </w:r>
    </w:p>
    <w:p>
      <w:pPr>
        <w:pStyle w:val="Compact"/>
        <w:numPr>
          <w:ilvl w:val="0"/>
          <w:numId w:val="1001"/>
        </w:numPr>
      </w:pPr>
      <w:r>
        <w:rPr>
          <w:b/>
          <w:bCs/>
        </w:rPr>
        <w:t xml:space="preserve">Litigation Risks:</w:t>
      </w:r>
      <w:r>
        <w:t xml:space="preserve"> </w:t>
      </w:r>
      <w:r>
        <w:t xml:space="preserve">Canvassian faces potential patent infringement claims from TechWave Inc. and Alphabear, with significant financial exposure.</w:t>
      </w:r>
    </w:p>
    <w:p>
      <w:pPr>
        <w:pStyle w:val="Compact"/>
        <w:numPr>
          <w:ilvl w:val="0"/>
          <w:numId w:val="1001"/>
        </w:numPr>
      </w:pPr>
      <w:r>
        <w:rPr>
          <w:b/>
          <w:bCs/>
        </w:rPr>
        <w:t xml:space="preserve">CTO Concerns:</w:t>
      </w:r>
      <w:r>
        <w:t xml:space="preserve"> </w:t>
      </w:r>
      <w:r>
        <w:t xml:space="preserve">Allegations of misconduct involving CTO Edon Mask could impact leadership stability and company reputation.</w:t>
      </w:r>
    </w:p>
    <w:p>
      <w:pPr>
        <w:pStyle w:val="Compact"/>
        <w:numPr>
          <w:ilvl w:val="0"/>
          <w:numId w:val="1001"/>
        </w:numPr>
      </w:pPr>
      <w:r>
        <w:rPr>
          <w:b/>
          <w:bCs/>
        </w:rPr>
        <w:t xml:space="preserve">Product Issues:</w:t>
      </w:r>
      <w:r>
        <w:t xml:space="preserve"> </w:t>
      </w:r>
      <w:r>
        <w:t xml:space="preserve">Problems with product launches and quality have led to customer dissatisfaction, posing a risk to client retention.</w:t>
      </w:r>
    </w:p>
    <w:p>
      <w:pPr>
        <w:pStyle w:val="Compact"/>
        <w:numPr>
          <w:ilvl w:val="0"/>
          <w:numId w:val="1001"/>
        </w:numPr>
      </w:pPr>
      <w:r>
        <w:rPr>
          <w:b/>
          <w:bCs/>
        </w:rPr>
        <w:t xml:space="preserve">Corporate Risks:</w:t>
      </w:r>
      <w:r>
        <w:t xml:space="preserve"> </w:t>
      </w:r>
      <w:r>
        <w:t xml:space="preserve">Concerns about Deltaforce and Echona’s financial stability and compliance issues could affect ongoing partnerships.</w:t>
      </w:r>
    </w:p>
    <w:p>
      <w:pPr>
        <w:pStyle w:val="FirstParagraph"/>
      </w:pPr>
      <w:r>
        <w:rPr>
          <w:b/>
          <w:bCs/>
        </w:rPr>
        <w:t xml:space="preserve">Sources:</w:t>
      </w:r>
      <w:r>
        <w:t xml:space="preserve"> </w:t>
      </w:r>
      <w:r>
        <w:t xml:space="preserve">- Canvassian_Board_Meeting_Q4_2023_Litigation_Risk_Analysis_37.txt</w:t>
      </w:r>
      <w:r>
        <w:t xml:space="preserve"> </w:t>
      </w:r>
      <w:r>
        <w:t xml:space="preserve">- Canvassian_Board_Paper_Corporate_Risk_Assessment_Customer_Dissatisfaction_October_2023_3.txt</w:t>
      </w:r>
    </w:p>
    <w:bookmarkEnd w:id="13"/>
    <w:bookmarkStart w:id="14" w:name="recommended-actions"/>
    <w:p>
      <w:pPr>
        <w:pStyle w:val="Heading2"/>
      </w:pPr>
      <w:r>
        <w:t xml:space="preserve">6. Recommended Actions</w:t>
      </w:r>
    </w:p>
    <w:p>
      <w:pPr>
        <w:pStyle w:val="Compact"/>
        <w:numPr>
          <w:ilvl w:val="0"/>
          <w:numId w:val="1002"/>
        </w:numPr>
      </w:pPr>
      <w:r>
        <w:rPr>
          <w:b/>
          <w:bCs/>
        </w:rPr>
        <w:t xml:space="preserve">Price Adjustment:</w:t>
      </w:r>
      <w:r>
        <w:t xml:space="preserve"> </w:t>
      </w:r>
      <w:r>
        <w:t xml:space="preserve">Consider adjusting the purchase price to account for potential revenue loss from PayWise and litigation risks.</w:t>
      </w:r>
    </w:p>
    <w:p>
      <w:pPr>
        <w:pStyle w:val="Compact"/>
        <w:numPr>
          <w:ilvl w:val="0"/>
          <w:numId w:val="1002"/>
        </w:numPr>
      </w:pPr>
      <w:r>
        <w:rPr>
          <w:b/>
          <w:bCs/>
        </w:rPr>
        <w:t xml:space="preserve">Conditions Precedent:</w:t>
      </w:r>
      <w:r>
        <w:t xml:space="preserve"> </w:t>
      </w:r>
      <w:r>
        <w:t xml:space="preserve">Require confirmation of Jane Wu’s commitment to remain during the transition and resolution of key client contract issues.</w:t>
      </w:r>
    </w:p>
    <w:p>
      <w:pPr>
        <w:pStyle w:val="Compact"/>
        <w:numPr>
          <w:ilvl w:val="0"/>
          <w:numId w:val="1002"/>
        </w:numPr>
      </w:pPr>
      <w:r>
        <w:rPr>
          <w:b/>
          <w:bCs/>
        </w:rPr>
        <w:t xml:space="preserve">Warranties and Indemnities:</w:t>
      </w:r>
      <w:r>
        <w:t xml:space="preserve"> </w:t>
      </w:r>
      <w:r>
        <w:t xml:space="preserve">Secure warranties regarding the financial health of key clients and indemnities for potential litigation costs.</w:t>
      </w:r>
    </w:p>
    <w:p>
      <w:pPr>
        <w:pStyle w:val="Compact"/>
        <w:numPr>
          <w:ilvl w:val="0"/>
          <w:numId w:val="1002"/>
        </w:numPr>
      </w:pPr>
      <w:r>
        <w:rPr>
          <w:b/>
          <w:bCs/>
        </w:rPr>
        <w:t xml:space="preserve">Key Person/Retention Arrangements:</w:t>
      </w:r>
      <w:r>
        <w:t xml:space="preserve"> </w:t>
      </w:r>
      <w:r>
        <w:t xml:space="preserve">Implement retention arrangements for key personnel, including Jane Wu and Edon Mask, to ensure leadership stability.</w:t>
      </w:r>
    </w:p>
    <w:p>
      <w:pPr>
        <w:pStyle w:val="Compact"/>
        <w:numPr>
          <w:ilvl w:val="0"/>
          <w:numId w:val="1002"/>
        </w:numPr>
      </w:pPr>
      <w:r>
        <w:rPr>
          <w:b/>
          <w:bCs/>
        </w:rPr>
        <w:t xml:space="preserve">Further Investigation:</w:t>
      </w:r>
      <w:r>
        <w:t xml:space="preserve"> </w:t>
      </w:r>
      <w:r>
        <w:t xml:space="preserve">Conduct a detailed review of client contracts and financial health, particularly focusing on PayWise and other major clients.</w:t>
      </w:r>
    </w:p>
    <w:bookmarkEnd w:id="14"/>
    <w:bookmarkStart w:id="15" w:name="limitations-of-this-review"/>
    <w:p>
      <w:pPr>
        <w:pStyle w:val="Heading2"/>
      </w:pPr>
      <w:r>
        <w:t xml:space="preserve">7. Limitations of this Review</w:t>
      </w:r>
    </w:p>
    <w:p>
      <w:pPr>
        <w:pStyle w:val="FirstParagraph"/>
      </w:pPr>
      <w:r>
        <w:t xml:space="preserve">This report is based on an AI-assisted review of retrieved excerpts. The findings should be verified against the source documents to ensure accuracy and completeness.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2026-10-01T02:11:48Z</dcterms:created>
  <dcterms:modified xsi:type="dcterms:W3CDTF">2026-10-01T02:11:48Z</dcterms:modified>
</cp:coreProperties>
</file>

<file path=docProps/custom.xml><?xml version="1.0" encoding="utf-8"?>
<Properties xmlns="http://schemas.openxmlformats.org/officeDocument/2006/custom-properties" xmlns:vt="http://schemas.openxmlformats.org/officeDocument/2006/docPropsVTypes"/>
</file>