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jc w:val="center"/>
      </w:pPr>
      <w:r>
        <w:rPr>
          <w:rFonts w:ascii="Arial" w:cs="Arial" w:eastAsia="Arial" w:hAnsi="Arial"/>
          <w:b/>
          <w:bCs/>
          <w:color w:val="F5A800"/>
          <w:sz w:val="28"/>
          <w:szCs w:val="28"/>
        </w:rPr>
        <w:t xml:space="preserve">HUNTERS IMMOBILIER</w:t>
      </w:r>
    </w:p>
    <w:p>
      <w:pPr>
        <w:spacing w:after="60"/>
        <w:jc w:val="center"/>
      </w:pPr>
      <w:r>
        <w:rPr>
          <w:rFonts w:ascii="Arial" w:cs="Arial" w:eastAsia="Arial" w:hAnsi="Arial"/>
          <w:i/>
          <w:iCs/>
          <w:color w:val="666666"/>
          <w:sz w:val="20"/>
          <w:szCs w:val="20"/>
        </w:rPr>
        <w:t xml:space="preserve">Cabinet de conseil en investissement immobilier</w:t>
      </w:r>
    </w:p>
    <w:p>
      <w:pPr>
        <w:pBdr>
          <w:top w:val="single" w:color="F5A800" w:sz="10" w:space="6"/>
          <w:bottom w:val="single" w:color="F5A800" w:sz="10" w:space="6"/>
        </w:pBdr>
        <w:spacing w:after="80"/>
        <w:jc w:val="center"/>
      </w:pPr>
      <w:r>
        <w:rPr>
          <w:rFonts w:ascii="Arial" w:cs="Arial" w:eastAsia="Arial" w:hAnsi="Arial"/>
          <w:b/>
          <w:bCs/>
          <w:color w:val="1A4D2E"/>
          <w:sz w:val="40"/>
          <w:szCs w:val="40"/>
        </w:rPr>
        <w:t xml:space="preserve">CONVENTION DE MISSION CADRE</w:t>
      </w:r>
    </w:p>
    <w:p>
      <w:pPr>
        <w:spacing w:after="60"/>
        <w:jc w:val="center"/>
      </w:pPr>
      <w:r>
        <w:rPr>
          <w:rFonts w:ascii="Arial" w:cs="Arial" w:eastAsia="Arial" w:hAnsi="Arial"/>
          <w:i/>
          <w:iCs/>
          <w:color w:val="F5A800"/>
          <w:sz w:val="22"/>
          <w:szCs w:val="22"/>
        </w:rPr>
        <w:t xml:space="preserve">Accompagnement en investissement immobilier locatif</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
        <w:gridCol w:w="2826"/>
        <w:gridCol w:w="200"/>
        <w:gridCol w:w="2800"/>
      </w:tblGrid>
      <w:tr>
        <w:tc>
          <w:tcPr>
            <w:tcW w:type="dxa" w:w="3000"/>
            <w:tcBorders>
              <w:top w:val="single" w:color="CCCCCC" w:sz="1"/>
              <w:left w:val="single" w:color="CCCCCC" w:sz="1"/>
              <w:bottom w:val="single" w:color="1A4D2E" w:sz="2"/>
              <w:right w:val="single" w:color="CCCCCC" w:sz="1"/>
            </w:tcBorders>
            <w:shd w:fill="FFFFFF" w:val="clear"/>
            <w:tcMar>
              <w:top w:type="dxa" w:w="60"/>
              <w:left w:type="dxa" w:w="120"/>
              <w:bottom w:type="dxa" w:w="60"/>
              <w:right w:type="dxa" w:w="120"/>
            </w:tcMar>
          </w:tcPr>
          <w:p>
            <w:pPr>
              <w:spacing w:after="20"/>
            </w:pPr>
            <w:r>
              <w:rPr>
                <w:rFonts w:ascii="Arial" w:cs="Arial" w:eastAsia="Arial" w:hAnsi="Arial"/>
                <w:i/>
                <w:iCs/>
                <w:color w:val="666666"/>
                <w:sz w:val="16"/>
                <w:szCs w:val="16"/>
              </w:rPr>
              <w:t xml:space="preserve">Référence de la convention</w:t>
            </w:r>
          </w:p>
          <w:p>
            <w:r>
              <w:rPr>
                <w:rFonts w:ascii="Arial" w:cs="Arial" w:eastAsia="Arial" w:hAnsi="Arial"/>
                <w:color w:val="1A1A1A"/>
                <w:sz w:val="20"/>
                <w:szCs w:val="20"/>
              </w:rPr>
              <w:t xml:space="preserve">CC-HUNTERS-______-2026</w:t>
            </w:r>
          </w:p>
        </w:tc>
        <w:tc>
          <w:tcPr>
            <w:tcW w:type="dxa" w:w="200"/>
            <w:tcBorders>
              <w:top w:val="none"/>
              <w:left w:val="none"/>
              <w:bottom w:val="none"/>
              <w:right w:val="none"/>
            </w:tcBorders>
            <w:shd w:fill="FFFFFF" w:val="clear"/>
          </w:tcPr>
          <w:p>
            <w:r>
              <w:t xml:space="preserve"/>
            </w:r>
          </w:p>
        </w:tc>
        <w:tc>
          <w:tcPr>
            <w:tcW w:type="dxa" w:w="2826"/>
            <w:tcBorders>
              <w:top w:val="single" w:color="CCCCCC" w:sz="1"/>
              <w:left w:val="single" w:color="CCCCCC" w:sz="1"/>
              <w:bottom w:val="single" w:color="1A4D2E" w:sz="2"/>
              <w:right w:val="single" w:color="CCCCCC" w:sz="1"/>
            </w:tcBorders>
            <w:shd w:fill="FFFFFF" w:val="clear"/>
            <w:tcMar>
              <w:top w:type="dxa" w:w="60"/>
              <w:left w:type="dxa" w:w="120"/>
              <w:bottom w:type="dxa" w:w="60"/>
              <w:right w:type="dxa" w:w="120"/>
            </w:tcMar>
          </w:tcPr>
          <w:p>
            <w:pPr>
              <w:spacing w:after="20"/>
            </w:pPr>
            <w:r>
              <w:rPr>
                <w:rFonts w:ascii="Arial" w:cs="Arial" w:eastAsia="Arial" w:hAnsi="Arial"/>
                <w:i/>
                <w:iCs/>
                <w:color w:val="666666"/>
                <w:sz w:val="16"/>
                <w:szCs w:val="16"/>
              </w:rPr>
              <w:t xml:space="preserve">Date de signature</w:t>
            </w:r>
          </w:p>
          <w:p>
            <w:r>
              <w:rPr>
                <w:rFonts w:ascii="Arial" w:cs="Arial" w:eastAsia="Arial" w:hAnsi="Arial"/>
                <w:color w:val="1A1A1A"/>
                <w:sz w:val="20"/>
                <w:szCs w:val="20"/>
              </w:rPr>
              <w:t xml:space="preserve">____ / ____ / 2026</w:t>
            </w:r>
          </w:p>
        </w:tc>
        <w:tc>
          <w:tcPr>
            <w:tcW w:type="dxa" w:w="200"/>
            <w:tcBorders>
              <w:top w:val="none"/>
              <w:left w:val="none"/>
              <w:bottom w:val="none"/>
              <w:right w:val="none"/>
            </w:tcBorders>
            <w:shd w:fill="FFFFFF" w:val="clear"/>
          </w:tcPr>
          <w:p>
            <w:r>
              <w:t xml:space="preserve"/>
            </w:r>
          </w:p>
        </w:tc>
        <w:tc>
          <w:tcPr>
            <w:tcW w:type="dxa" w:w="2800"/>
            <w:tcBorders>
              <w:top w:val="single" w:color="CCCCCC" w:sz="1"/>
              <w:left w:val="single" w:color="CCCCCC" w:sz="1"/>
              <w:bottom w:val="single" w:color="1A4D2E" w:sz="2"/>
              <w:right w:val="single" w:color="CCCCCC" w:sz="1"/>
            </w:tcBorders>
            <w:shd w:fill="FFFFFF" w:val="clear"/>
            <w:tcMar>
              <w:top w:type="dxa" w:w="60"/>
              <w:left w:type="dxa" w:w="120"/>
              <w:bottom w:type="dxa" w:w="60"/>
              <w:right w:type="dxa" w:w="120"/>
            </w:tcMar>
          </w:tcPr>
          <w:p>
            <w:pPr>
              <w:spacing w:after="20"/>
            </w:pPr>
            <w:r>
              <w:rPr>
                <w:rFonts w:ascii="Arial" w:cs="Arial" w:eastAsia="Arial" w:hAnsi="Arial"/>
                <w:i/>
                <w:iCs/>
                <w:color w:val="666666"/>
                <w:sz w:val="16"/>
                <w:szCs w:val="16"/>
              </w:rPr>
              <w:t xml:space="preserve">Mandataire Hunters en charge</w:t>
            </w:r>
          </w:p>
          <w:p>
            <w:r>
              <w:rPr>
                <w:rFonts w:ascii="Arial" w:cs="Arial" w:eastAsia="Arial" w:hAnsi="Arial"/>
                <w:color w:val="1A1A1A"/>
                <w:sz w:val="20"/>
                <w:szCs w:val="20"/>
              </w:rPr>
              <w:t xml:space="preserve">_________________________</w:t>
            </w:r>
          </w:p>
        </w:tc>
      </w:tr>
    </w:tbl>
    <w:p>
      <w:pPr>
        <w:spacing w:after="200"/>
      </w:pPr>
      <w:r>
        <w:t xml:space="preserve"/>
      </w:r>
    </w:p>
    <w:p>
      <w:r>
        <w:br w:type="page"/>
      </w:r>
    </w:p>
    <w:p>
      <w:pPr>
        <w:pBdr>
          <w:bottom w:val="single" w:color="F5A800" w:sz="6" w:space="2"/>
        </w:pBdr>
        <w:spacing w:before="240" w:after="160"/>
        <w:jc w:val="center"/>
      </w:pPr>
      <w:r>
        <w:rPr>
          <w:rFonts w:ascii="Arial" w:cs="Arial" w:eastAsia="Arial" w:hAnsi="Arial"/>
          <w:b/>
          <w:bCs/>
          <w:color w:val="1A4D2E"/>
          <w:sz w:val="26"/>
          <w:szCs w:val="26"/>
        </w:rPr>
        <w:t xml:space="preserve">ENTRE LES PARTIES</w:t>
      </w:r>
    </w:p>
    <w:p>
      <w:pPr>
        <w:spacing w:after="80"/>
      </w:pPr>
      <w:r>
        <w:t xml:space="preserve"/>
      </w:r>
    </w:p>
    <w:p>
      <w:pPr>
        <w:spacing w:after="160" w:before="0" w:line="320"/>
        <w:jc w:val="both"/>
      </w:pPr>
      <w:r>
        <w:rPr>
          <w:rFonts w:ascii="Arial" w:cs="Arial" w:eastAsia="Arial" w:hAnsi="Arial"/>
          <w:b w:val="false"/>
          <w:bCs w:val="false"/>
          <w:i w:val="false"/>
          <w:iCs w:val="false"/>
          <w:color w:val="1A1A1A"/>
          <w:sz w:val="21"/>
          <w:szCs w:val="21"/>
        </w:rPr>
        <w:t xml:space="preserve">La présente convention est conclue entre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LE PRESTATAIRE</w:t>
            </w:r>
          </w:p>
          <w:p>
            <w:pPr>
              <w:spacing w:after="60"/>
            </w:pPr>
            <w:r>
              <w:rPr>
                <w:rFonts w:ascii="Arial" w:cs="Arial" w:eastAsia="Arial" w:hAnsi="Arial"/>
                <w:color w:val="1A1A1A"/>
                <w:sz w:val="19"/>
                <w:szCs w:val="19"/>
              </w:rPr>
              <w:t xml:space="preserve">Hunters Immobilier — Cabinet de conseil en investissement immobilier</w:t>
            </w:r>
          </w:p>
          <w:p>
            <w:pPr>
              <w:spacing w:after="60"/>
            </w:pPr>
            <w:r>
              <w:rPr>
                <w:rFonts w:ascii="Arial" w:cs="Arial" w:eastAsia="Arial" w:hAnsi="Arial"/>
                <w:color w:val="1A1A1A"/>
                <w:sz w:val="19"/>
                <w:szCs w:val="19"/>
              </w:rPr>
              <w:t xml:space="preserve">Forme juridique : ________________________  —  SIRET : ________________________</w:t>
            </w:r>
          </w:p>
          <w:p>
            <w:pPr>
              <w:spacing w:after="60"/>
            </w:pPr>
            <w:r>
              <w:rPr>
                <w:rFonts w:ascii="Arial" w:cs="Arial" w:eastAsia="Arial" w:hAnsi="Arial"/>
                <w:color w:val="1A1A1A"/>
                <w:sz w:val="19"/>
                <w:szCs w:val="19"/>
              </w:rPr>
              <w:t xml:space="preserve">Siège social : ________________________, Tours (37000)</w:t>
            </w:r>
          </w:p>
          <w:p>
            <w:pPr>
              <w:spacing w:after="60"/>
            </w:pPr>
            <w:r>
              <w:rPr>
                <w:rFonts w:ascii="Arial" w:cs="Arial" w:eastAsia="Arial" w:hAnsi="Arial"/>
                <w:color w:val="1A1A1A"/>
                <w:sz w:val="19"/>
                <w:szCs w:val="19"/>
              </w:rPr>
              <w:t xml:space="preserve">Titulaire de la Carte Professionnelle T n° ________________________</w:t>
            </w:r>
          </w:p>
          <w:p>
            <w:pPr>
              <w:spacing w:after="60"/>
            </w:pPr>
            <w:r>
              <w:rPr>
                <w:rFonts w:ascii="Arial" w:cs="Arial" w:eastAsia="Arial" w:hAnsi="Arial"/>
                <w:color w:val="1A1A1A"/>
                <w:sz w:val="19"/>
                <w:szCs w:val="19"/>
              </w:rPr>
              <w:t xml:space="preserve">délivrée par la CCI d'Indre-et-Loire</w:t>
            </w:r>
          </w:p>
          <w:p>
            <w:pPr>
              <w:spacing w:after="60"/>
            </w:pPr>
            <w:r>
              <w:rPr>
                <w:rFonts w:ascii="Arial" w:cs="Arial" w:eastAsia="Arial" w:hAnsi="Arial"/>
                <w:color w:val="1A1A1A"/>
                <w:sz w:val="19"/>
                <w:szCs w:val="19"/>
              </w:rPr>
              <w:t xml:space="preserve">Garantie financière : ________________________</w:t>
            </w:r>
          </w:p>
          <w:p>
            <w:pPr>
              <w:spacing w:after="60"/>
            </w:pPr>
            <w:r>
              <w:rPr>
                <w:rFonts w:ascii="Arial" w:cs="Arial" w:eastAsia="Arial" w:hAnsi="Arial"/>
                <w:color w:val="1A1A1A"/>
                <w:sz w:val="19"/>
                <w:szCs w:val="19"/>
              </w:rPr>
              <w:t xml:space="preserve">Assurance responsabilité civile professionnelle : ________________________</w:t>
            </w:r>
          </w:p>
          <w:p>
            <w:pPr>
              <w:spacing w:after="60"/>
            </w:pPr>
            <w:r>
              <w:rPr>
                <w:rFonts w:ascii="Arial" w:cs="Arial" w:eastAsia="Arial" w:hAnsi="Arial"/>
                <w:color w:val="1A1A1A"/>
                <w:sz w:val="19"/>
                <w:szCs w:val="19"/>
              </w:rPr>
              <w:t xml:space="preserve">Représentée par : Anaïs SAIZONOU, Fondateur et Directeur</w:t>
            </w:r>
          </w:p>
          <w:p>
            <w:pPr>
              <w:spacing w:after="60"/>
            </w:pPr>
            <w:r>
              <w:rPr>
                <w:rFonts w:ascii="Arial" w:cs="Arial" w:eastAsia="Arial" w:hAnsi="Arial"/>
                <w:color w:val="1A1A1A"/>
                <w:sz w:val="19"/>
                <w:szCs w:val="19"/>
              </w:rPr>
              <w:t xml:space="preserve">Ci-après dénommée « Hunters » ou « le Prestataire »</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LE CLIENT</w:t>
            </w:r>
          </w:p>
          <w:p>
            <w:pPr>
              <w:spacing w:after="60"/>
            </w:pPr>
            <w:r>
              <w:rPr>
                <w:rFonts w:ascii="Arial" w:cs="Arial" w:eastAsia="Arial" w:hAnsi="Arial"/>
                <w:color w:val="1A1A1A"/>
                <w:sz w:val="19"/>
                <w:szCs w:val="19"/>
              </w:rPr>
              <w:t xml:space="preserve">Nom et prénom : ________________________________________________________________</w:t>
            </w:r>
          </w:p>
          <w:p>
            <w:pPr>
              <w:spacing w:after="60"/>
            </w:pPr>
            <w:r>
              <w:rPr>
                <w:rFonts w:ascii="Arial" w:cs="Arial" w:eastAsia="Arial" w:hAnsi="Arial"/>
                <w:color w:val="1A1A1A"/>
                <w:sz w:val="19"/>
                <w:szCs w:val="19"/>
              </w:rPr>
              <w:t xml:space="preserve">Date de naissance : ____ / ____ / ________  —  Lieu de naissance : ___________________</w:t>
            </w:r>
          </w:p>
          <w:p>
            <w:pPr>
              <w:spacing w:after="60"/>
            </w:pPr>
            <w:r>
              <w:rPr>
                <w:rFonts w:ascii="Arial" w:cs="Arial" w:eastAsia="Arial" w:hAnsi="Arial"/>
                <w:color w:val="1A1A1A"/>
                <w:sz w:val="19"/>
                <w:szCs w:val="19"/>
              </w:rPr>
              <w:t xml:space="preserve">Adresse : _______________________________________________________________________</w:t>
            </w:r>
          </w:p>
          <w:p>
            <w:pPr>
              <w:spacing w:after="60"/>
            </w:pPr>
            <w:r>
              <w:rPr>
                <w:rFonts w:ascii="Arial" w:cs="Arial" w:eastAsia="Arial" w:hAnsi="Arial"/>
                <w:color w:val="1A1A1A"/>
                <w:sz w:val="19"/>
                <w:szCs w:val="19"/>
              </w:rPr>
              <w:t xml:space="preserve">Code postal : ____________  —  Ville : _____________________________________________</w:t>
            </w:r>
          </w:p>
          <w:p>
            <w:pPr>
              <w:spacing w:after="60"/>
            </w:pPr>
            <w:r>
              <w:rPr>
                <w:rFonts w:ascii="Arial" w:cs="Arial" w:eastAsia="Arial" w:hAnsi="Arial"/>
                <w:color w:val="1A1A1A"/>
                <w:sz w:val="19"/>
                <w:szCs w:val="19"/>
              </w:rPr>
              <w:t xml:space="preserve">Téléphone : ________________________  —  Email : __________________________________</w:t>
            </w:r>
          </w:p>
          <w:p>
            <w:pPr>
              <w:spacing w:after="60"/>
            </w:pPr>
            <w:r>
              <w:rPr>
                <w:rFonts w:ascii="Arial" w:cs="Arial" w:eastAsia="Arial" w:hAnsi="Arial"/>
                <w:color w:val="1A1A1A"/>
                <w:sz w:val="19"/>
                <w:szCs w:val="19"/>
              </w:rPr>
              <w:t xml:space="preserve">Situation professionnelle : ________________________________________________________</w:t>
            </w:r>
          </w:p>
          <w:p>
            <w:pPr>
              <w:spacing w:after="60"/>
            </w:pPr>
            <w:r>
              <w:rPr>
                <w:rFonts w:ascii="Arial" w:cs="Arial" w:eastAsia="Arial" w:hAnsi="Arial"/>
                <w:color w:val="1A1A1A"/>
                <w:sz w:val="19"/>
                <w:szCs w:val="19"/>
              </w:rPr>
              <w:t xml:space="preserve">Ci-après dénommé « le Client »</w:t>
            </w:r>
          </w:p>
        </w:tc>
      </w:tr>
    </w:tbl>
    <w:p>
      <w:pPr>
        <w:spacing w:after="160"/>
      </w:pPr>
      <w:r>
        <w:t xml:space="preserve"/>
      </w:r>
    </w:p>
    <w:p>
      <w:pPr>
        <w:spacing w:after="160" w:before="0" w:line="320"/>
        <w:jc w:val="both"/>
      </w:pPr>
      <w:r>
        <w:rPr>
          <w:rFonts w:ascii="Arial" w:cs="Arial" w:eastAsia="Arial" w:hAnsi="Arial"/>
          <w:b w:val="false"/>
          <w:bCs w:val="false"/>
          <w:i w:val="false"/>
          <w:iCs w:val="false"/>
          <w:color w:val="1A1A1A"/>
          <w:sz w:val="21"/>
          <w:szCs w:val="21"/>
        </w:rPr>
        <w:t xml:space="preserve">Le Client et le Prestataire sont ci-après désignés collectivement « les Parties ».</w:t>
      </w:r>
    </w:p>
    <w:p>
      <w:pPr>
        <w:spacing w:after="80"/>
      </w:pPr>
      <w:r>
        <w:t xml:space="preserve"/>
      </w:r>
    </w:p>
    <w:p>
      <w:pPr>
        <w:spacing w:after="160" w:before="0" w:line="320"/>
        <w:jc w:val="both"/>
      </w:pPr>
      <w:r>
        <w:rPr>
          <w:rFonts w:ascii="Arial" w:cs="Arial" w:eastAsia="Arial" w:hAnsi="Arial"/>
          <w:b w:val="false"/>
          <w:bCs w:val="false"/>
          <w:i w:val="false"/>
          <w:iCs w:val="false"/>
          <w:color w:val="1A1A1A"/>
          <w:sz w:val="21"/>
          <w:szCs w:val="21"/>
        </w:rPr>
        <w:t xml:space="preserve">Il a été convenu et arrêté ce qui suit :</w:t>
      </w:r>
    </w:p>
    <w:p>
      <w:pPr>
        <w:spacing w:after="160"/>
      </w:pPr>
      <w:r>
        <w:t xml:space="preserve"/>
      </w:r>
    </w:p>
    <w:p>
      <w:pPr>
        <w:pBdr>
          <w:bottom w:val="single" w:color="F5A800" w:sz="6" w:space="2"/>
        </w:pBdr>
        <w:spacing w:before="240" w:after="160"/>
        <w:jc w:val="center"/>
      </w:pPr>
      <w:r>
        <w:rPr>
          <w:rFonts w:ascii="Arial" w:cs="Arial" w:eastAsia="Arial" w:hAnsi="Arial"/>
          <w:b/>
          <w:bCs/>
          <w:color w:val="1A4D2E"/>
          <w:sz w:val="26"/>
          <w:szCs w:val="26"/>
        </w:rPr>
        <w:t xml:space="preserve">CONDITIONS GÉNÉRALES DE LA CONVENTION</w:t>
      </w:r>
    </w:p>
    <w:p>
      <w:pPr>
        <w:spacing w:after="80"/>
      </w:pPr>
      <w:r>
        <w:t xml:space="preserve"/>
      </w:r>
    </w:p>
    <w:p>
      <w:pPr>
        <w:spacing w:before="240" w:after="100"/>
      </w:pPr>
      <w:r>
        <w:rPr>
          <w:rFonts w:ascii="Arial" w:cs="Arial" w:eastAsia="Arial" w:hAnsi="Arial"/>
          <w:b/>
          <w:bCs/>
          <w:color w:val="F5A800"/>
          <w:sz w:val="22"/>
          <w:szCs w:val="22"/>
        </w:rPr>
        <w:t xml:space="preserve">Article 1 — </w:t>
      </w:r>
      <w:r>
        <w:rPr>
          <w:rFonts w:ascii="Arial" w:cs="Arial" w:eastAsia="Arial" w:hAnsi="Arial"/>
          <w:b/>
          <w:bCs/>
          <w:color w:val="0D2E1A"/>
          <w:sz w:val="22"/>
          <w:szCs w:val="22"/>
        </w:rPr>
        <w:t xml:space="preserve">Objet de la convention</w:t>
      </w:r>
    </w:p>
    <w:p>
      <w:pPr>
        <w:spacing w:after="160" w:before="0" w:line="320"/>
        <w:jc w:val="both"/>
      </w:pPr>
      <w:r>
        <w:rPr>
          <w:rFonts w:ascii="Arial" w:cs="Arial" w:eastAsia="Arial" w:hAnsi="Arial"/>
          <w:b w:val="false"/>
          <w:bCs w:val="false"/>
          <w:i w:val="false"/>
          <w:iCs w:val="false"/>
          <w:color w:val="1A1A1A"/>
          <w:sz w:val="21"/>
          <w:szCs w:val="21"/>
        </w:rPr>
        <w:t xml:space="preserve">La présente convention cadre définit les conditions générales dans lesquelles Hunters Immobilier accompagne le Client dans son projet d'investissement immobilier locatif. Elle constitue le cadre contractuel unique de la relation entre les Parties, au sein duquel chaque mission spécifique est activée par un Bon de Commande de Mission signé séparément.</w:t>
      </w:r>
    </w:p>
    <w:p>
      <w:pPr>
        <w:spacing w:after="160" w:before="0" w:line="320"/>
        <w:jc w:val="both"/>
      </w:pPr>
      <w:r>
        <w:rPr>
          <w:rFonts w:ascii="Arial" w:cs="Arial" w:eastAsia="Arial" w:hAnsi="Arial"/>
          <w:b w:val="false"/>
          <w:bCs w:val="false"/>
          <w:i w:val="false"/>
          <w:iCs w:val="false"/>
          <w:color w:val="1A1A1A"/>
          <w:sz w:val="21"/>
          <w:szCs w:val="21"/>
        </w:rPr>
        <w:t xml:space="preserve">Les missions susceptibles d'être activées dans le cadre de la présente convention sont les suivantes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226"/>
      </w:tblGrid>
      <w:tr>
        <w:trPr>
          <w:tblHeader/>
        </w:trPr>
        <w:tc>
          <w:tcPr>
            <w:tcW w:type="dxa" w:w="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Code</w:t>
            </w:r>
          </w:p>
        </w:tc>
        <w:tc>
          <w:tcPr>
            <w:tcW w:type="dxa" w:w="32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Mission</w:t>
            </w:r>
          </w:p>
        </w:tc>
        <w:tc>
          <w:tcPr>
            <w:tcW w:type="dxa" w:w="2800"/>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Honoraires de référence</w:t>
            </w:r>
          </w:p>
        </w:tc>
        <w:tc>
          <w:tcPr>
            <w:tcW w:type="dxa" w:w="2226"/>
            <w:tcBorders>
              <w:top w:val="single" w:color="CCCCCC" w:sz="1"/>
              <w:left w:val="single" w:color="CCCCCC" w:sz="1"/>
              <w:bottom w:val="single" w:color="CCCCCC" w:sz="1"/>
              <w:right w:val="single" w:color="CCCCCC" w:sz="1"/>
            </w:tcBorders>
            <w:shd w:fill="1A4D2E" w:val="clear"/>
            <w:tcMar>
              <w:top w:type="dxa" w:w="80"/>
              <w:left w:type="dxa" w:w="120"/>
              <w:bottom w:type="dxa" w:w="80"/>
              <w:right w:type="dxa" w:w="80"/>
            </w:tcMar>
          </w:tcPr>
          <w:p>
            <w:pPr>
              <w:jc w:val="center"/>
            </w:pPr>
            <w:r>
              <w:rPr>
                <w:rFonts w:ascii="Arial" w:cs="Arial" w:eastAsia="Arial" w:hAnsi="Arial"/>
                <w:b/>
                <w:bCs/>
                <w:color w:val="FFFFFF"/>
                <w:sz w:val="18"/>
                <w:szCs w:val="18"/>
              </w:rPr>
              <w:t xml:space="preserve">Bon de Commande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M01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Conseil stratégique en investissement locatif</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1 500 à 3 500 € HT selon scoring</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BC-M01</w:t>
            </w:r>
          </w:p>
        </w:tc>
      </w:tr>
      <w:tr>
        <w:tc>
          <w:tcPr>
            <w:tcW w:type="dxa" w:w="8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M02</w:t>
            </w:r>
          </w:p>
        </w:tc>
        <w:tc>
          <w:tcPr>
            <w:tcW w:type="dxa" w:w="32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Chasse immobilière</w:t>
            </w:r>
          </w:p>
        </w:tc>
        <w:tc>
          <w:tcPr>
            <w:tcW w:type="dxa" w:w="28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Barème progressif TTC (voir BC-M02)</w:t>
            </w:r>
          </w:p>
        </w:tc>
        <w:tc>
          <w:tcPr>
            <w:tcW w:type="dxa" w:w="2226"/>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BC-M02</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M03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Conseil et suivi de chantier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Sur devis — à partir de 1 800 € HT</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1A"/>
                <w:sz w:val="18"/>
                <w:szCs w:val="18"/>
              </w:rPr>
              <w:t xml:space="preserve">BC-M03</w:t>
            </w:r>
          </w:p>
        </w:tc>
      </w:tr>
      <w:tr>
        <w:tc>
          <w:tcPr>
            <w:tcW w:type="dxa" w:w="8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M04</w:t>
            </w:r>
          </w:p>
        </w:tc>
        <w:tc>
          <w:tcPr>
            <w:tcW w:type="dxa" w:w="32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Décoration et ameublement</w:t>
            </w:r>
          </w:p>
        </w:tc>
        <w:tc>
          <w:tcPr>
            <w:tcW w:type="dxa" w:w="2800"/>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Sur devis — à partir de 490 € HT</w:t>
            </w:r>
          </w:p>
        </w:tc>
        <w:tc>
          <w:tcPr>
            <w:tcW w:type="dxa" w:w="2226"/>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color w:val="1A1A1A"/>
                <w:sz w:val="18"/>
                <w:szCs w:val="18"/>
              </w:rPr>
              <w:t xml:space="preserve">BC-M04</w:t>
            </w:r>
          </w:p>
        </w:tc>
      </w:tr>
    </w:tbl>
    <w:p>
      <w:pPr>
        <w:spacing w:after="120"/>
      </w:pPr>
      <w:r>
        <w:t xml:space="preserve"/>
      </w:r>
    </w:p>
    <w:p>
      <w:pPr>
        <w:spacing w:after="160" w:before="0" w:line="320"/>
        <w:jc w:val="both"/>
      </w:pPr>
      <w:r>
        <w:rPr>
          <w:rFonts w:ascii="Arial" w:cs="Arial" w:eastAsia="Arial" w:hAnsi="Arial"/>
          <w:b w:val="false"/>
          <w:bCs w:val="false"/>
          <w:i w:val="false"/>
          <w:iCs w:val="false"/>
          <w:color w:val="1A1A1A"/>
          <w:sz w:val="21"/>
          <w:szCs w:val="21"/>
        </w:rPr>
        <w:t xml:space="preserve">Le Client n'est pas tenu de souscrire à l'ensemble des missions. Chaque mission est indépendante et peut être souscrite séparément, dans l'ordre de son choix, selon l'évolution de son projet.</w:t>
      </w:r>
    </w:p>
    <w:p>
      <w:pPr>
        <w:spacing w:after="160"/>
      </w:pPr>
      <w:r>
        <w:t xml:space="preserve"/>
      </w:r>
    </w:p>
    <w:p>
      <w:pPr>
        <w:spacing w:before="240" w:after="100"/>
      </w:pPr>
      <w:r>
        <w:rPr>
          <w:rFonts w:ascii="Arial" w:cs="Arial" w:eastAsia="Arial" w:hAnsi="Arial"/>
          <w:b/>
          <w:bCs/>
          <w:color w:val="F5A800"/>
          <w:sz w:val="22"/>
          <w:szCs w:val="22"/>
        </w:rPr>
        <w:t xml:space="preserve">Article 2 — </w:t>
      </w:r>
      <w:r>
        <w:rPr>
          <w:rFonts w:ascii="Arial" w:cs="Arial" w:eastAsia="Arial" w:hAnsi="Arial"/>
          <w:b/>
          <w:bCs/>
          <w:color w:val="0D2E1A"/>
          <w:sz w:val="22"/>
          <w:szCs w:val="22"/>
        </w:rPr>
        <w:t xml:space="preserve">Durée de la convention</w:t>
      </w:r>
    </w:p>
    <w:p>
      <w:pPr>
        <w:spacing w:after="160" w:before="0" w:line="320"/>
        <w:jc w:val="both"/>
      </w:pPr>
      <w:r>
        <w:rPr>
          <w:rFonts w:ascii="Arial" w:cs="Arial" w:eastAsia="Arial" w:hAnsi="Arial"/>
          <w:b w:val="false"/>
          <w:bCs w:val="false"/>
          <w:i w:val="false"/>
          <w:iCs w:val="false"/>
          <w:color w:val="1A1A1A"/>
          <w:sz w:val="21"/>
          <w:szCs w:val="21"/>
        </w:rPr>
        <w:t xml:space="preserve">La présente convention est conclue pour une durée indéterminée à compter de sa signature. Elle reste en vigueur tant que le Client et Hunters entretiennent une relation d'accompagnement active. Elle peut être résiliée par l'une ou l'autre des Parties par lettre recommandée avec accusé de réception, moyennant un préavis de 30 jours, sous réserve de l'achèvement des missions en cours.</w:t>
      </w:r>
    </w:p>
    <w:p>
      <w:pPr>
        <w:spacing w:after="160"/>
      </w:pPr>
      <w:r>
        <w:t xml:space="preserve"/>
      </w:r>
    </w:p>
    <w:p>
      <w:pPr>
        <w:spacing w:before="240" w:after="100"/>
      </w:pPr>
      <w:r>
        <w:rPr>
          <w:rFonts w:ascii="Arial" w:cs="Arial" w:eastAsia="Arial" w:hAnsi="Arial"/>
          <w:b/>
          <w:bCs/>
          <w:color w:val="F5A800"/>
          <w:sz w:val="22"/>
          <w:szCs w:val="22"/>
        </w:rPr>
        <w:t xml:space="preserve">Article 3 — </w:t>
      </w:r>
      <w:r>
        <w:rPr>
          <w:rFonts w:ascii="Arial" w:cs="Arial" w:eastAsia="Arial" w:hAnsi="Arial"/>
          <w:b/>
          <w:bCs/>
          <w:color w:val="0D2E1A"/>
          <w:sz w:val="22"/>
          <w:szCs w:val="22"/>
        </w:rPr>
        <w:t xml:space="preserve">Obligations de Hunters Immobilier</w:t>
      </w:r>
    </w:p>
    <w:p>
      <w:pPr>
        <w:spacing w:after="160" w:before="0" w:line="320"/>
        <w:jc w:val="both"/>
      </w:pPr>
      <w:r>
        <w:rPr>
          <w:rFonts w:ascii="Arial" w:cs="Arial" w:eastAsia="Arial" w:hAnsi="Arial"/>
          <w:b w:val="false"/>
          <w:bCs w:val="false"/>
          <w:i w:val="false"/>
          <w:iCs w:val="false"/>
          <w:color w:val="1A1A1A"/>
          <w:sz w:val="21"/>
          <w:szCs w:val="21"/>
        </w:rPr>
        <w:t xml:space="preserve">Dans le cadre de la présente convention, Hunters Immobilier s'engage à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Engagements de Hunters</w:t>
            </w:r>
          </w:p>
          <w:p>
            <w:pPr>
              <w:spacing w:after="60"/>
            </w:pPr>
            <w:r>
              <w:rPr>
                <w:rFonts w:ascii="Arial" w:cs="Arial" w:eastAsia="Arial" w:hAnsi="Arial"/>
                <w:color w:val="1A1A1A"/>
                <w:sz w:val="19"/>
                <w:szCs w:val="19"/>
              </w:rPr>
              <w:t xml:space="preserve">→  Affecter au Client un mandataire Hunters qualifié et certifié, dédié à son accompagnement</w:t>
            </w:r>
          </w:p>
          <w:p>
            <w:pPr>
              <w:spacing w:after="60"/>
            </w:pPr>
            <w:r>
              <w:rPr>
                <w:rFonts w:ascii="Arial" w:cs="Arial" w:eastAsia="Arial" w:hAnsi="Arial"/>
                <w:color w:val="1A1A1A"/>
                <w:sz w:val="19"/>
                <w:szCs w:val="19"/>
              </w:rPr>
              <w:t xml:space="preserve">→  Exécuter chaque mission activée avec diligence, rigueur et dans le respect des délais convenus</w:t>
            </w:r>
          </w:p>
          <w:p>
            <w:pPr>
              <w:spacing w:after="60"/>
            </w:pPr>
            <w:r>
              <w:rPr>
                <w:rFonts w:ascii="Arial" w:cs="Arial" w:eastAsia="Arial" w:hAnsi="Arial"/>
                <w:color w:val="1A1A1A"/>
                <w:sz w:val="19"/>
                <w:szCs w:val="19"/>
              </w:rPr>
              <w:t xml:space="preserve">→  Informer le Client de l'avancement de chaque mission par des points de suivi réguliers</w:t>
            </w:r>
          </w:p>
          <w:p>
            <w:pPr>
              <w:spacing w:after="60"/>
            </w:pPr>
            <w:r>
              <w:rPr>
                <w:rFonts w:ascii="Arial" w:cs="Arial" w:eastAsia="Arial" w:hAnsi="Arial"/>
                <w:color w:val="1A1A1A"/>
                <w:sz w:val="19"/>
                <w:szCs w:val="19"/>
              </w:rPr>
              <w:t xml:space="preserve">→  Préserver la confidentialité de toutes les informations communiquées par le Client</w:t>
            </w:r>
          </w:p>
          <w:p>
            <w:pPr>
              <w:spacing w:after="60"/>
            </w:pPr>
            <w:r>
              <w:rPr>
                <w:rFonts w:ascii="Arial" w:cs="Arial" w:eastAsia="Arial" w:hAnsi="Arial"/>
                <w:color w:val="1A1A1A"/>
                <w:sz w:val="19"/>
                <w:szCs w:val="19"/>
              </w:rPr>
              <w:t xml:space="preserve">→  Agir exclusivement dans l'intérêt du Client, sans conflit d'intérêts avec des tiers</w:t>
            </w:r>
          </w:p>
          <w:p>
            <w:pPr>
              <w:spacing w:after="60"/>
            </w:pPr>
            <w:r>
              <w:rPr>
                <w:rFonts w:ascii="Arial" w:cs="Arial" w:eastAsia="Arial" w:hAnsi="Arial"/>
                <w:color w:val="1A1A1A"/>
                <w:sz w:val="19"/>
                <w:szCs w:val="19"/>
              </w:rPr>
              <w:t xml:space="preserve">→  Respecter les obligations légales découlant de la Loi Hoguet et de ses décrets d'application</w:t>
            </w:r>
          </w:p>
          <w:p>
            <w:pPr>
              <w:spacing w:after="60"/>
            </w:pPr>
            <w:r>
              <w:rPr>
                <w:rFonts w:ascii="Arial" w:cs="Arial" w:eastAsia="Arial" w:hAnsi="Arial"/>
                <w:color w:val="1A1A1A"/>
                <w:sz w:val="19"/>
                <w:szCs w:val="19"/>
              </w:rPr>
              <w:t xml:space="preserve">→  Souscrire et maintenir une assurance responsabilité civile professionnelle adéquate</w:t>
            </w:r>
          </w:p>
        </w:tc>
      </w:tr>
    </w:tbl>
    <w:p>
      <w:pPr>
        <w:spacing w:after="160"/>
      </w:pPr>
      <w:r>
        <w:t xml:space="preserve"/>
      </w:r>
    </w:p>
    <w:p>
      <w:pPr>
        <w:spacing w:before="240" w:after="100"/>
      </w:pPr>
      <w:r>
        <w:rPr>
          <w:rFonts w:ascii="Arial" w:cs="Arial" w:eastAsia="Arial" w:hAnsi="Arial"/>
          <w:b/>
          <w:bCs/>
          <w:color w:val="F5A800"/>
          <w:sz w:val="22"/>
          <w:szCs w:val="22"/>
        </w:rPr>
        <w:t xml:space="preserve">Article 4 — </w:t>
      </w:r>
      <w:r>
        <w:rPr>
          <w:rFonts w:ascii="Arial" w:cs="Arial" w:eastAsia="Arial" w:hAnsi="Arial"/>
          <w:b/>
          <w:bCs/>
          <w:color w:val="0D2E1A"/>
          <w:sz w:val="22"/>
          <w:szCs w:val="22"/>
        </w:rPr>
        <w:t xml:space="preserve">Obligations du Client</w:t>
      </w:r>
    </w:p>
    <w:p>
      <w:pPr>
        <w:spacing w:after="160" w:before="0" w:line="320"/>
        <w:jc w:val="both"/>
      </w:pPr>
      <w:r>
        <w:rPr>
          <w:rFonts w:ascii="Arial" w:cs="Arial" w:eastAsia="Arial" w:hAnsi="Arial"/>
          <w:b w:val="false"/>
          <w:bCs w:val="false"/>
          <w:i w:val="false"/>
          <w:iCs w:val="false"/>
          <w:color w:val="1A1A1A"/>
          <w:sz w:val="21"/>
          <w:szCs w:val="21"/>
        </w:rPr>
        <w:t xml:space="preserve">Dans le cadre de la présente convention, le Client s'engage à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Engagements du Client</w:t>
            </w:r>
          </w:p>
          <w:p>
            <w:pPr>
              <w:spacing w:after="60"/>
            </w:pPr>
            <w:r>
              <w:rPr>
                <w:rFonts w:ascii="Arial" w:cs="Arial" w:eastAsia="Arial" w:hAnsi="Arial"/>
                <w:color w:val="1A1A1A"/>
                <w:sz w:val="19"/>
                <w:szCs w:val="19"/>
              </w:rPr>
              <w:t xml:space="preserve">→  Fournir à Hunters des informations complètes, exactes et à jour sur sa situation financière et patrimoniale</w:t>
            </w:r>
          </w:p>
          <w:p>
            <w:pPr>
              <w:spacing w:after="60"/>
            </w:pPr>
            <w:r>
              <w:rPr>
                <w:rFonts w:ascii="Arial" w:cs="Arial" w:eastAsia="Arial" w:hAnsi="Arial"/>
                <w:color w:val="1A1A1A"/>
                <w:sz w:val="19"/>
                <w:szCs w:val="19"/>
              </w:rPr>
              <w:t xml:space="preserve">→  Informer Hunters sans délai de tout changement de situation susceptible d'affecter son projet</w:t>
            </w:r>
          </w:p>
          <w:p>
            <w:pPr>
              <w:spacing w:after="60"/>
            </w:pPr>
            <w:r>
              <w:rPr>
                <w:rFonts w:ascii="Arial" w:cs="Arial" w:eastAsia="Arial" w:hAnsi="Arial"/>
                <w:color w:val="1A1A1A"/>
                <w:sz w:val="19"/>
                <w:szCs w:val="19"/>
              </w:rPr>
              <w:t xml:space="preserve">→  Respecter les conditions de paiement définies dans chaque Bon de Commande de Mission</w:t>
            </w:r>
          </w:p>
          <w:p>
            <w:pPr>
              <w:spacing w:after="60"/>
            </w:pPr>
            <w:r>
              <w:rPr>
                <w:rFonts w:ascii="Arial" w:cs="Arial" w:eastAsia="Arial" w:hAnsi="Arial"/>
                <w:color w:val="1A1A1A"/>
                <w:sz w:val="19"/>
                <w:szCs w:val="19"/>
              </w:rPr>
              <w:t xml:space="preserve">→  Ne pas mandater un autre prestataire concurrent sur une mission pour laquelle un Bon de Commande a été signé avec Hunters</w:t>
            </w:r>
          </w:p>
          <w:p>
            <w:pPr>
              <w:spacing w:after="60"/>
            </w:pPr>
            <w:r>
              <w:rPr>
                <w:rFonts w:ascii="Arial" w:cs="Arial" w:eastAsia="Arial" w:hAnsi="Arial"/>
                <w:color w:val="1A1A1A"/>
                <w:sz w:val="19"/>
                <w:szCs w:val="19"/>
              </w:rPr>
              <w:t xml:space="preserve">→  Prendre seul les décisions d'investissement — Hunters est un conseiller, non un décisionnaire</w:t>
            </w:r>
          </w:p>
        </w:tc>
      </w:tr>
    </w:tbl>
    <w:p>
      <w:pPr>
        <w:spacing w:after="160"/>
      </w:pPr>
      <w:r>
        <w:t xml:space="preserve"/>
      </w:r>
    </w:p>
    <w:p>
      <w:pPr>
        <w:spacing w:before="240" w:after="100"/>
      </w:pPr>
      <w:r>
        <w:rPr>
          <w:rFonts w:ascii="Arial" w:cs="Arial" w:eastAsia="Arial" w:hAnsi="Arial"/>
          <w:b/>
          <w:bCs/>
          <w:color w:val="F5A800"/>
          <w:sz w:val="22"/>
          <w:szCs w:val="22"/>
        </w:rPr>
        <w:t xml:space="preserve">Article 5 — </w:t>
      </w:r>
      <w:r>
        <w:rPr>
          <w:rFonts w:ascii="Arial" w:cs="Arial" w:eastAsia="Arial" w:hAnsi="Arial"/>
          <w:b/>
          <w:bCs/>
          <w:color w:val="0D2E1A"/>
          <w:sz w:val="22"/>
          <w:szCs w:val="22"/>
        </w:rPr>
        <w:t xml:space="preserve">Honoraires et facturation</w:t>
      </w:r>
    </w:p>
    <w:p>
      <w:pPr>
        <w:spacing w:after="160" w:before="0" w:line="320"/>
        <w:jc w:val="both"/>
      </w:pPr>
      <w:r>
        <w:rPr>
          <w:rFonts w:ascii="Arial" w:cs="Arial" w:eastAsia="Arial" w:hAnsi="Arial"/>
          <w:b w:val="false"/>
          <w:bCs w:val="false"/>
          <w:i w:val="false"/>
          <w:iCs w:val="false"/>
          <w:color w:val="1A1A1A"/>
          <w:sz w:val="21"/>
          <w:szCs w:val="21"/>
        </w:rPr>
        <w:t xml:space="preserve">Les honoraires applicables à chaque mission sont définis dans le Bon de Commande de Mission correspondant. Les conditions générales de facturation sont les suivantes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Conditions générales de facturation</w:t>
            </w:r>
          </w:p>
          <w:p>
            <w:pPr>
              <w:spacing w:after="60"/>
            </w:pPr>
            <w:r>
              <w:rPr>
                <w:rFonts w:ascii="Arial" w:cs="Arial" w:eastAsia="Arial" w:hAnsi="Arial"/>
                <w:color w:val="1A1A1A"/>
                <w:sz w:val="19"/>
                <w:szCs w:val="19"/>
              </w:rPr>
              <w:t xml:space="preserve">TVA — Les honoraires sont exprimés HT. La TVA au taux de 20 % est applicable sur l'ensemble des prestations.</w:t>
            </w:r>
          </w:p>
          <w:p>
            <w:pPr>
              <w:spacing w:after="60"/>
            </w:pPr>
            <w:r>
              <w:rPr>
                <w:rFonts w:ascii="Arial" w:cs="Arial" w:eastAsia="Arial" w:hAnsi="Arial"/>
                <w:color w:val="1A1A1A"/>
                <w:sz w:val="19"/>
                <w:szCs w:val="19"/>
              </w:rPr>
              <w:t xml:space="preserve">FACTURATION — Une facture est émise par Hunters à chaque échéance de paiement prévue dans le Bon de Commande.</w:t>
            </w:r>
          </w:p>
          <w:p>
            <w:pPr>
              <w:spacing w:after="60"/>
            </w:pPr>
            <w:r>
              <w:rPr>
                <w:rFonts w:ascii="Arial" w:cs="Arial" w:eastAsia="Arial" w:hAnsi="Arial"/>
                <w:color w:val="1A1A1A"/>
                <w:sz w:val="19"/>
                <w:szCs w:val="19"/>
              </w:rPr>
              <w:t xml:space="preserve">PAIEMENT — Les factures sont payables par virement bancaire dans un délai de 8 jours à compter de leur émission.</w:t>
            </w:r>
          </w:p>
          <w:p>
            <w:pPr>
              <w:spacing w:after="60"/>
            </w:pPr>
            <w:r>
              <w:rPr>
                <w:rFonts w:ascii="Arial" w:cs="Arial" w:eastAsia="Arial" w:hAnsi="Arial"/>
                <w:color w:val="1A1A1A"/>
                <w:sz w:val="19"/>
                <w:szCs w:val="19"/>
              </w:rPr>
              <w:t xml:space="preserve">RETARD — Tout retard de paiement entraîne de plein droit l'application d'une pénalité égale à 3 fois le taux d'intérêt légal, sans mise en demeure préalable.</w:t>
            </w:r>
          </w:p>
          <w:p>
            <w:pPr>
              <w:spacing w:after="60"/>
            </w:pPr>
            <w:r>
              <w:rPr>
                <w:rFonts w:ascii="Arial" w:cs="Arial" w:eastAsia="Arial" w:hAnsi="Arial"/>
                <w:color w:val="1A1A1A"/>
                <w:sz w:val="19"/>
                <w:szCs w:val="19"/>
              </w:rPr>
              <w:t xml:space="preserve">SUSPENSION — En cas de non-paiement d'une échéance, Hunters se réserve le droit de suspendre l'exécution de toute mission en cours après mise en demeure restée sans effet 8 jours.</w:t>
            </w:r>
          </w:p>
        </w:tc>
      </w:tr>
    </w:tbl>
    <w:p>
      <w:pPr>
        <w:spacing w:after="160"/>
      </w:pPr>
      <w:r>
        <w:t xml:space="preserve"/>
      </w:r>
    </w:p>
    <w:p>
      <w:pPr>
        <w:spacing w:before="240" w:after="100"/>
      </w:pPr>
      <w:r>
        <w:rPr>
          <w:rFonts w:ascii="Arial" w:cs="Arial" w:eastAsia="Arial" w:hAnsi="Arial"/>
          <w:b/>
          <w:bCs/>
          <w:color w:val="F5A800"/>
          <w:sz w:val="22"/>
          <w:szCs w:val="22"/>
        </w:rPr>
        <w:t xml:space="preserve">Article 6 — </w:t>
      </w:r>
      <w:r>
        <w:rPr>
          <w:rFonts w:ascii="Arial" w:cs="Arial" w:eastAsia="Arial" w:hAnsi="Arial"/>
          <w:b/>
          <w:bCs/>
          <w:color w:val="0D2E1A"/>
          <w:sz w:val="22"/>
          <w:szCs w:val="22"/>
        </w:rPr>
        <w:t xml:space="preserve">Confidentialité</w:t>
      </w:r>
    </w:p>
    <w:p>
      <w:pPr>
        <w:spacing w:after="160" w:before="0" w:line="320"/>
        <w:jc w:val="both"/>
      </w:pPr>
      <w:r>
        <w:rPr>
          <w:rFonts w:ascii="Arial" w:cs="Arial" w:eastAsia="Arial" w:hAnsi="Arial"/>
          <w:b w:val="false"/>
          <w:bCs w:val="false"/>
          <w:i w:val="false"/>
          <w:iCs w:val="false"/>
          <w:color w:val="1A1A1A"/>
          <w:sz w:val="21"/>
          <w:szCs w:val="21"/>
        </w:rPr>
        <w:t xml:space="preserve">Les Parties s'engagent mutuellement à préserver la confidentialité de toutes les informations échangées dans le cadre de la présente convention. Cette obligation de confidentialité s'étend à l'existence même de la relation contractuelle, aux informations financières et patrimoniales du Client, aux stratégies d'investissement définies, et aux données relatives aux biens identifiés ou acquis. Cette obligation est valable pendant toute la durée de la convention et durant une période de 3 ans après son expiration ou sa résiliation.</w:t>
      </w:r>
    </w:p>
    <w:p>
      <w:pPr>
        <w:spacing w:after="160"/>
      </w:pPr>
      <w:r>
        <w:t xml:space="preserve"/>
      </w:r>
    </w:p>
    <w:p>
      <w:pPr>
        <w:spacing w:before="240" w:after="100"/>
      </w:pPr>
      <w:r>
        <w:rPr>
          <w:rFonts w:ascii="Arial" w:cs="Arial" w:eastAsia="Arial" w:hAnsi="Arial"/>
          <w:b/>
          <w:bCs/>
          <w:color w:val="F5A800"/>
          <w:sz w:val="22"/>
          <w:szCs w:val="22"/>
        </w:rPr>
        <w:t xml:space="preserve">Article 7 — </w:t>
      </w:r>
      <w:r>
        <w:rPr>
          <w:rFonts w:ascii="Arial" w:cs="Arial" w:eastAsia="Arial" w:hAnsi="Arial"/>
          <w:b/>
          <w:bCs/>
          <w:color w:val="0D2E1A"/>
          <w:sz w:val="22"/>
          <w:szCs w:val="22"/>
        </w:rPr>
        <w:t xml:space="preserve">Protection des données personnelles</w:t>
      </w:r>
    </w:p>
    <w:p>
      <w:pPr>
        <w:spacing w:after="160" w:before="0" w:line="320"/>
        <w:jc w:val="both"/>
      </w:pPr>
      <w:r>
        <w:rPr>
          <w:rFonts w:ascii="Arial" w:cs="Arial" w:eastAsia="Arial" w:hAnsi="Arial"/>
          <w:b w:val="false"/>
          <w:bCs w:val="false"/>
          <w:i w:val="false"/>
          <w:iCs w:val="false"/>
          <w:color w:val="1A1A1A"/>
          <w:sz w:val="21"/>
          <w:szCs w:val="21"/>
        </w:rPr>
        <w:t xml:space="preserve">Les données personnelles du Client sont collectées et traitées par Hunters Immobilier aux fins exclusives de l'exécution des missions prévues à la présente convention. Conformément au Règlement Général sur la Protection des Données (RGPD) et à la loi Informatique et Libertés, le Client dispose d'un droit d'accès, de rectification, d'effacement et de portabilité de ses données. Ces droits peuvent être exercés par courrier adressé au siège de Hunters Immobilier ou par email à l'adresse communiquée par le mandataire en charge du dossier.</w:t>
      </w:r>
    </w:p>
    <w:p>
      <w:pPr>
        <w:spacing w:after="160"/>
      </w:pPr>
      <w:r>
        <w:t xml:space="preserve"/>
      </w:r>
    </w:p>
    <w:p>
      <w:pPr>
        <w:spacing w:before="240" w:after="100"/>
      </w:pPr>
      <w:r>
        <w:rPr>
          <w:rFonts w:ascii="Arial" w:cs="Arial" w:eastAsia="Arial" w:hAnsi="Arial"/>
          <w:b/>
          <w:bCs/>
          <w:color w:val="F5A800"/>
          <w:sz w:val="22"/>
          <w:szCs w:val="22"/>
        </w:rPr>
        <w:t xml:space="preserve">Article 8 — </w:t>
      </w:r>
      <w:r>
        <w:rPr>
          <w:rFonts w:ascii="Arial" w:cs="Arial" w:eastAsia="Arial" w:hAnsi="Arial"/>
          <w:b/>
          <w:bCs/>
          <w:color w:val="0D2E1A"/>
          <w:sz w:val="22"/>
          <w:szCs w:val="22"/>
        </w:rPr>
        <w:t xml:space="preserve">Responsabilité</w:t>
      </w:r>
    </w:p>
    <w:p>
      <w:pPr>
        <w:spacing w:after="160" w:before="0" w:line="320"/>
        <w:jc w:val="both"/>
      </w:pPr>
      <w:r>
        <w:rPr>
          <w:rFonts w:ascii="Arial" w:cs="Arial" w:eastAsia="Arial" w:hAnsi="Arial"/>
          <w:b w:val="false"/>
          <w:bCs w:val="false"/>
          <w:i w:val="false"/>
          <w:iCs w:val="false"/>
          <w:color w:val="1A1A1A"/>
          <w:sz w:val="21"/>
          <w:szCs w:val="21"/>
        </w:rPr>
        <w:t xml:space="preserve">Hunters Immobilier est tenu à une obligation de moyens dans l'exécution de ses missions. Sa responsabilité ne saurait être engagée en cas de décision d'investissement prise par le Client à l'encontre des recommandations formulées, en cas de fluctuation du marché immobilier postérieure à la mission de conseil, ou en cas de refus de financement bancaire non imputable à une erreur de Hunters. La responsabilité de Hunters est limitée au montant des honoraires HT perçus au titre de la mission concernée.</w:t>
      </w:r>
    </w:p>
    <w:p>
      <w:pPr>
        <w:spacing w:after="160"/>
      </w:pPr>
      <w:r>
        <w:t xml:space="preserve"/>
      </w:r>
    </w:p>
    <w:p>
      <w:pPr>
        <w:spacing w:before="240" w:after="100"/>
      </w:pPr>
      <w:r>
        <w:rPr>
          <w:rFonts w:ascii="Arial" w:cs="Arial" w:eastAsia="Arial" w:hAnsi="Arial"/>
          <w:b/>
          <w:bCs/>
          <w:color w:val="F5A800"/>
          <w:sz w:val="22"/>
          <w:szCs w:val="22"/>
        </w:rPr>
        <w:t xml:space="preserve">Article 9 — </w:t>
      </w:r>
      <w:r>
        <w:rPr>
          <w:rFonts w:ascii="Arial" w:cs="Arial" w:eastAsia="Arial" w:hAnsi="Arial"/>
          <w:b/>
          <w:bCs/>
          <w:color w:val="0D2E1A"/>
          <w:sz w:val="22"/>
          <w:szCs w:val="22"/>
        </w:rPr>
        <w:t xml:space="preserve">Médiation et droit applicable</w:t>
      </w:r>
    </w:p>
    <w:p>
      <w:pPr>
        <w:spacing w:after="160" w:before="0" w:line="320"/>
        <w:jc w:val="both"/>
      </w:pPr>
      <w:r>
        <w:rPr>
          <w:rFonts w:ascii="Arial" w:cs="Arial" w:eastAsia="Arial" w:hAnsi="Arial"/>
          <w:b w:val="false"/>
          <w:bCs w:val="false"/>
          <w:i w:val="false"/>
          <w:iCs w:val="false"/>
          <w:color w:val="1A1A1A"/>
          <w:sz w:val="21"/>
          <w:szCs w:val="21"/>
        </w:rPr>
        <w:t xml:space="preserve">En cas de litige relatif à l'exécution ou à l'interprétation de la présente convention, les Parties s'engagent à rechercher une solution amiable avant tout recours judiciaire. À défaut d'accord amiable dans un délai de 30 jours, le litige sera soumis au médiateur de la consommation compétent, conformément aux articles L.616-1 et R.616-1 du Code de la consommation. La présente convention est soumise au droit français. En cas de persistance du litige, les tribunaux du ressort de Tours seront seuls compétents.</w:t>
      </w:r>
    </w:p>
    <w:p>
      <w:pPr>
        <w:spacing w:after="160"/>
      </w:pPr>
      <w:r>
        <w:t xml:space="preserve"/>
      </w:r>
    </w:p>
    <w:p>
      <w:pPr>
        <w:spacing w:before="240" w:after="100"/>
      </w:pPr>
      <w:r>
        <w:rPr>
          <w:rFonts w:ascii="Arial" w:cs="Arial" w:eastAsia="Arial" w:hAnsi="Arial"/>
          <w:b/>
          <w:bCs/>
          <w:color w:val="F5A800"/>
          <w:sz w:val="22"/>
          <w:szCs w:val="22"/>
        </w:rPr>
        <w:t xml:space="preserve">Article 10 — </w:t>
      </w:r>
      <w:r>
        <w:rPr>
          <w:rFonts w:ascii="Arial" w:cs="Arial" w:eastAsia="Arial" w:hAnsi="Arial"/>
          <w:b/>
          <w:bCs/>
          <w:color w:val="0D2E1A"/>
          <w:sz w:val="22"/>
          <w:szCs w:val="22"/>
        </w:rPr>
        <w:t xml:space="preserve">Dispositions générales</w:t>
      </w:r>
    </w:p>
    <w:p>
      <w:pPr>
        <w:spacing w:after="160" w:before="0" w:line="320"/>
        <w:jc w:val="both"/>
      </w:pPr>
      <w:r>
        <w:rPr>
          <w:rFonts w:ascii="Arial" w:cs="Arial" w:eastAsia="Arial" w:hAnsi="Arial"/>
          <w:b w:val="false"/>
          <w:bCs w:val="false"/>
          <w:i w:val="false"/>
          <w:iCs w:val="false"/>
          <w:color w:val="1A1A1A"/>
          <w:sz w:val="21"/>
          <w:szCs w:val="21"/>
        </w:rPr>
        <w:t xml:space="preserve">La nullité d'une clause de la présente convention n'entraîne pas la nullité de l'ensemble du document. La convention constitue l'intégralité de l'accord entre les Parties sur son objet et annule et remplace tout accord antérieur. Toute modification de la présente convention doit faire l'objet d'un avenant écrit signé par les deux Parties.</w:t>
      </w:r>
    </w:p>
    <w:p>
      <w:pPr>
        <w:spacing w:after="200"/>
      </w:pPr>
      <w:r>
        <w:t xml:space="preserve"/>
      </w:r>
    </w:p>
    <w:p>
      <w:r>
        <w:br w:type="page"/>
      </w:r>
    </w:p>
    <w:p>
      <w:pPr>
        <w:pBdr>
          <w:bottom w:val="single" w:color="F5A800" w:sz="6" w:space="2"/>
        </w:pBdr>
        <w:spacing w:before="240" w:after="160"/>
        <w:jc w:val="center"/>
      </w:pPr>
      <w:r>
        <w:rPr>
          <w:rFonts w:ascii="Arial" w:cs="Arial" w:eastAsia="Arial" w:hAnsi="Arial"/>
          <w:b/>
          <w:bCs/>
          <w:color w:val="1A4D2E"/>
          <w:sz w:val="26"/>
          <w:szCs w:val="26"/>
        </w:rPr>
        <w:t xml:space="preserve">SIGNATURES</w:t>
      </w:r>
    </w:p>
    <w:p>
      <w:pPr>
        <w:spacing w:after="200"/>
      </w:pPr>
      <w:r>
        <w:t xml:space="preserve"/>
      </w:r>
    </w:p>
    <w:p>
      <w:pPr>
        <w:spacing w:after="100"/>
        <w:jc w:val="center"/>
      </w:pPr>
      <w:r>
        <w:rPr>
          <w:rFonts w:ascii="Arial" w:cs="Arial" w:eastAsia="Arial" w:hAnsi="Arial"/>
          <w:i/>
          <w:iCs/>
          <w:color w:val="666666"/>
          <w:sz w:val="20"/>
          <w:szCs w:val="20"/>
        </w:rPr>
        <w:t xml:space="preserve">Fait à Tours, le ____ / ____ / 2026  —  en deux exemplaires originaux</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200"/>
        <w:gridCol w:w="4413"/>
      </w:tblGrid>
      <w:tr>
        <w:tc>
          <w:tcPr>
            <w:tcW w:type="dxa" w:w="4413"/>
            <w:tcBorders>
              <w:top w:val="single" w:color="CCCCCC" w:sz="1"/>
              <w:left w:val="none"/>
              <w:bottom w:val="single" w:color="CCCCCC" w:sz="1"/>
              <w:right w:val="none"/>
            </w:tcBorders>
            <w:shd w:fill="FFFFFF" w:val="clear"/>
            <w:tcMar>
              <w:top w:type="dxa" w:w="80"/>
              <w:left w:type="dxa" w:w="0"/>
              <w:bottom w:type="dxa" w:w="80"/>
              <w:right w:type="dxa" w:w="80"/>
            </w:tcMar>
          </w:tcPr>
          <w:p>
            <w:pPr>
              <w:spacing w:after="40"/>
              <w:jc w:val="center"/>
            </w:pPr>
            <w:r>
              <w:rPr>
                <w:rFonts w:ascii="Arial" w:cs="Arial" w:eastAsia="Arial" w:hAnsi="Arial"/>
                <w:b/>
                <w:bCs/>
                <w:color w:val="0D2E1A"/>
                <w:sz w:val="20"/>
                <w:szCs w:val="20"/>
              </w:rPr>
              <w:t xml:space="preserve">LE CLIENT</w:t>
            </w:r>
          </w:p>
          <w:p>
            <w:pPr>
              <w:spacing w:after="40"/>
              <w:jc w:val="center"/>
            </w:pPr>
            <w:r>
              <w:rPr>
                <w:rFonts w:ascii="Arial" w:cs="Arial" w:eastAsia="Arial" w:hAnsi="Arial"/>
                <w:i/>
                <w:iCs/>
                <w:color w:val="666666"/>
                <w:sz w:val="18"/>
                <w:szCs w:val="18"/>
              </w:rPr>
              <w:t xml:space="preserve">Signature précédée de la mention</w:t>
            </w:r>
          </w:p>
          <w:p>
            <w:pPr>
              <w:spacing w:after="40"/>
              <w:jc w:val="center"/>
            </w:pPr>
            <w:r>
              <w:rPr>
                <w:rFonts w:ascii="Arial" w:cs="Arial" w:eastAsia="Arial" w:hAnsi="Arial"/>
                <w:i/>
                <w:iCs/>
                <w:color w:val="666666"/>
                <w:sz w:val="18"/>
                <w:szCs w:val="18"/>
              </w:rPr>
              <w:t xml:space="preserve">"Lu et approuvé"</w:t>
            </w:r>
          </w:p>
          <w:p>
            <w:pPr>
              <w:pBdr>
                <w:bottom w:val="single" w:color="CCCCCC" w:sz="2" w:space="2"/>
              </w:pBdr>
              <w:spacing w:after="0"/>
            </w:pPr>
            <w:r>
              <w:rPr>
                <w:rFonts w:ascii="Arial" w:cs="Arial" w:eastAsia="Arial" w:hAnsi="Arial"/>
                <w:sz w:val="20"/>
                <w:szCs w:val="20"/>
              </w:rPr>
              <w:t xml:space="preserve">                                                          </w:t>
            </w:r>
          </w:p>
          <w:p>
            <w:pPr>
              <w:spacing w:after="40"/>
            </w:pPr>
            <w:r>
              <w:t xml:space="preserve"/>
            </w:r>
          </w:p>
          <w:p>
            <w:pPr>
              <w:pBdr>
                <w:bottom w:val="single" w:color="CCCCCC" w:sz="2" w:space="2"/>
              </w:pBdr>
              <w:spacing w:after="0"/>
            </w:pPr>
            <w:r>
              <w:rPr>
                <w:rFonts w:ascii="Arial" w:cs="Arial" w:eastAsia="Arial" w:hAnsi="Arial"/>
                <w:sz w:val="20"/>
                <w:szCs w:val="20"/>
              </w:rPr>
              <w:t xml:space="preserve">                                                          </w:t>
            </w:r>
          </w:p>
        </w:tc>
        <w:tc>
          <w:tcPr>
            <w:tcW w:type="dxa" w:w="200"/>
            <w:tcBorders>
              <w:top w:val="none"/>
              <w:left w:val="none"/>
              <w:bottom w:val="none"/>
              <w:right w:val="none"/>
            </w:tcBorders>
            <w:shd w:fill="FFFFFF" w:val="clear"/>
          </w:tcPr>
          <w:p>
            <w:r>
              <w:t xml:space="preserve"/>
            </w:r>
          </w:p>
        </w:tc>
        <w:tc>
          <w:tcPr>
            <w:tcW w:type="dxa" w:w="4413"/>
            <w:tcBorders>
              <w:top w:val="single" w:color="CCCCCC" w:sz="1"/>
              <w:left w:val="none"/>
              <w:bottom w:val="single" w:color="CCCCCC" w:sz="1"/>
              <w:right w:val="none"/>
            </w:tcBorders>
            <w:shd w:fill="FFFFFF" w:val="clear"/>
            <w:tcMar>
              <w:top w:type="dxa" w:w="80"/>
              <w:left w:type="dxa" w:w="80"/>
              <w:bottom w:type="dxa" w:w="80"/>
              <w:right w:type="dxa" w:w="0"/>
            </w:tcMar>
          </w:tcPr>
          <w:p>
            <w:pPr>
              <w:spacing w:after="40"/>
              <w:jc w:val="center"/>
            </w:pPr>
            <w:r>
              <w:rPr>
                <w:rFonts w:ascii="Arial" w:cs="Arial" w:eastAsia="Arial" w:hAnsi="Arial"/>
                <w:b/>
                <w:bCs/>
                <w:color w:val="0D2E1A"/>
                <w:sz w:val="20"/>
                <w:szCs w:val="20"/>
              </w:rPr>
              <w:t xml:space="preserve">HUNTERS IMMOBILIER
Anaïs SAIZONOU, Fondateur</w:t>
            </w:r>
          </w:p>
          <w:p>
            <w:pPr>
              <w:spacing w:after="40"/>
              <w:jc w:val="center"/>
            </w:pPr>
            <w:r>
              <w:rPr>
                <w:rFonts w:ascii="Arial" w:cs="Arial" w:eastAsia="Arial" w:hAnsi="Arial"/>
                <w:i/>
                <w:iCs/>
                <w:color w:val="666666"/>
                <w:sz w:val="18"/>
                <w:szCs w:val="18"/>
              </w:rPr>
              <w:t xml:space="preserve">Signature précédée de la mention</w:t>
            </w:r>
          </w:p>
          <w:p>
            <w:pPr>
              <w:spacing w:after="40"/>
              <w:jc w:val="center"/>
            </w:pPr>
            <w:r>
              <w:rPr>
                <w:rFonts w:ascii="Arial" w:cs="Arial" w:eastAsia="Arial" w:hAnsi="Arial"/>
                <w:i/>
                <w:iCs/>
                <w:color w:val="666666"/>
                <w:sz w:val="18"/>
                <w:szCs w:val="18"/>
              </w:rPr>
              <w:t xml:space="preserve">"Lu et approuvé"</w:t>
            </w:r>
          </w:p>
          <w:p>
            <w:pPr>
              <w:pBdr>
                <w:bottom w:val="single" w:color="CCCCCC" w:sz="2" w:space="2"/>
              </w:pBdr>
              <w:spacing w:after="0"/>
            </w:pPr>
            <w:r>
              <w:rPr>
                <w:rFonts w:ascii="Arial" w:cs="Arial" w:eastAsia="Arial" w:hAnsi="Arial"/>
                <w:sz w:val="20"/>
                <w:szCs w:val="20"/>
              </w:rPr>
              <w:t xml:space="preserve">                                                          </w:t>
            </w:r>
          </w:p>
          <w:p>
            <w:pPr>
              <w:spacing w:after="40"/>
            </w:pPr>
            <w:r>
              <w:t xml:space="preserve"/>
            </w:r>
          </w:p>
          <w:p>
            <w:pPr>
              <w:pBdr>
                <w:bottom w:val="single" w:color="CCCCCC" w:sz="2" w:space="2"/>
              </w:pBdr>
              <w:spacing w:after="0"/>
            </w:pPr>
            <w:r>
              <w:rPr>
                <w:rFonts w:ascii="Arial" w:cs="Arial" w:eastAsia="Arial" w:hAnsi="Arial"/>
                <w:sz w:val="20"/>
                <w:szCs w:val="20"/>
              </w:rPr>
              <w:t xml:space="preserve">                                                          </w:t>
            </w:r>
          </w:p>
        </w:tc>
      </w:tr>
    </w:tbl>
    <w:p>
      <w:pPr>
        <w:spacing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4D2E" w:sz="2"/>
              <w:left w:val="single" w:color="1A4D2E" w:sz="14"/>
              <w:bottom w:val="single" w:color="1A4D2E" w:sz="2"/>
              <w:right w:val="single" w:color="1A4D2E" w:sz="2"/>
            </w:tcBorders>
            <w:shd w:fill="E8F0EB" w:val="clear"/>
            <w:tcMar>
              <w:top w:type="dxa" w:w="140"/>
              <w:left w:type="dxa" w:w="220"/>
              <w:bottom w:type="dxa" w:w="140"/>
              <w:right w:type="dxa" w:w="220"/>
            </w:tcMar>
          </w:tcPr>
          <w:p>
            <w:pPr>
              <w:spacing w:after="80"/>
            </w:pPr>
            <w:r>
              <w:rPr>
                <w:rFonts w:ascii="Arial" w:cs="Arial" w:eastAsia="Arial" w:hAnsi="Arial"/>
                <w:b/>
                <w:bCs/>
                <w:color w:val="1A4D2E"/>
                <w:sz w:val="20"/>
                <w:szCs w:val="20"/>
              </w:rPr>
              <w:t xml:space="preserve">Mention légale obligatoire</w:t>
            </w:r>
          </w:p>
          <w:p>
            <w:pPr>
              <w:spacing w:after="60"/>
            </w:pPr>
            <w:r>
              <w:rPr>
                <w:rFonts w:ascii="Arial" w:cs="Arial" w:eastAsia="Arial" w:hAnsi="Arial"/>
                <w:color w:val="1A1A1A"/>
                <w:sz w:val="19"/>
                <w:szCs w:val="19"/>
              </w:rPr>
              <w:t xml:space="preserve">La présente convention est établie conformément aux dispositions de la Loi n° 70-9 du 2 janvier 1970</w:t>
            </w:r>
          </w:p>
          <w:p>
            <w:pPr>
              <w:spacing w:after="60"/>
            </w:pPr>
            <w:r>
              <w:rPr>
                <w:rFonts w:ascii="Arial" w:cs="Arial" w:eastAsia="Arial" w:hAnsi="Arial"/>
                <w:color w:val="1A1A1A"/>
                <w:sz w:val="19"/>
                <w:szCs w:val="19"/>
              </w:rPr>
              <w:t xml:space="preserve">(dite Loi Hoguet) et de son décret d'application n° 72-678 du 20 juillet 1972, réglementant</w:t>
            </w:r>
          </w:p>
          <w:p>
            <w:pPr>
              <w:spacing w:after="60"/>
            </w:pPr>
            <w:r>
              <w:rPr>
                <w:rFonts w:ascii="Arial" w:cs="Arial" w:eastAsia="Arial" w:hAnsi="Arial"/>
                <w:color w:val="1A1A1A"/>
                <w:sz w:val="19"/>
                <w:szCs w:val="19"/>
              </w:rPr>
              <w:t xml:space="preserve">les conditions d'exercice des activités relatives à certaines opérations portant sur les immeubles</w:t>
            </w:r>
          </w:p>
          <w:p>
            <w:pPr>
              <w:spacing w:after="60"/>
            </w:pPr>
            <w:r>
              <w:rPr>
                <w:rFonts w:ascii="Arial" w:cs="Arial" w:eastAsia="Arial" w:hAnsi="Arial"/>
                <w:color w:val="1A1A1A"/>
                <w:sz w:val="19"/>
                <w:szCs w:val="19"/>
              </w:rPr>
              <w:t xml:space="preserve">et les fonds de commerce.</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800" w:sz="2" w:space="4"/>
      </w:pBdr>
      <w:spacing w:before="0"/>
      <w:jc w:val="center"/>
    </w:pPr>
    <w:r>
      <w:rPr>
        <w:rFonts w:ascii="Arial" w:cs="Arial" w:eastAsia="Arial" w:hAnsi="Arial"/>
        <w:color w:val="666666"/>
        <w:sz w:val="16"/>
        <w:szCs w:val="16"/>
      </w:rPr>
      <w:t xml:space="preserve">Anaïs SAIZONOU  —  Hunters Immobilier  —  Convention Cadre v1.0 / 2026  —  Document contractuel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800" w:sz="4" w:space="4"/>
      </w:pBdr>
      <w:spacing w:after="0"/>
      <w:jc w:val="center"/>
    </w:pPr>
    <w:r>
      <w:rPr>
        <w:rFonts w:ascii="Arial" w:cs="Arial" w:eastAsia="Arial" w:hAnsi="Arial"/>
        <w:color w:val="666666"/>
        <w:sz w:val="17"/>
        <w:szCs w:val="17"/>
      </w:rPr>
      <w:t xml:space="preserve">HUNTERS IMMOBILIER  —  Convention de Mission Cadre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2026-03-12T11:20:12.097Z</dcterms:created>
  <dcterms:modified xsi:type="dcterms:W3CDTF">2026-03-12T11:20:12.098Z</dcterms:modified>
</cp:coreProperties>
</file>

<file path=docProps/custom.xml><?xml version="1.0" encoding="utf-8"?>
<Properties xmlns="http://schemas.openxmlformats.org/officeDocument/2006/custom-properties" xmlns:vt="http://schemas.openxmlformats.org/officeDocument/2006/docPropsVTypes"/>
</file>