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E1A" w:val="clear"/>
        <w:spacing w:before="400" w:after="80"/>
        <w:ind w:left="-1000" w:right="-1000"/>
        <w:jc w:val="center"/>
      </w:pPr>
      <w:r>
        <w:rPr>
          <w:rFonts w:ascii="Arial" w:cs="Arial" w:eastAsia="Arial" w:hAnsi="Arial"/>
          <w:b/>
          <w:bCs/>
          <w:color w:val="F5A800"/>
          <w:sz w:val="52"/>
          <w:szCs w:val="52"/>
        </w:rPr>
        <w:t xml:space="preserve">HUNTERS IMMOBILIER</w:t>
      </w:r>
    </w:p>
    <w:p>
      <w:pPr>
        <w:shd w:fill="0D2E1A" w:val="clear"/>
        <w:spacing w:after="60"/>
        <w:ind w:left="-1000" w:right="-1000"/>
        <w:jc w:val="center"/>
      </w:pPr>
      <w:r>
        <w:rPr>
          <w:rFonts w:ascii="Arial" w:cs="Arial" w:eastAsia="Arial" w:hAnsi="Arial"/>
          <w:b/>
          <w:bCs/>
          <w:color w:val="FFFFFF"/>
          <w:sz w:val="30"/>
          <w:szCs w:val="30"/>
        </w:rPr>
        <w:t xml:space="preserve">PROCÉDURE P04</w:t>
      </w:r>
    </w:p>
    <w:p>
      <w:pPr>
        <w:shd w:fill="0D2E1A" w:val="clear"/>
        <w:spacing w:after="60"/>
        <w:ind w:left="-1000" w:right="-1000"/>
        <w:jc w:val="center"/>
      </w:pPr>
      <w:r>
        <w:rPr>
          <w:rFonts w:ascii="Arial" w:cs="Arial" w:eastAsia="Arial" w:hAnsi="Arial"/>
          <w:color w:val="AAAAAA"/>
          <w:sz w:val="22"/>
          <w:szCs w:val="22"/>
        </w:rPr>
        <w:t xml:space="preserve">Mission Décoration &amp; Ameublement — Référentiel Opérationnel</w:t>
      </w:r>
    </w:p>
    <w:p>
      <w:pPr>
        <w:shd w:fill="0D2E1A" w:val="clear"/>
        <w:spacing w:after="500"/>
        <w:ind w:left="-1000" w:right="-1000"/>
        <w:jc w:val="center"/>
      </w:pPr>
      <w:r>
        <w:rPr>
          <w:rFonts w:ascii="Arial" w:cs="Arial" w:eastAsia="Arial" w:hAnsi="Arial"/>
          <w:color w:val="666666"/>
          <w:sz w:val="18"/>
          <w:szCs w:val="18"/>
        </w:rPr>
        <w:t xml:space="preserve">Procédure interne Hunters — v1.0 — Mars 2026</w:t>
      </w:r>
    </w:p>
    <w:p>
      <w:pPr>
        <w:spacing w:after="160"/>
      </w:pPr>
    </w:p>
    <w:p>
      <w:pPr>
        <w:shd w:fill="0D2E1A" w:val="clear"/>
        <w:spacing w:before="300" w:after="180"/>
        <w:ind w:left="160"/>
      </w:pPr>
      <w:r>
        <w:rPr>
          <w:rFonts w:ascii="Arial" w:cs="Arial" w:eastAsia="Arial" w:hAnsi="Arial"/>
          <w:b/>
          <w:bCs/>
          <w:color w:val="F5A800"/>
          <w:sz w:val="28"/>
          <w:szCs w:val="28"/>
        </w:rPr>
        <w:t xml:space="preserve">01  </w:t>
      </w:r>
      <w:r>
        <w:rPr>
          <w:rFonts w:ascii="Arial" w:cs="Arial" w:eastAsia="Arial" w:hAnsi="Arial"/>
          <w:b/>
          <w:bCs/>
          <w:color w:val="FFFFFF"/>
          <w:sz w:val="28"/>
          <w:szCs w:val="28"/>
        </w:rPr>
        <w:t xml:space="preserve">OBJET ET VALEUR AJOUTÉE</w:t>
      </w:r>
    </w:p>
    <w:p>
      <w:pPr>
        <w:spacing w:after="80"/>
      </w:pPr>
    </w:p>
    <w:p>
      <w:pPr>
        <w:spacing w:after="100" w:line="310"/>
        <w:ind w:left="180" w:right="180"/>
      </w:pPr>
      <w:r>
        <w:rPr>
          <w:rFonts w:ascii="Arial" w:cs="Arial" w:eastAsia="Arial" w:hAnsi="Arial"/>
          <w:color w:val="222222"/>
          <w:sz w:val="21"/>
          <w:szCs w:val="21"/>
        </w:rPr>
        <w:t xml:space="preserve">La mission P04 est la dernière étape du parcours Hunters avant la mise en location du bien. Elle transforme un logement rénové en appartement meublé clé en main, optimisé pour la location LMNP, le home staging avant revente, ou la location saisonnière haut de gamme.</w:t>
      </w:r>
    </w:p>
    <w:p>
      <w:pPr>
        <w:spacing w:after="40"/>
      </w:pPr>
    </w:p>
    <w:p>
      <w:pPr>
        <w:spacing w:after="100" w:line="310"/>
        <w:ind w:left="180" w:right="180"/>
      </w:pPr>
      <w:r>
        <w:rPr>
          <w:rFonts w:ascii="Arial" w:cs="Arial" w:eastAsia="Arial" w:hAnsi="Arial"/>
          <w:color w:val="222222"/>
          <w:sz w:val="21"/>
          <w:szCs w:val="21"/>
        </w:rPr>
        <w:t xml:space="preserve">C'est une mission à fort impact financier pour le client : un bien meublé et décoré avec soin se loue 15 à 25 % plus cher qu'un bien vide équivalent, se loue plus vite (délai réduit de 30 %), et génère un avantage fiscal LMNP immédiat via l'amortissement du mobilier.</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Borders>
              <w:top w:val="single" w:color="D4E2D9" w:sz="1"/>
              <w:left w:val="single" w:color="D4E2D9" w:sz="1"/>
              <w:bottom w:val="single" w:color="D4E2D9" w:sz="1"/>
              <w:right w:val="single" w:color="D4E2D9" w:sz="1"/>
            </w:tcBorders>
            <w:shd w:fill="E8F2EC" w:val="clear"/>
            <w:tcMar>
              <w:top w:type="dxa" w:w="110"/>
              <w:left w:type="dxa" w:w="100"/>
              <w:bottom w:type="dxa" w:w="110"/>
              <w:right w:type="dxa" w:w="100"/>
            </w:tcMar>
            <w:vAlign w:val="center"/>
          </w:tcPr>
          <w:p>
            <w:pPr>
              <w:spacing w:after="30"/>
              <w:jc w:val="center"/>
            </w:pPr>
            <w:r>
              <w:rPr>
                <w:rFonts w:ascii="Arial" w:cs="Arial" w:eastAsia="Arial" w:hAnsi="Arial"/>
                <w:b/>
                <w:bCs/>
                <w:color w:val="1A4D2E"/>
                <w:sz w:val="32"/>
                <w:szCs w:val="32"/>
              </w:rPr>
              <w:t xml:space="preserve">+20 %</w:t>
            </w:r>
          </w:p>
          <w:p>
            <w:pPr>
              <w:spacing w:after="20"/>
              <w:jc w:val="center"/>
            </w:pPr>
            <w:r>
              <w:rPr>
                <w:rFonts w:ascii="Arial" w:cs="Arial" w:eastAsia="Arial" w:hAnsi="Arial"/>
                <w:b/>
                <w:bCs/>
                <w:color w:val="0D2E1A"/>
                <w:sz w:val="18"/>
                <w:szCs w:val="18"/>
              </w:rPr>
              <w:t xml:space="preserve">Loyer moyen</w:t>
            </w:r>
          </w:p>
          <w:p>
            <w:pPr>
              <w:jc w:val="center"/>
            </w:pPr>
            <w:r>
              <w:rPr>
                <w:rFonts w:ascii="Arial" w:cs="Arial" w:eastAsia="Arial" w:hAnsi="Arial"/>
                <w:i/>
                <w:iCs/>
                <w:color w:val="555555"/>
                <w:sz w:val="17"/>
                <w:szCs w:val="17"/>
              </w:rPr>
              <w:t xml:space="preserve">Meublé vs vide à surface égale</w:t>
            </w:r>
          </w:p>
        </w:tc>
        <w:tc>
          <w:tcPr>
            <w:tcBorders>
              <w:top w:val="single" w:color="D4E2D9" w:sz="1"/>
              <w:left w:val="single" w:color="D4E2D9" w:sz="1"/>
              <w:bottom w:val="single" w:color="D4E2D9" w:sz="1"/>
              <w:right w:val="single" w:color="D4E2D9" w:sz="1"/>
            </w:tcBorders>
            <w:shd w:fill="E8F2EC" w:val="clear"/>
            <w:tcMar>
              <w:top w:type="dxa" w:w="110"/>
              <w:left w:type="dxa" w:w="100"/>
              <w:bottom w:type="dxa" w:w="110"/>
              <w:right w:type="dxa" w:w="100"/>
            </w:tcMar>
            <w:vAlign w:val="center"/>
          </w:tcPr>
          <w:p>
            <w:pPr>
              <w:spacing w:after="30"/>
              <w:jc w:val="center"/>
            </w:pPr>
            <w:r>
              <w:rPr>
                <w:rFonts w:ascii="Arial" w:cs="Arial" w:eastAsia="Arial" w:hAnsi="Arial"/>
                <w:b/>
                <w:bCs/>
                <w:color w:val="1A4D2E"/>
                <w:sz w:val="32"/>
                <w:szCs w:val="32"/>
              </w:rPr>
              <w:t xml:space="preserve">18 j</w:t>
            </w:r>
          </w:p>
          <w:p>
            <w:pPr>
              <w:spacing w:after="20"/>
              <w:jc w:val="center"/>
            </w:pPr>
            <w:r>
              <w:rPr>
                <w:rFonts w:ascii="Arial" w:cs="Arial" w:eastAsia="Arial" w:hAnsi="Arial"/>
                <w:b/>
                <w:bCs/>
                <w:color w:val="0D2E1A"/>
                <w:sz w:val="18"/>
                <w:szCs w:val="18"/>
              </w:rPr>
              <w:t xml:space="preserve">Délai location moy.</w:t>
            </w:r>
          </w:p>
          <w:p>
            <w:pPr>
              <w:jc w:val="center"/>
            </w:pPr>
            <w:r>
              <w:rPr>
                <w:rFonts w:ascii="Arial" w:cs="Arial" w:eastAsia="Arial" w:hAnsi="Arial"/>
                <w:i/>
                <w:iCs/>
                <w:color w:val="555555"/>
                <w:sz w:val="17"/>
                <w:szCs w:val="17"/>
              </w:rPr>
              <w:t xml:space="preserve">Bien Hunters décoré vs 45 j vide</w:t>
            </w:r>
          </w:p>
        </w:tc>
        <w:tc>
          <w:tcPr>
            <w:tcBorders>
              <w:top w:val="single" w:color="D4E2D9" w:sz="1"/>
              <w:left w:val="single" w:color="D4E2D9" w:sz="1"/>
              <w:bottom w:val="single" w:color="D4E2D9" w:sz="1"/>
              <w:right w:val="single" w:color="D4E2D9" w:sz="1"/>
            </w:tcBorders>
            <w:shd w:fill="E8F2EC" w:val="clear"/>
            <w:tcMar>
              <w:top w:type="dxa" w:w="110"/>
              <w:left w:type="dxa" w:w="100"/>
              <w:bottom w:type="dxa" w:w="110"/>
              <w:right w:type="dxa" w:w="100"/>
            </w:tcMar>
            <w:vAlign w:val="center"/>
          </w:tcPr>
          <w:p>
            <w:pPr>
              <w:spacing w:after="30"/>
              <w:jc w:val="center"/>
            </w:pPr>
            <w:r>
              <w:rPr>
                <w:rFonts w:ascii="Arial" w:cs="Arial" w:eastAsia="Arial" w:hAnsi="Arial"/>
                <w:b/>
                <w:bCs/>
                <w:color w:val="1A4D2E"/>
                <w:sz w:val="32"/>
                <w:szCs w:val="32"/>
              </w:rPr>
              <w:t xml:space="preserve">15 %</w:t>
            </w:r>
          </w:p>
          <w:p>
            <w:pPr>
              <w:spacing w:after="20"/>
              <w:jc w:val="center"/>
            </w:pPr>
            <w:r>
              <w:rPr>
                <w:rFonts w:ascii="Arial" w:cs="Arial" w:eastAsia="Arial" w:hAnsi="Arial"/>
                <w:b/>
                <w:bCs/>
                <w:color w:val="0D2E1A"/>
                <w:sz w:val="18"/>
                <w:szCs w:val="18"/>
              </w:rPr>
              <w:t xml:space="preserve">Commission N1</w:t>
            </w:r>
          </w:p>
          <w:p>
            <w:pPr>
              <w:jc w:val="center"/>
            </w:pPr>
            <w:r>
              <w:rPr>
                <w:rFonts w:ascii="Arial" w:cs="Arial" w:eastAsia="Arial" w:hAnsi="Arial"/>
                <w:i/>
                <w:iCs/>
                <w:color w:val="555555"/>
                <w:sz w:val="17"/>
                <w:szCs w:val="17"/>
              </w:rPr>
              <w:t xml:space="preserve">Sur honoraires déco HT</w:t>
            </w:r>
          </w:p>
        </w:tc>
        <w:tc>
          <w:tcPr>
            <w:tcBorders>
              <w:top w:val="single" w:color="D4E2D9" w:sz="1"/>
              <w:left w:val="single" w:color="D4E2D9" w:sz="1"/>
              <w:bottom w:val="single" w:color="D4E2D9" w:sz="1"/>
              <w:right w:val="single" w:color="D4E2D9" w:sz="1"/>
            </w:tcBorders>
            <w:shd w:fill="E8F2EC" w:val="clear"/>
            <w:tcMar>
              <w:top w:type="dxa" w:w="110"/>
              <w:left w:type="dxa" w:w="100"/>
              <w:bottom w:type="dxa" w:w="110"/>
              <w:right w:type="dxa" w:w="100"/>
            </w:tcMar>
            <w:vAlign w:val="center"/>
          </w:tcPr>
          <w:p>
            <w:pPr>
              <w:spacing w:after="30"/>
              <w:jc w:val="center"/>
            </w:pPr>
            <w:r>
              <w:rPr>
                <w:rFonts w:ascii="Arial" w:cs="Arial" w:eastAsia="Arial" w:hAnsi="Arial"/>
                <w:b/>
                <w:bCs/>
                <w:color w:val="1A4D2E"/>
                <w:sz w:val="32"/>
                <w:szCs w:val="32"/>
              </w:rPr>
              <w:t xml:space="preserve">BC-M04</w:t>
            </w:r>
          </w:p>
          <w:p>
            <w:pPr>
              <w:spacing w:after="20"/>
              <w:jc w:val="center"/>
            </w:pPr>
            <w:r>
              <w:rPr>
                <w:rFonts w:ascii="Arial" w:cs="Arial" w:eastAsia="Arial" w:hAnsi="Arial"/>
                <w:b/>
                <w:bCs/>
                <w:color w:val="0D2E1A"/>
                <w:sz w:val="18"/>
                <w:szCs w:val="18"/>
              </w:rPr>
              <w:t xml:space="preserve">Bon de commande</w:t>
            </w:r>
          </w:p>
          <w:p>
            <w:pPr>
              <w:jc w:val="center"/>
            </w:pPr>
            <w:r>
              <w:rPr>
                <w:rFonts w:ascii="Arial" w:cs="Arial" w:eastAsia="Arial" w:hAnsi="Arial"/>
                <w:i/>
                <w:iCs/>
                <w:color w:val="555555"/>
                <w:sz w:val="17"/>
                <w:szCs w:val="17"/>
              </w:rPr>
              <w:t xml:space="preserve">Activation obligatoire</w:t>
            </w:r>
          </w:p>
        </w:tc>
      </w:tr>
    </w:tbl>
    <w:p>
      <w:pPr>
        <w:spacing w:after="80"/>
      </w:pPr>
    </w:p>
    <w:p>
      <w:pPr>
        <w:pBdr>
          <w:left w:val="single" w:color="F5A800" w:sz="18"/>
        </w:pBdr>
        <w:shd w:fill="FFF4D6" w:val="clear"/>
        <w:spacing w:before="100" w:after="120"/>
        <w:ind w:left="180" w:right="180"/>
      </w:pPr>
      <w:r>
        <w:rPr>
          <w:rFonts w:ascii="Arial" w:cs="Arial" w:eastAsia="Arial" w:hAnsi="Arial"/>
          <w:i w:val="false"/>
          <w:iCs w:val="false"/>
          <w:color w:val="333333"/>
          <w:sz w:val="20"/>
          <w:szCs w:val="20"/>
        </w:rPr>
        <w:t xml:space="preserve">La mission P04 est systématiquement proposée après P03 (travaux) ou directement après l'acte authentique si le bien est déjà en bon état. C'est la mission la plus visible pour le client — elle matérialise concrètement la valeur de l'accompagnement Hunters.</w:t>
      </w:r>
    </w:p>
    <w:p>
      <w:pPr>
        <w:spacing w:after="80"/>
      </w:pPr>
    </w:p>
    <w:p>
      <w:pPr>
        <w:shd w:fill="0D2E1A" w:val="clear"/>
        <w:spacing w:before="300" w:after="180"/>
        <w:ind w:left="160"/>
      </w:pPr>
      <w:r>
        <w:rPr>
          <w:rFonts w:ascii="Arial" w:cs="Arial" w:eastAsia="Arial" w:hAnsi="Arial"/>
          <w:b/>
          <w:bCs/>
          <w:color w:val="F5A800"/>
          <w:sz w:val="28"/>
          <w:szCs w:val="28"/>
        </w:rPr>
        <w:t xml:space="preserve">02  </w:t>
      </w:r>
      <w:r>
        <w:rPr>
          <w:rFonts w:ascii="Arial" w:cs="Arial" w:eastAsia="Arial" w:hAnsi="Arial"/>
          <w:b/>
          <w:bCs/>
          <w:color w:val="FFFFFF"/>
          <w:sz w:val="28"/>
          <w:szCs w:val="28"/>
        </w:rPr>
        <w:t xml:space="preserve">PÉRIMÈTRE DE LA MISSION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Service</w:t>
            </w:r>
          </w:p>
        </w:tc>
        <w:tc>
          <w:tcPr>
            <w:tcW w:type="dxa" w:w="34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Inclus dans P04</w:t>
            </w:r>
          </w:p>
        </w:tc>
        <w:tc>
          <w:tcPr>
            <w:tcW w:type="dxa" w:w="3426"/>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En option (devis séparé)</w:t>
            </w:r>
          </w:p>
        </w:tc>
      </w:tr>
      <w:tr>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Conception</w:t>
            </w:r>
          </w:p>
        </w:tc>
        <w:tc>
          <w:tcPr>
            <w:tcW w:type="dxa" w:w="34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Proposition d'ambiance (moodboard) + plan d'ameublement</w:t>
            </w:r>
          </w:p>
        </w:tc>
        <w:tc>
          <w:tcPr>
            <w:tcW w:type="dxa" w:w="34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Rendu 3D photoréaliste</w:t>
            </w:r>
          </w:p>
        </w:tc>
      </w:tr>
      <w:tr>
        <w:tc>
          <w:tcPr>
            <w:tcW w:type="dxa" w:w="22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Shopping mobilier</w:t>
            </w:r>
          </w:p>
        </w:tc>
        <w:tc>
          <w:tcPr>
            <w:tcW w:type="dxa" w:w="34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Sélection et commande du mobilier (budget client)</w:t>
            </w:r>
          </w:p>
        </w:tc>
        <w:tc>
          <w:tcPr>
            <w:tcW w:type="dxa" w:w="34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Mobilier sur mesure ou créateur</w:t>
            </w:r>
          </w:p>
        </w:tc>
      </w:tr>
      <w:tr>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Livraison et montage</w:t>
            </w:r>
          </w:p>
        </w:tc>
        <w:tc>
          <w:tcPr>
            <w:tcW w:type="dxa" w:w="34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Coordination des livraisons, montage sur place</w:t>
            </w:r>
          </w:p>
        </w:tc>
        <w:tc>
          <w:tcPr>
            <w:tcW w:type="dxa" w:w="34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Livraison express J+1</w:t>
            </w:r>
          </w:p>
        </w:tc>
      </w:tr>
      <w:tr>
        <w:tc>
          <w:tcPr>
            <w:tcW w:type="dxa" w:w="22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Décoration</w:t>
            </w:r>
          </w:p>
        </w:tc>
        <w:tc>
          <w:tcPr>
            <w:tcW w:type="dxa" w:w="34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Textiles, luminaires, accessoires, art déco</w:t>
            </w:r>
          </w:p>
        </w:tc>
        <w:tc>
          <w:tcPr>
            <w:tcW w:type="dxa" w:w="34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Œuvres d'art originales</w:t>
            </w:r>
          </w:p>
        </w:tc>
      </w:tr>
      <w:tr>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Home staging</w:t>
            </w:r>
          </w:p>
        </w:tc>
        <w:tc>
          <w:tcPr>
            <w:tcW w:type="dxa" w:w="34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Mise en scène avant photos annonce</w:t>
            </w:r>
          </w:p>
        </w:tc>
        <w:tc>
          <w:tcPr>
            <w:tcW w:type="dxa" w:w="34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Shooting photo professionnel</w:t>
            </w:r>
          </w:p>
        </w:tc>
      </w:tr>
      <w:tr>
        <w:tc>
          <w:tcPr>
            <w:tcW w:type="dxa" w:w="22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Accès locataire</w:t>
            </w:r>
          </w:p>
        </w:tc>
        <w:tc>
          <w:tcPr>
            <w:tcW w:type="dxa" w:w="34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Check-list inventaire mobilier</w:t>
            </w:r>
          </w:p>
        </w:tc>
        <w:tc>
          <w:tcPr>
            <w:tcW w:type="dxa" w:w="34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Gestion des entrées/sorties locataires</w:t>
            </w:r>
          </w:p>
        </w:tc>
      </w:tr>
    </w:tbl>
    <w:p>
      <w:pPr>
        <w:spacing w:after="80"/>
      </w:pPr>
    </w:p>
    <w:p>
      <w:pPr>
        <w:shd w:fill="1A4D2E" w:val="clear"/>
        <w:spacing w:before="220" w:after="130"/>
        <w:ind w:left="160"/>
      </w:pPr>
      <w:r>
        <w:rPr>
          <w:rFonts w:ascii="Arial" w:cs="Arial" w:eastAsia="Arial" w:hAnsi="Arial"/>
          <w:b/>
          <w:bCs/>
          <w:color w:val="FFFFFF"/>
          <w:sz w:val="24"/>
          <w:szCs w:val="24"/>
        </w:rPr>
        <w:t xml:space="preserve">2.1  Typologies d'intervention selon le projet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Contexte</w:t>
            </w:r>
          </w:p>
        </w:tc>
        <w:tc>
          <w:tcPr>
            <w:tcW w:type="dxa" w:w="20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Niveau d'intervention</w:t>
            </w:r>
          </w:p>
        </w:tc>
        <w:tc>
          <w:tcPr>
            <w:tcW w:type="dxa" w:w="20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Budget mobilier type</w:t>
            </w:r>
          </w:p>
        </w:tc>
        <w:tc>
          <w:tcPr>
            <w:tcW w:type="dxa" w:w="2826"/>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Priorité décoration</w:t>
            </w:r>
          </w:p>
        </w:tc>
      </w:tr>
      <w:tr>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LMNP location longue durée</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Fonctionnel + durables</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3 000–6 000 € selon surface</w:t>
            </w:r>
          </w:p>
        </w:tc>
        <w:tc>
          <w:tcPr>
            <w:tcW w:type="dxa" w:w="28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Praticité, solidité, entretien facile</w:t>
            </w:r>
          </w:p>
        </w:tc>
      </w:tr>
      <w:tr>
        <w:tc>
          <w:tcPr>
            <w:tcW w:type="dxa" w:w="22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Location saisonnière Airbnb</w:t>
            </w:r>
          </w:p>
        </w:tc>
        <w:tc>
          <w:tcPr>
            <w:tcW w:type="dxa" w:w="20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Premium + singulier</w:t>
            </w:r>
          </w:p>
        </w:tc>
        <w:tc>
          <w:tcPr>
            <w:tcW w:type="dxa" w:w="20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6 000–12 000 €</w:t>
            </w:r>
          </w:p>
        </w:tc>
        <w:tc>
          <w:tcPr>
            <w:tcW w:type="dxa" w:w="28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Style, photos Instagram, confort</w:t>
            </w:r>
          </w:p>
        </w:tc>
      </w:tr>
      <w:tr>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Colocation haut de gamme</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Modulaire + résistant</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4 000–8 000 €</w:t>
            </w:r>
          </w:p>
        </w:tc>
        <w:tc>
          <w:tcPr>
            <w:tcW w:type="dxa" w:w="28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Espaces communs travaillés</w:t>
            </w:r>
          </w:p>
        </w:tc>
      </w:tr>
      <w:tr>
        <w:tc>
          <w:tcPr>
            <w:tcW w:type="dxa" w:w="22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Revente home staging</w:t>
            </w:r>
          </w:p>
        </w:tc>
        <w:tc>
          <w:tcPr>
            <w:tcW w:type="dxa" w:w="20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Neutre + valorisant</w:t>
            </w:r>
          </w:p>
        </w:tc>
        <w:tc>
          <w:tcPr>
            <w:tcW w:type="dxa" w:w="20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2 000–4 000 €</w:t>
            </w:r>
          </w:p>
        </w:tc>
        <w:tc>
          <w:tcPr>
            <w:tcW w:type="dxa" w:w="28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Dépersonnalisation, luminosité, espace</w:t>
            </w:r>
          </w:p>
        </w:tc>
      </w:tr>
      <w:tr>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Investisseur revendu meublé</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Complet + certifié LMNP</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5 000–9 000 €</w:t>
            </w:r>
          </w:p>
        </w:tc>
        <w:tc>
          <w:tcPr>
            <w:tcW w:type="dxa" w:w="28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Conformité liste mobilier LMNP</w:t>
            </w:r>
          </w:p>
        </w:tc>
      </w:tr>
    </w:tbl>
    <w:p>
      <w:pPr>
        <w:spacing w:after="80"/>
      </w:pPr>
    </w:p>
    <w:p>
      <w:pPr>
        <w:shd w:fill="0D2E1A" w:val="clear"/>
        <w:spacing w:before="300" w:after="180"/>
        <w:ind w:left="160"/>
      </w:pPr>
      <w:r>
        <w:rPr>
          <w:rFonts w:ascii="Arial" w:cs="Arial" w:eastAsia="Arial" w:hAnsi="Arial"/>
          <w:b/>
          <w:bCs/>
          <w:color w:val="F5A800"/>
          <w:sz w:val="28"/>
          <w:szCs w:val="28"/>
        </w:rPr>
        <w:t xml:space="preserve">03  </w:t>
      </w:r>
      <w:r>
        <w:rPr>
          <w:rFonts w:ascii="Arial" w:cs="Arial" w:eastAsia="Arial" w:hAnsi="Arial"/>
          <w:b/>
          <w:bCs/>
          <w:color w:val="FFFFFF"/>
          <w:sz w:val="28"/>
          <w:szCs w:val="28"/>
        </w:rPr>
        <w:t xml:space="preserve">LES 6 ÉTAPES DE LA MISSION P04</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4E2D9" w:sz="1"/>
              <w:left w:val="single" w:color="D4E2D9" w:sz="1"/>
              <w:bottom w:val="single" w:color="D4E2D9" w:sz="1"/>
              <w:right w:val="single" w:color="D4E2D9" w:sz="1"/>
            </w:tcBorders>
            <w:shd w:fill="1A4D2E"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01</w:t>
            </w:r>
          </w:p>
        </w:tc>
        <w:tc>
          <w:tcPr>
            <w:tcW w:type="dxa" w:w="8026"/>
            <w:tcBorders>
              <w:top w:val="single" w:color="D4E2D9" w:sz="1"/>
              <w:left w:val="single" w:color="D4E2D9" w:sz="1"/>
              <w:bottom w:val="single" w:color="D4E2D9" w:sz="1"/>
              <w:right w:val="single" w:color="D4E2D9" w:sz="1"/>
            </w:tcBorders>
            <w:shd w:fill="E8F2EC" w:val="clear"/>
            <w:tcMar>
              <w:top w:type="dxa" w:w="120"/>
              <w:left w:type="dxa" w:w="180"/>
              <w:bottom w:type="dxa" w:w="120"/>
              <w:right w:type="dxa" w:w="120"/>
            </w:tcMar>
          </w:tcPr>
          <w:p>
            <w:pPr>
              <w:spacing w:after="40"/>
            </w:pPr>
            <w:r>
              <w:rPr>
                <w:rFonts w:ascii="Arial" w:cs="Arial" w:eastAsia="Arial" w:hAnsi="Arial"/>
                <w:b/>
                <w:bCs/>
                <w:color w:val="0D2E1A"/>
                <w:sz w:val="23"/>
                <w:szCs w:val="23"/>
              </w:rPr>
              <w:t xml:space="preserve">Activation de la mission</w:t>
            </w:r>
          </w:p>
          <w:p>
            <w:pPr>
              <w:spacing w:after="40"/>
            </w:pPr>
            <w:r>
              <w:rPr>
                <w:rFonts w:ascii="Arial" w:cs="Arial" w:eastAsia="Arial" w:hAnsi="Arial"/>
                <w:i/>
                <w:iCs/>
                <w:color w:val="555555"/>
                <w:sz w:val="20"/>
                <w:szCs w:val="20"/>
              </w:rPr>
              <w:t xml:space="preserve">Condition : BC-M04 signé + bien accessible</w:t>
            </w:r>
          </w:p>
          <w:p>
            <w:pPr>
              <w:spacing w:after="0"/>
            </w:pPr>
            <w:r>
              <w:rPr>
                <w:rFonts w:ascii="Arial" w:cs="Arial" w:eastAsia="Arial" w:hAnsi="Arial"/>
                <w:color w:val="333333"/>
                <w:sz w:val="20"/>
                <w:szCs w:val="20"/>
              </w:rPr>
              <w:t xml:space="preserve">Visite du bien terminé (après travaux ou état existant). Brief client : usage prévu, locataire cible, style souhaité, budget mobilier. Validation du périmètre exact de la mission.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4E2D9" w:sz="1"/>
              <w:left w:val="single" w:color="D4E2D9" w:sz="1"/>
              <w:bottom w:val="single" w:color="D4E2D9" w:sz="1"/>
              <w:right w:val="single" w:color="D4E2D9" w:sz="1"/>
            </w:tcBorders>
            <w:shd w:fill="1A4D2E"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02</w:t>
            </w:r>
          </w:p>
        </w:tc>
        <w:tc>
          <w:tcPr>
            <w:tcW w:type="dxa" w:w="8026"/>
            <w:tcBorders>
              <w:top w:val="single" w:color="D4E2D9" w:sz="1"/>
              <w:left w:val="single" w:color="D4E2D9" w:sz="1"/>
              <w:bottom w:val="single" w:color="D4E2D9" w:sz="1"/>
              <w:right w:val="single" w:color="D4E2D9" w:sz="1"/>
            </w:tcBorders>
            <w:shd w:fill="E8F2EC" w:val="clear"/>
            <w:tcMar>
              <w:top w:type="dxa" w:w="120"/>
              <w:left w:type="dxa" w:w="180"/>
              <w:bottom w:type="dxa" w:w="120"/>
              <w:right w:type="dxa" w:w="120"/>
            </w:tcMar>
          </w:tcPr>
          <w:p>
            <w:pPr>
              <w:spacing w:after="40"/>
            </w:pPr>
            <w:r>
              <w:rPr>
                <w:rFonts w:ascii="Arial" w:cs="Arial" w:eastAsia="Arial" w:hAnsi="Arial"/>
                <w:b/>
                <w:bCs/>
                <w:color w:val="0D2E1A"/>
                <w:sz w:val="23"/>
                <w:szCs w:val="23"/>
              </w:rPr>
              <w:t xml:space="preserve">Conception — Moodboard et plan d'ameublement</w:t>
            </w:r>
          </w:p>
          <w:p>
            <w:pPr>
              <w:spacing w:after="40"/>
            </w:pPr>
            <w:r>
              <w:rPr>
                <w:rFonts w:ascii="Arial" w:cs="Arial" w:eastAsia="Arial" w:hAnsi="Arial"/>
                <w:i/>
                <w:iCs/>
                <w:color w:val="555555"/>
                <w:sz w:val="20"/>
                <w:szCs w:val="20"/>
              </w:rPr>
              <w:t xml:space="preserve">Délai : 5 jours ouvrés après visite</w:t>
            </w:r>
          </w:p>
          <w:p>
            <w:pPr>
              <w:spacing w:after="0"/>
            </w:pPr>
            <w:r>
              <w:rPr>
                <w:rFonts w:ascii="Arial" w:cs="Arial" w:eastAsia="Arial" w:hAnsi="Arial"/>
                <w:color w:val="333333"/>
                <w:sz w:val="20"/>
                <w:szCs w:val="20"/>
              </w:rPr>
              <w:t xml:space="preserve">Création du moodboard : palette colorielle, style (scandinave, industriel, cosy, moderne…), références visuelles. Plan d'ameublement côté avec encombrement mobilier. Présentation au client pour validation avant tout achat.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4E2D9" w:sz="1"/>
              <w:left w:val="single" w:color="D4E2D9" w:sz="1"/>
              <w:bottom w:val="single" w:color="D4E2D9" w:sz="1"/>
              <w:right w:val="single" w:color="D4E2D9" w:sz="1"/>
            </w:tcBorders>
            <w:shd w:fill="1A4D2E"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03</w:t>
            </w:r>
          </w:p>
        </w:tc>
        <w:tc>
          <w:tcPr>
            <w:tcW w:type="dxa" w:w="8026"/>
            <w:tcBorders>
              <w:top w:val="single" w:color="D4E2D9" w:sz="1"/>
              <w:left w:val="single" w:color="D4E2D9" w:sz="1"/>
              <w:bottom w:val="single" w:color="D4E2D9" w:sz="1"/>
              <w:right w:val="single" w:color="D4E2D9" w:sz="1"/>
            </w:tcBorders>
            <w:shd w:fill="E8F2EC" w:val="clear"/>
            <w:tcMar>
              <w:top w:type="dxa" w:w="120"/>
              <w:left w:type="dxa" w:w="180"/>
              <w:bottom w:type="dxa" w:w="120"/>
              <w:right w:type="dxa" w:w="120"/>
            </w:tcMar>
          </w:tcPr>
          <w:p>
            <w:pPr>
              <w:spacing w:after="40"/>
            </w:pPr>
            <w:r>
              <w:rPr>
                <w:rFonts w:ascii="Arial" w:cs="Arial" w:eastAsia="Arial" w:hAnsi="Arial"/>
                <w:b/>
                <w:bCs/>
                <w:color w:val="0D2E1A"/>
                <w:sz w:val="23"/>
                <w:szCs w:val="23"/>
              </w:rPr>
              <w:t xml:space="preserve">Shopping et sélection du mobilier</w:t>
            </w:r>
          </w:p>
          <w:p>
            <w:pPr>
              <w:spacing w:after="40"/>
            </w:pPr>
            <w:r>
              <w:rPr>
                <w:rFonts w:ascii="Arial" w:cs="Arial" w:eastAsia="Arial" w:hAnsi="Arial"/>
                <w:i/>
                <w:iCs/>
                <w:color w:val="555555"/>
                <w:sz w:val="20"/>
                <w:szCs w:val="20"/>
              </w:rPr>
              <w:t xml:space="preserve">Délai : 3 jours après validation moodboard</w:t>
            </w:r>
          </w:p>
          <w:p>
            <w:pPr>
              <w:spacing w:after="0"/>
            </w:pPr>
            <w:r>
              <w:rPr>
                <w:rFonts w:ascii="Arial" w:cs="Arial" w:eastAsia="Arial" w:hAnsi="Arial"/>
                <w:color w:val="333333"/>
                <w:sz w:val="20"/>
                <w:szCs w:val="20"/>
              </w:rPr>
              <w:t xml:space="preserve">Sélection des meubles et accessoires dans le respect du budget client (liste détaillée avec prix unitaires). Sourcing : IKEA, But, Maisons du Monde, Amazon, Selency (occasion premium), fournisseurs pro. Présentation de la liste d'achat complète pour validation finale du client.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4E2D9" w:sz="1"/>
              <w:left w:val="single" w:color="D4E2D9" w:sz="1"/>
              <w:bottom w:val="single" w:color="D4E2D9" w:sz="1"/>
              <w:right w:val="single" w:color="D4E2D9" w:sz="1"/>
            </w:tcBorders>
            <w:shd w:fill="1A4D2E"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04</w:t>
            </w:r>
          </w:p>
        </w:tc>
        <w:tc>
          <w:tcPr>
            <w:tcW w:type="dxa" w:w="8026"/>
            <w:tcBorders>
              <w:top w:val="single" w:color="D4E2D9" w:sz="1"/>
              <w:left w:val="single" w:color="D4E2D9" w:sz="1"/>
              <w:bottom w:val="single" w:color="D4E2D9" w:sz="1"/>
              <w:right w:val="single" w:color="D4E2D9" w:sz="1"/>
            </w:tcBorders>
            <w:shd w:fill="E8F2EC" w:val="clear"/>
            <w:tcMar>
              <w:top w:type="dxa" w:w="120"/>
              <w:left w:type="dxa" w:w="180"/>
              <w:bottom w:type="dxa" w:w="120"/>
              <w:right w:type="dxa" w:w="120"/>
            </w:tcMar>
          </w:tcPr>
          <w:p>
            <w:pPr>
              <w:spacing w:after="40"/>
            </w:pPr>
            <w:r>
              <w:rPr>
                <w:rFonts w:ascii="Arial" w:cs="Arial" w:eastAsia="Arial" w:hAnsi="Arial"/>
                <w:b/>
                <w:bCs/>
                <w:color w:val="0D2E1A"/>
                <w:sz w:val="23"/>
                <w:szCs w:val="23"/>
              </w:rPr>
              <w:t xml:space="preserve">Commandes et coordination des livraisons</w:t>
            </w:r>
          </w:p>
          <w:p>
            <w:pPr>
              <w:spacing w:after="40"/>
            </w:pPr>
            <w:r>
              <w:rPr>
                <w:rFonts w:ascii="Arial" w:cs="Arial" w:eastAsia="Arial" w:hAnsi="Arial"/>
                <w:i/>
                <w:iCs/>
                <w:color w:val="555555"/>
                <w:sz w:val="20"/>
                <w:szCs w:val="20"/>
              </w:rPr>
              <w:t xml:space="preserve">Dès validation de la liste d'achat</w:t>
            </w:r>
          </w:p>
          <w:p>
            <w:pPr>
              <w:spacing w:after="0"/>
            </w:pPr>
            <w:r>
              <w:rPr>
                <w:rFonts w:ascii="Arial" w:cs="Arial" w:eastAsia="Arial" w:hAnsi="Arial"/>
                <w:color w:val="333333"/>
                <w:sz w:val="20"/>
                <w:szCs w:val="20"/>
              </w:rPr>
              <w:t xml:space="preserve">Passation des commandes (compte client ou compte Hunters selon organisation). Suivi des délais de livraison. Coordination des créneaux d'accès au bien. Réception et contrôle des livraisons (état, conformité).</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4E2D9" w:sz="1"/>
              <w:left w:val="single" w:color="D4E2D9" w:sz="1"/>
              <w:bottom w:val="single" w:color="D4E2D9" w:sz="1"/>
              <w:right w:val="single" w:color="D4E2D9" w:sz="1"/>
            </w:tcBorders>
            <w:shd w:fill="1A4D2E"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05</w:t>
            </w:r>
          </w:p>
        </w:tc>
        <w:tc>
          <w:tcPr>
            <w:tcW w:type="dxa" w:w="8026"/>
            <w:tcBorders>
              <w:top w:val="single" w:color="D4E2D9" w:sz="1"/>
              <w:left w:val="single" w:color="D4E2D9" w:sz="1"/>
              <w:bottom w:val="single" w:color="D4E2D9" w:sz="1"/>
              <w:right w:val="single" w:color="D4E2D9" w:sz="1"/>
            </w:tcBorders>
            <w:shd w:fill="E8F2EC" w:val="clear"/>
            <w:tcMar>
              <w:top w:type="dxa" w:w="120"/>
              <w:left w:type="dxa" w:w="180"/>
              <w:bottom w:type="dxa" w:w="120"/>
              <w:right w:type="dxa" w:w="120"/>
            </w:tcMar>
          </w:tcPr>
          <w:p>
            <w:pPr>
              <w:spacing w:after="40"/>
            </w:pPr>
            <w:r>
              <w:rPr>
                <w:rFonts w:ascii="Arial" w:cs="Arial" w:eastAsia="Arial" w:hAnsi="Arial"/>
                <w:b/>
                <w:bCs/>
                <w:color w:val="0D2E1A"/>
                <w:sz w:val="23"/>
                <w:szCs w:val="23"/>
              </w:rPr>
              <w:t xml:space="preserve">Installation et décoration</w:t>
            </w:r>
          </w:p>
          <w:p>
            <w:pPr>
              <w:spacing w:after="40"/>
            </w:pPr>
            <w:r>
              <w:rPr>
                <w:rFonts w:ascii="Arial" w:cs="Arial" w:eastAsia="Arial" w:hAnsi="Arial"/>
                <w:i/>
                <w:iCs/>
                <w:color w:val="555555"/>
                <w:sz w:val="20"/>
                <w:szCs w:val="20"/>
              </w:rPr>
              <w:t xml:space="preserve">Jour(s) J — sur place</w:t>
            </w:r>
          </w:p>
          <w:p>
            <w:pPr>
              <w:spacing w:after="0"/>
            </w:pPr>
            <w:r>
              <w:rPr>
                <w:rFonts w:ascii="Arial" w:cs="Arial" w:eastAsia="Arial" w:hAnsi="Arial"/>
                <w:color w:val="333333"/>
                <w:sz w:val="20"/>
                <w:szCs w:val="20"/>
              </w:rPr>
              <w:t xml:space="preserve">Montage de tous les meubles. Installation des luminaires, textiles, accessoires. Agencement final conforme au plan validé. Vérification fonctionnelle : électricité, appareils, équipements.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D4E2D9" w:sz="1"/>
              <w:left w:val="single" w:color="D4E2D9" w:sz="1"/>
              <w:bottom w:val="single" w:color="D4E2D9" w:sz="1"/>
              <w:right w:val="single" w:color="D4E2D9" w:sz="1"/>
            </w:tcBorders>
            <w:shd w:fill="1A4D2E" w:val="clear"/>
            <w:tcMar>
              <w:top w:type="dxa" w:w="120"/>
              <w:left w:type="dxa" w:w="80"/>
              <w:bottom w:type="dxa" w:w="120"/>
              <w:right w:type="dxa" w:w="80"/>
            </w:tcMar>
            <w:vAlign w:val="center"/>
          </w:tcPr>
          <w:p>
            <w:pPr>
              <w:spacing w:after="0"/>
              <w:jc w:val="center"/>
            </w:pPr>
            <w:r>
              <w:rPr>
                <w:rFonts w:ascii="Arial" w:cs="Arial" w:eastAsia="Arial" w:hAnsi="Arial"/>
                <w:b/>
                <w:bCs/>
                <w:color w:val="FFFFFF"/>
                <w:sz w:val="36"/>
                <w:szCs w:val="36"/>
              </w:rPr>
              <w:t xml:space="preserve">06</w:t>
            </w:r>
          </w:p>
        </w:tc>
        <w:tc>
          <w:tcPr>
            <w:tcW w:type="dxa" w:w="8026"/>
            <w:tcBorders>
              <w:top w:val="single" w:color="D4E2D9" w:sz="1"/>
              <w:left w:val="single" w:color="D4E2D9" w:sz="1"/>
              <w:bottom w:val="single" w:color="D4E2D9" w:sz="1"/>
              <w:right w:val="single" w:color="D4E2D9" w:sz="1"/>
            </w:tcBorders>
            <w:shd w:fill="E8F2EC" w:val="clear"/>
            <w:tcMar>
              <w:top w:type="dxa" w:w="120"/>
              <w:left w:type="dxa" w:w="180"/>
              <w:bottom w:type="dxa" w:w="120"/>
              <w:right w:type="dxa" w:w="120"/>
            </w:tcMar>
          </w:tcPr>
          <w:p>
            <w:pPr>
              <w:spacing w:after="40"/>
            </w:pPr>
            <w:r>
              <w:rPr>
                <w:rFonts w:ascii="Arial" w:cs="Arial" w:eastAsia="Arial" w:hAnsi="Arial"/>
                <w:b/>
                <w:bCs/>
                <w:color w:val="0D2E1A"/>
                <w:sz w:val="23"/>
                <w:szCs w:val="23"/>
              </w:rPr>
              <w:t xml:space="preserve">Livraison finale et remise en location</w:t>
            </w:r>
          </w:p>
          <w:p>
            <w:pPr>
              <w:spacing w:after="40"/>
            </w:pPr>
            <w:r>
              <w:rPr>
                <w:rFonts w:ascii="Arial" w:cs="Arial" w:eastAsia="Arial" w:hAnsi="Arial"/>
                <w:i/>
                <w:iCs/>
                <w:color w:val="555555"/>
                <w:sz w:val="20"/>
                <w:szCs w:val="20"/>
              </w:rPr>
              <w:t xml:space="preserve">Dans les 48h suivant l'installation</w:t>
            </w:r>
          </w:p>
          <w:p>
            <w:pPr>
              <w:spacing w:after="0"/>
            </w:pPr>
            <w:r>
              <w:rPr>
                <w:rFonts w:ascii="Arial" w:cs="Arial" w:eastAsia="Arial" w:hAnsi="Arial"/>
                <w:color w:val="333333"/>
                <w:sz w:val="20"/>
                <w:szCs w:val="20"/>
              </w:rPr>
              <w:t xml:space="preserve">Photos du bien terminé (minimum 15 photos HD pour l'annonce). Check-list inventaire contradictoire établi. Dossier de clôture P04 remis au client. Proposition de mise en location (partenaire gestionnaire ou autonomie client). Suivi à J+30 : premier retour locataire.</w:t>
            </w:r>
          </w:p>
        </w:tc>
      </w:tr>
    </w:tbl>
    <w:p>
      <w:pPr>
        <w:spacing w:after="40"/>
      </w:pPr>
    </w:p>
    <w:p>
      <w:pPr>
        <w:spacing w:after="80"/>
      </w:pPr>
    </w:p>
    <w:p>
      <w:pPr>
        <w:shd w:fill="0D2E1A" w:val="clear"/>
        <w:spacing w:before="300" w:after="180"/>
        <w:ind w:left="160"/>
      </w:pPr>
      <w:r>
        <w:rPr>
          <w:rFonts w:ascii="Arial" w:cs="Arial" w:eastAsia="Arial" w:hAnsi="Arial"/>
          <w:b/>
          <w:bCs/>
          <w:color w:val="F5A800"/>
          <w:sz w:val="28"/>
          <w:szCs w:val="28"/>
        </w:rPr>
        <w:t xml:space="preserve">04  </w:t>
      </w:r>
      <w:r>
        <w:rPr>
          <w:rFonts w:ascii="Arial" w:cs="Arial" w:eastAsia="Arial" w:hAnsi="Arial"/>
          <w:b/>
          <w:bCs/>
          <w:color w:val="FFFFFF"/>
          <w:sz w:val="28"/>
          <w:szCs w:val="28"/>
        </w:rPr>
        <w:t xml:space="preserve">BARÈME HONORAIRES P04</w:t>
      </w:r>
    </w:p>
    <w:p>
      <w:pPr>
        <w:spacing w:after="80"/>
      </w:pPr>
    </w:p>
    <w:p>
      <w:pPr>
        <w:spacing w:after="100" w:line="310"/>
        <w:ind w:left="180" w:right="180"/>
      </w:pPr>
      <w:r>
        <w:rPr>
          <w:rFonts w:ascii="Arial" w:cs="Arial" w:eastAsia="Arial" w:hAnsi="Arial"/>
          <w:color w:val="222222"/>
          <w:sz w:val="21"/>
          <w:szCs w:val="21"/>
        </w:rPr>
        <w:t xml:space="preserve">Les honoraires de la mission déco &amp; ameublement sont calculés sur la base du budget mobilier &amp; décoration validé par le client.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26"/>
      </w:tblGrid>
      <w:tr>
        <w:tc>
          <w:tcPr>
            <w:tcW w:type="dxa" w:w="28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Budget mobilier client</w:t>
            </w:r>
          </w:p>
        </w:tc>
        <w:tc>
          <w:tcPr>
            <w:tcW w:type="dxa" w:w="22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Honoraires Hunters HT</w:t>
            </w:r>
          </w:p>
        </w:tc>
        <w:tc>
          <w:tcPr>
            <w:tcW w:type="dxa" w:w="20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Commission N1 (15 %)</w:t>
            </w:r>
          </w:p>
        </w:tc>
        <w:tc>
          <w:tcPr>
            <w:tcW w:type="dxa" w:w="2026"/>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Commission N2 (20 %)</w:t>
            </w:r>
          </w:p>
        </w:tc>
      </w:tr>
      <w:tr>
        <w:tc>
          <w:tcPr>
            <w:tcW w:type="dxa" w:w="28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0 – 20 000 €</w:t>
            </w:r>
          </w:p>
        </w:tc>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2 500 € + 15 % HT</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Exemple 8K : 555 €</w:t>
            </w:r>
          </w:p>
        </w:tc>
        <w:tc>
          <w:tcPr>
            <w:tcW w:type="dxa" w:w="20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Exemple 8K : 740 €</w:t>
            </w:r>
          </w:p>
        </w:tc>
      </w:tr>
      <w:tr>
        <w:tc>
          <w:tcPr>
            <w:tcW w:type="dxa" w:w="28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20 001 – 50 000 €</w:t>
            </w:r>
          </w:p>
        </w:tc>
        <w:tc>
          <w:tcPr>
            <w:tcW w:type="dxa" w:w="22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2 500 € + 12 % HT</w:t>
            </w:r>
          </w:p>
        </w:tc>
        <w:tc>
          <w:tcPr>
            <w:tcW w:type="dxa" w:w="20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Exemple 30K : 915 €</w:t>
            </w:r>
          </w:p>
        </w:tc>
        <w:tc>
          <w:tcPr>
            <w:tcW w:type="dxa" w:w="20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Exemple 30K : 1 220 €</w:t>
            </w:r>
          </w:p>
        </w:tc>
      </w:tr>
      <w:tr>
        <w:tc>
          <w:tcPr>
            <w:tcW w:type="dxa" w:w="28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Au-delà de 50 000 €</w:t>
            </w:r>
          </w:p>
        </w:tc>
        <w:tc>
          <w:tcPr>
            <w:tcW w:type="dxa" w:w="22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2 500 € + 10 % HT</w:t>
            </w:r>
          </w:p>
        </w:tc>
        <w:tc>
          <w:tcPr>
            <w:tcW w:type="dxa" w:w="20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Exemple 60K : 1 275 €</w:t>
            </w:r>
          </w:p>
        </w:tc>
        <w:tc>
          <w:tcPr>
            <w:tcW w:type="dxa" w:w="20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Exemple 60K : 1 700 €</w:t>
            </w:r>
          </w:p>
        </w:tc>
      </w:tr>
    </w:tbl>
    <w:p>
      <w:pPr>
        <w:spacing w:after="80"/>
      </w:pPr>
    </w:p>
    <w:p>
      <w:pPr>
        <w:pBdr>
          <w:left w:val="single" w:color="9A7000" w:sz="18"/>
        </w:pBdr>
        <w:shd w:fill="FFF4D6" w:val="clear"/>
        <w:spacing w:before="100" w:after="120"/>
        <w:ind w:left="180" w:right="180"/>
      </w:pPr>
      <w:r>
        <w:rPr>
          <w:rFonts w:ascii="Arial" w:cs="Arial" w:eastAsia="Arial" w:hAnsi="Arial"/>
          <w:i w:val="false"/>
          <w:iCs w:val="false"/>
          <w:color w:val="333333"/>
          <w:sz w:val="20"/>
          <w:szCs w:val="20"/>
        </w:rPr>
        <w:t xml:space="preserve">Les honoraires P04 sont exigibles en deux fois : 50 % à la signature du BC-M04 (validation du moodboard), 50 % à la livraison finale. Le budget mobilier est géré directement par le client — Hunters n'avance pas les fonds d'achat sauf accord préalable.</w:t>
      </w:r>
    </w:p>
    <w:p>
      <w:pPr>
        <w:spacing w:after="80"/>
      </w:pPr>
    </w:p>
    <w:p>
      <w:pPr>
        <w:shd w:fill="0D2E1A" w:val="clear"/>
        <w:spacing w:before="300" w:after="180"/>
        <w:ind w:left="160"/>
      </w:pPr>
      <w:r>
        <w:rPr>
          <w:rFonts w:ascii="Arial" w:cs="Arial" w:eastAsia="Arial" w:hAnsi="Arial"/>
          <w:b/>
          <w:bCs/>
          <w:color w:val="F5A800"/>
          <w:sz w:val="28"/>
          <w:szCs w:val="28"/>
        </w:rPr>
        <w:t xml:space="preserve">05  </w:t>
      </w:r>
      <w:r>
        <w:rPr>
          <w:rFonts w:ascii="Arial" w:cs="Arial" w:eastAsia="Arial" w:hAnsi="Arial"/>
          <w:b/>
          <w:bCs/>
          <w:color w:val="FFFFFF"/>
          <w:sz w:val="28"/>
          <w:szCs w:val="28"/>
        </w:rPr>
        <w:t xml:space="preserve">LISTE DE MOBILIER MINIMUM — CONFORMITÉ LMNP</w:t>
      </w:r>
    </w:p>
    <w:p>
      <w:pPr>
        <w:spacing w:after="80"/>
      </w:pPr>
    </w:p>
    <w:p>
      <w:pPr>
        <w:spacing w:after="100" w:line="310"/>
        <w:ind w:left="180" w:right="180"/>
      </w:pPr>
      <w:r>
        <w:rPr>
          <w:rFonts w:ascii="Arial" w:cs="Arial" w:eastAsia="Arial" w:hAnsi="Arial"/>
          <w:color w:val="222222"/>
          <w:sz w:val="21"/>
          <w:szCs w:val="21"/>
        </w:rPr>
        <w:t xml:space="preserve">Pour qu'un logement soit qualifié de "meublé" au sens de la loi du 6 juillet 1989 et ouvre droit au régime LMNP, le bien doit comporter au minimum les équipements suivants. Le mandataire P04 est garant de cette conformité.</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26"/>
      </w:tblGrid>
      <w:tr>
        <w:tc>
          <w:tcPr>
            <w:tcW w:type="dxa" w:w="14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Pièce</w:t>
            </w:r>
          </w:p>
        </w:tc>
        <w:tc>
          <w:tcPr>
            <w:tcW w:type="dxa" w:w="3600"/>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Équipement obligatoire (décret 2015-981)</w:t>
            </w:r>
          </w:p>
        </w:tc>
        <w:tc>
          <w:tcPr>
            <w:tcW w:type="dxa" w:w="4026"/>
            <w:tcBorders>
              <w:top w:val="single" w:color="D4E2D9" w:sz="1"/>
              <w:left w:val="single" w:color="D4E2D9" w:sz="1"/>
              <w:bottom w:val="single" w:color="D4E2D9" w:sz="1"/>
              <w:right w:val="single" w:color="D4E2D9" w:sz="1"/>
            </w:tcBorders>
            <w:shd w:fill="1A4D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Standard Hunters recommandé</w:t>
            </w:r>
          </w:p>
        </w:tc>
      </w:tr>
      <w:tr>
        <w:tc>
          <w:tcPr>
            <w:tcW w:type="dxa" w:w="14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Cuisine</w:t>
            </w:r>
          </w:p>
        </w:tc>
        <w:tc>
          <w:tcPr>
            <w:tcW w:type="dxa" w:w="36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Plaques de cuisson, four ou micro-ondes, réfrigérateur, vaisselle, ustensiles</w:t>
            </w:r>
          </w:p>
        </w:tc>
        <w:tc>
          <w:tcPr>
            <w:tcW w:type="dxa" w:w="40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 Lave-vaisselle, lave-linge, cafetière, grille-pain</w:t>
            </w:r>
          </w:p>
        </w:tc>
      </w:tr>
      <w:tr>
        <w:tc>
          <w:tcPr>
            <w:tcW w:type="dxa" w:w="14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Séjour</w:t>
            </w:r>
          </w:p>
        </w:tc>
        <w:tc>
          <w:tcPr>
            <w:tcW w:type="dxa" w:w="36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Table + sièges, étagères de rangement</w:t>
            </w:r>
          </w:p>
        </w:tc>
        <w:tc>
          <w:tcPr>
            <w:tcW w:type="dxa" w:w="40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 Canapé, téléviseur, luminaires, décoration</w:t>
            </w:r>
          </w:p>
        </w:tc>
      </w:tr>
      <w:tr>
        <w:tc>
          <w:tcPr>
            <w:tcW w:type="dxa" w:w="14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Chambre</w:t>
            </w:r>
          </w:p>
        </w:tc>
        <w:tc>
          <w:tcPr>
            <w:tcW w:type="dxa" w:w="36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Lit avec literie complète (couette, oreillers), rangement</w:t>
            </w:r>
          </w:p>
        </w:tc>
        <w:tc>
          <w:tcPr>
            <w:tcW w:type="dxa" w:w="40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 Bureau, lampe de chevet, miroir, rideaux occultants</w:t>
            </w:r>
          </w:p>
        </w:tc>
      </w:tr>
      <w:tr>
        <w:tc>
          <w:tcPr>
            <w:tcW w:type="dxa" w:w="14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left"/>
            </w:pPr>
            <w:r>
              <w:rPr>
                <w:rFonts w:ascii="Arial" w:cs="Arial" w:eastAsia="Arial" w:hAnsi="Arial"/>
                <w:b/>
                <w:bCs/>
                <w:color w:val="333333"/>
                <w:sz w:val="19"/>
                <w:szCs w:val="19"/>
              </w:rPr>
              <w:t xml:space="preserve">Salle de bain</w:t>
            </w:r>
          </w:p>
        </w:tc>
        <w:tc>
          <w:tcPr>
            <w:tcW w:type="dxa" w:w="3600"/>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Néant (non listé décret)</w:t>
            </w:r>
          </w:p>
        </w:tc>
        <w:tc>
          <w:tcPr>
            <w:tcW w:type="dxa" w:w="4026"/>
            <w:tcBorders>
              <w:top w:val="single" w:color="D4E2D9" w:sz="1"/>
              <w:left w:val="single" w:color="D4E2D9" w:sz="1"/>
              <w:bottom w:val="single" w:color="D4E2D9" w:sz="1"/>
              <w:right w:val="single" w:color="D4E2D9"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 Miroir éclairé, patères, porte-serviette, tapis</w:t>
            </w:r>
          </w:p>
        </w:tc>
      </w:tr>
      <w:tr>
        <w:tc>
          <w:tcPr>
            <w:tcW w:type="dxa" w:w="14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left"/>
            </w:pPr>
            <w:r>
              <w:rPr>
                <w:rFonts w:ascii="Arial" w:cs="Arial" w:eastAsia="Arial" w:hAnsi="Arial"/>
                <w:b/>
                <w:bCs/>
                <w:color w:val="333333"/>
                <w:sz w:val="19"/>
                <w:szCs w:val="19"/>
              </w:rPr>
              <w:t xml:space="preserve">Ensemble</w:t>
            </w:r>
          </w:p>
        </w:tc>
        <w:tc>
          <w:tcPr>
            <w:tcW w:type="dxa" w:w="3600"/>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Luminaires fonctionnels, matériel ménager (aspirateur, balai)</w:t>
            </w:r>
          </w:p>
        </w:tc>
        <w:tc>
          <w:tcPr>
            <w:tcW w:type="dxa" w:w="4026"/>
            <w:tcBorders>
              <w:top w:val="single" w:color="D4E2D9" w:sz="1"/>
              <w:left w:val="single" w:color="D4E2D9" w:sz="1"/>
              <w:bottom w:val="single" w:color="D4E2D9" w:sz="1"/>
              <w:right w:val="single" w:color="D4E2D9" w:sz="1"/>
            </w:tcBorders>
            <w:shd w:fill="F5F5F5" w:val="clear"/>
            <w:tcMar>
              <w:top w:type="dxa" w:w="80"/>
              <w:left w:type="dxa" w:w="100"/>
              <w:bottom w:type="dxa" w:w="80"/>
              <w:right w:type="dxa" w:w="100"/>
            </w:tcMar>
          </w:tcPr>
          <w:p>
            <w:pPr>
              <w:jc w:val="center"/>
            </w:pPr>
            <w:r>
              <w:rPr>
                <w:rFonts w:ascii="Arial" w:cs="Arial" w:eastAsia="Arial" w:hAnsi="Arial"/>
                <w:b w:val="false"/>
                <w:bCs w:val="false"/>
                <w:color w:val="333333"/>
                <w:sz w:val="19"/>
                <w:szCs w:val="19"/>
              </w:rPr>
              <w:t xml:space="preserve">+ Produits ménagers de démarrage, wifi box</w:t>
            </w:r>
          </w:p>
        </w:tc>
      </w:tr>
    </w:tbl>
    <w:p>
      <w:pPr>
        <w:spacing w:after="80"/>
      </w:pPr>
    </w:p>
    <w:p>
      <w:pPr>
        <w:shd w:fill="0D2E1A" w:val="clear"/>
        <w:spacing w:before="300" w:after="180"/>
        <w:ind w:left="160"/>
      </w:pPr>
      <w:r>
        <w:rPr>
          <w:rFonts w:ascii="Arial" w:cs="Arial" w:eastAsia="Arial" w:hAnsi="Arial"/>
          <w:b/>
          <w:bCs/>
          <w:color w:val="F5A800"/>
          <w:sz w:val="28"/>
          <w:szCs w:val="28"/>
        </w:rPr>
        <w:t xml:space="preserve">06  </w:t>
      </w:r>
      <w:r>
        <w:rPr>
          <w:rFonts w:ascii="Arial" w:cs="Arial" w:eastAsia="Arial" w:hAnsi="Arial"/>
          <w:b/>
          <w:bCs/>
          <w:color w:val="FFFFFF"/>
          <w:sz w:val="28"/>
          <w:szCs w:val="28"/>
        </w:rPr>
        <w:t xml:space="preserve">RÈGLES ET BONNES PRATIQUES</w:t>
      </w:r>
    </w:p>
    <w:p>
      <w:pPr>
        <w:spacing w:after="80"/>
      </w:pPr>
    </w:p>
    <w:p>
      <w:pPr>
        <w:pStyle w:val="ListParagraph"/>
        <w:numPr>
          <w:ilvl w:val="0"/>
          <w:numId w:val="2"/>
        </w:numPr>
        <w:spacing w:after="80"/>
      </w:pPr>
      <w:r>
        <w:rPr>
          <w:rFonts w:ascii="Arial" w:cs="Arial" w:eastAsia="Arial" w:hAnsi="Arial"/>
          <w:b/>
          <w:bCs/>
          <w:color w:val="1A4D2E"/>
          <w:sz w:val="21"/>
          <w:szCs w:val="21"/>
        </w:rPr>
        <w:t xml:space="preserve">Budget mobilier : </w:t>
      </w:r>
      <w:r>
        <w:rPr>
          <w:rFonts w:ascii="Arial" w:cs="Arial" w:eastAsia="Arial" w:hAnsi="Arial"/>
          <w:color w:val="333333"/>
          <w:sz w:val="21"/>
          <w:szCs w:val="21"/>
        </w:rPr>
        <w:t xml:space="preserve">Ne jamais dépasser le budget validé sans accord écrit du client. Tout dépassement &gt; 5 % nécessite un avenant.</w:t>
      </w:r>
    </w:p>
    <w:p>
      <w:pPr>
        <w:pStyle w:val="ListParagraph"/>
        <w:numPr>
          <w:ilvl w:val="0"/>
          <w:numId w:val="2"/>
        </w:numPr>
        <w:spacing w:after="80"/>
      </w:pPr>
      <w:r>
        <w:rPr>
          <w:rFonts w:ascii="Arial" w:cs="Arial" w:eastAsia="Arial" w:hAnsi="Arial"/>
          <w:b/>
          <w:bCs/>
          <w:color w:val="1A4D2E"/>
          <w:sz w:val="21"/>
          <w:szCs w:val="21"/>
        </w:rPr>
        <w:t xml:space="preserve">Photos finales : </w:t>
      </w:r>
      <w:r>
        <w:rPr>
          <w:rFonts w:ascii="Arial" w:cs="Arial" w:eastAsia="Arial" w:hAnsi="Arial"/>
          <w:color w:val="333333"/>
          <w:sz w:val="21"/>
          <w:szCs w:val="21"/>
        </w:rPr>
        <w:t xml:space="preserve">Toujours réalisées avant la remise des clés au locataire. Elles servent de preuve d'état et de base pour l'annonce.</w:t>
      </w:r>
    </w:p>
    <w:p>
      <w:pPr>
        <w:pStyle w:val="ListParagraph"/>
        <w:numPr>
          <w:ilvl w:val="0"/>
          <w:numId w:val="2"/>
        </w:numPr>
        <w:spacing w:after="80"/>
      </w:pPr>
      <w:r>
        <w:rPr>
          <w:rFonts w:ascii="Arial" w:cs="Arial" w:eastAsia="Arial" w:hAnsi="Arial"/>
          <w:b/>
          <w:bCs/>
          <w:color w:val="1A4D2E"/>
          <w:sz w:val="21"/>
          <w:szCs w:val="21"/>
        </w:rPr>
        <w:t xml:space="preserve">Inventaire : </w:t>
      </w:r>
      <w:r>
        <w:rPr>
          <w:rFonts w:ascii="Arial" w:cs="Arial" w:eastAsia="Arial" w:hAnsi="Arial"/>
          <w:color w:val="333333"/>
          <w:sz w:val="21"/>
          <w:szCs w:val="21"/>
        </w:rPr>
        <w:t xml:space="preserve">Le check-list inventaire est obligatoire et signé contradictoirement. Il protège le client en cas de litige locatif.</w:t>
      </w:r>
    </w:p>
    <w:p>
      <w:pPr>
        <w:pStyle w:val="ListParagraph"/>
        <w:numPr>
          <w:ilvl w:val="0"/>
          <w:numId w:val="2"/>
        </w:numPr>
        <w:spacing w:after="80"/>
      </w:pPr>
      <w:r>
        <w:rPr>
          <w:rFonts w:ascii="Arial" w:cs="Arial" w:eastAsia="Arial" w:hAnsi="Arial"/>
          <w:b/>
          <w:bCs/>
          <w:color w:val="1A4D2E"/>
          <w:sz w:val="21"/>
          <w:szCs w:val="21"/>
        </w:rPr>
        <w:t xml:space="preserve">Amortissement LMNP : </w:t>
      </w:r>
      <w:r>
        <w:rPr>
          <w:rFonts w:ascii="Arial" w:cs="Arial" w:eastAsia="Arial" w:hAnsi="Arial"/>
          <w:color w:val="333333"/>
          <w:sz w:val="21"/>
          <w:szCs w:val="21"/>
        </w:rPr>
        <w:t xml:space="preserve">Conseiller au client de conserver toutes les factures mobilier — elles servent de base au comptable pour l'amortissement LMNP réel.</w:t>
      </w:r>
    </w:p>
    <w:p>
      <w:pPr>
        <w:pStyle w:val="ListParagraph"/>
        <w:numPr>
          <w:ilvl w:val="0"/>
          <w:numId w:val="2"/>
        </w:numPr>
        <w:spacing w:after="80"/>
      </w:pPr>
      <w:r>
        <w:rPr>
          <w:rFonts w:ascii="Arial" w:cs="Arial" w:eastAsia="Arial" w:hAnsi="Arial"/>
          <w:b/>
          <w:bCs/>
          <w:color w:val="1A4D2E"/>
          <w:sz w:val="21"/>
          <w:szCs w:val="21"/>
        </w:rPr>
        <w:t xml:space="preserve">Mission P04 sans P03 : </w:t>
      </w:r>
      <w:r>
        <w:rPr>
          <w:rFonts w:ascii="Arial" w:cs="Arial" w:eastAsia="Arial" w:hAnsi="Arial"/>
          <w:color w:val="333333"/>
          <w:sz w:val="21"/>
          <w:szCs w:val="21"/>
        </w:rPr>
        <w:t xml:space="preserve">Possible si le bien n'a pas nécessité de travaux. L'audit initial (étape 1) doit alors vérifier l'état technique du bien.</w:t>
      </w:r>
    </w:p>
    <w:p>
      <w:pPr>
        <w:pStyle w:val="ListParagraph"/>
        <w:numPr>
          <w:ilvl w:val="0"/>
          <w:numId w:val="2"/>
        </w:numPr>
        <w:spacing w:after="80"/>
      </w:pPr>
      <w:r>
        <w:rPr>
          <w:rFonts w:ascii="Arial" w:cs="Arial" w:eastAsia="Arial" w:hAnsi="Arial"/>
          <w:b/>
          <w:bCs/>
          <w:color w:val="1A4D2E"/>
          <w:sz w:val="21"/>
          <w:szCs w:val="21"/>
        </w:rPr>
        <w:t xml:space="preserve">Limite de la mission : </w:t>
      </w:r>
      <w:r>
        <w:rPr>
          <w:rFonts w:ascii="Arial" w:cs="Arial" w:eastAsia="Arial" w:hAnsi="Arial"/>
          <w:color w:val="333333"/>
          <w:sz w:val="21"/>
          <w:szCs w:val="21"/>
        </w:rPr>
        <w:t xml:space="preserve">Hunters n'est pas décorateur d'intérieur certifié. Les propositions sont des conseils professionnels, non des prestations d'architecte d'intérieur au sens légal.</w:t>
      </w:r>
    </w:p>
    <w:p>
      <w:pPr>
        <w:spacing w:after="80"/>
      </w:pPr>
    </w:p>
    <w:p>
      <w:pPr>
        <w:pBdr>
          <w:left w:val="single" w:color="F5A800" w:sz="18"/>
        </w:pBdr>
        <w:shd w:fill="FFF4D6" w:val="clear"/>
        <w:spacing w:before="100" w:after="120"/>
        <w:ind w:left="180" w:right="180"/>
      </w:pPr>
      <w:r>
        <w:rPr>
          <w:rFonts w:ascii="Arial" w:cs="Arial" w:eastAsia="Arial" w:hAnsi="Arial"/>
          <w:i w:val="false"/>
          <w:iCs w:val="false"/>
          <w:color w:val="333333"/>
          <w:sz w:val="20"/>
          <w:szCs w:val="20"/>
        </w:rPr>
        <w:t xml:space="preserve">Synergie P03 + P04 : l'enchaînement naturel travaux → déco est l'argument le plus fort pour fidéliser le client sur deux missions consécutives. Proposer systématiquement P04 dès la réception finale des travaux, avant que le client n'ait le temps de s'organiser seul.</w:t>
      </w:r>
    </w:p>
    <w:p>
      <w:pPr>
        <w:spacing w:after="80"/>
      </w:pPr>
    </w:p>
    <w:p>
      <w:pPr>
        <w:pBdr>
          <w:top w:val="single" w:color="DDDDDD" w:sz="3"/>
        </w:pBdr>
        <w:spacing w:before="120"/>
        <w:jc w:val="center"/>
      </w:pPr>
      <w:r>
        <w:rPr>
          <w:rFonts w:ascii="Arial" w:cs="Arial" w:eastAsia="Arial" w:hAnsi="Arial"/>
          <w:color w:val="AAAAAA"/>
          <w:sz w:val="17"/>
          <w:szCs w:val="17"/>
        </w:rPr>
        <w:t xml:space="preserve">Hunters Immobilier — Procédure P04 — Déco &amp; Ameublement v1.0 — Tours 2026 — Document confidentiel</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lowerLetter"/>
      <w:lvlText w:val="%1)"/>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2026-03-19T11:42:18.552Z</dcterms:created>
  <dcterms:modified xsi:type="dcterms:W3CDTF">2026-03-19T11:42:18.552Z</dcterms:modified>
</cp:coreProperties>
</file>

<file path=docProps/custom.xml><?xml version="1.0" encoding="utf-8"?>
<Properties xmlns="http://schemas.openxmlformats.org/officeDocument/2006/custom-properties" xmlns:vt="http://schemas.openxmlformats.org/officeDocument/2006/docPropsVTypes"/>
</file>