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b/>
          <w:b/>
          <w:sz w:val="72"/>
          <w:szCs w:val="72"/>
        </w:rPr>
      </w:pPr>
      <w:r>
        <w:rPr>
          <w:b/>
          <w:sz w:val="72"/>
          <w:szCs w:val="72"/>
        </w:rPr>
        <w:t>Software Requirements Specification</w:t>
      </w:r>
    </w:p>
    <w:p>
      <w:pPr>
        <w:pStyle w:val="NoSpacing"/>
        <w:jc w:val="center"/>
        <w:rPr>
          <w:b/>
          <w:b/>
          <w:sz w:val="72"/>
          <w:szCs w:val="72"/>
        </w:rPr>
      </w:pPr>
      <w:r>
        <w:rPr>
          <w:b/>
          <w:sz w:val="72"/>
          <w:szCs w:val="72"/>
        </w:rPr>
      </w:r>
    </w:p>
    <w:p>
      <w:pPr>
        <w:pStyle w:val="NoSpacing"/>
        <w:jc w:val="center"/>
        <w:rPr>
          <w:sz w:val="40"/>
          <w:szCs w:val="40"/>
        </w:rPr>
      </w:pPr>
      <w:r>
        <w:rPr>
          <w:sz w:val="40"/>
          <w:szCs w:val="40"/>
        </w:rPr>
        <w:t>For</w:t>
      </w:r>
    </w:p>
    <w:p>
      <w:pPr>
        <w:pStyle w:val="NoSpacing"/>
        <w:jc w:val="center"/>
        <w:rPr>
          <w:sz w:val="40"/>
          <w:szCs w:val="40"/>
        </w:rPr>
      </w:pPr>
      <w:r>
        <w:rPr>
          <w:sz w:val="40"/>
          <w:szCs w:val="40"/>
        </w:rPr>
      </w:r>
    </w:p>
    <w:p>
      <w:pPr>
        <w:pStyle w:val="NoSpacing"/>
        <w:jc w:val="center"/>
        <w:rPr>
          <w:sz w:val="40"/>
          <w:szCs w:val="40"/>
        </w:rPr>
      </w:pPr>
      <w:r>
        <w:rPr>
          <w:sz w:val="40"/>
          <w:szCs w:val="40"/>
        </w:rPr>
        <w:t>ARES – Autonomous Reliability Engineering System</w:t>
      </w:r>
    </w:p>
    <w:p>
      <w:pPr>
        <w:pStyle w:val="NoSpacing"/>
        <w:jc w:val="center"/>
        <w:rPr>
          <w:sz w:val="40"/>
          <w:szCs w:val="40"/>
        </w:rPr>
      </w:pPr>
      <w:r>
        <w:rPr>
          <w:sz w:val="40"/>
          <w:szCs w:val="40"/>
        </w:rPr>
      </w:r>
    </w:p>
    <w:p>
      <w:pPr>
        <w:pStyle w:val="NoSpacing"/>
        <w:jc w:val="center"/>
        <w:rPr>
          <w:sz w:val="40"/>
          <w:szCs w:val="40"/>
        </w:rPr>
      </w:pPr>
      <w:r>
        <w:rPr>
          <w:sz w:val="40"/>
          <w:szCs w:val="40"/>
        </w:rPr>
        <w:t>February 2026</w:t>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t xml:space="preserve">Prepared by </w:t>
      </w:r>
    </w:p>
    <w:p>
      <w:pPr>
        <w:pStyle w:val="NoSpacing"/>
        <w:jc w:val="center"/>
        <w:rPr>
          <w:sz w:val="40"/>
          <w:szCs w:val="40"/>
        </w:rPr>
      </w:pPr>
      <w:r>
        <w:rPr>
          <w:sz w:val="40"/>
          <w:szCs w:val="4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49"/>
        <w:gridCol w:w="3139"/>
        <w:gridCol w:w="2728"/>
      </w:tblGrid>
      <w:tr>
        <w:trPr/>
        <w:tc>
          <w:tcPr>
            <w:tcW w:w="3149" w:type="dxa"/>
            <w:tcBorders/>
          </w:tcPr>
          <w:p>
            <w:pPr>
              <w:pStyle w:val="NoSpacing"/>
              <w:widowControl/>
              <w:spacing w:before="0" w:after="0"/>
              <w:jc w:val="center"/>
              <w:rPr>
                <w:b/>
                <w:b/>
                <w:sz w:val="40"/>
                <w:szCs w:val="40"/>
              </w:rPr>
            </w:pPr>
            <w:r>
              <w:rPr>
                <w:b/>
                <w:kern w:val="0"/>
                <w:sz w:val="40"/>
                <w:szCs w:val="40"/>
                <w:lang w:eastAsia="en-US" w:bidi="ar-SA"/>
              </w:rPr>
              <w:t>Specialization</w:t>
            </w:r>
          </w:p>
        </w:tc>
        <w:tc>
          <w:tcPr>
            <w:tcW w:w="3139" w:type="dxa"/>
            <w:tcBorders/>
          </w:tcPr>
          <w:p>
            <w:pPr>
              <w:pStyle w:val="NoSpacing"/>
              <w:widowControl/>
              <w:spacing w:before="0" w:after="0"/>
              <w:jc w:val="center"/>
              <w:rPr>
                <w:b/>
                <w:b/>
                <w:sz w:val="40"/>
                <w:szCs w:val="40"/>
              </w:rPr>
            </w:pPr>
            <w:r>
              <w:rPr>
                <w:b/>
                <w:kern w:val="0"/>
                <w:sz w:val="40"/>
                <w:szCs w:val="40"/>
                <w:lang w:eastAsia="en-US" w:bidi="ar-SA"/>
              </w:rPr>
              <w:t>SAP ID</w:t>
            </w:r>
          </w:p>
        </w:tc>
        <w:tc>
          <w:tcPr>
            <w:tcW w:w="2728" w:type="dxa"/>
            <w:tcBorders/>
          </w:tcPr>
          <w:p>
            <w:pPr>
              <w:pStyle w:val="NoSpacing"/>
              <w:widowControl/>
              <w:spacing w:before="0" w:after="0"/>
              <w:jc w:val="center"/>
              <w:rPr>
                <w:b/>
                <w:b/>
                <w:sz w:val="40"/>
                <w:szCs w:val="40"/>
              </w:rPr>
            </w:pPr>
            <w:r>
              <w:rPr>
                <w:b/>
                <w:kern w:val="0"/>
                <w:sz w:val="40"/>
                <w:szCs w:val="40"/>
                <w:lang w:eastAsia="en-US" w:bidi="ar-SA"/>
              </w:rPr>
              <w:t>Name</w:t>
            </w:r>
          </w:p>
        </w:tc>
      </w:tr>
      <w:tr>
        <w:trPr/>
        <w:tc>
          <w:tcPr>
            <w:tcW w:w="3149" w:type="dxa"/>
            <w:tcBorders/>
          </w:tcPr>
          <w:p>
            <w:pPr>
              <w:pStyle w:val="NoSpacing"/>
              <w:widowControl/>
              <w:spacing w:before="0" w:after="0"/>
              <w:jc w:val="center"/>
              <w:rPr>
                <w:sz w:val="40"/>
                <w:szCs w:val="40"/>
              </w:rPr>
            </w:pPr>
            <w:r>
              <w:rPr>
                <w:kern w:val="0"/>
                <w:sz w:val="40"/>
                <w:szCs w:val="40"/>
                <w:lang w:eastAsia="en-US" w:bidi="ar-SA"/>
              </w:rPr>
              <w:t>Cloud Computing (CCVT)</w:t>
            </w:r>
          </w:p>
        </w:tc>
        <w:tc>
          <w:tcPr>
            <w:tcW w:w="3139" w:type="dxa"/>
            <w:tcBorders/>
          </w:tcPr>
          <w:p>
            <w:pPr>
              <w:pStyle w:val="NoSpacing"/>
              <w:widowControl/>
              <w:spacing w:before="0" w:after="0"/>
              <w:jc w:val="center"/>
              <w:rPr>
                <w:sz w:val="40"/>
                <w:szCs w:val="40"/>
              </w:rPr>
            </w:pPr>
            <w:r>
              <w:rPr>
                <w:kern w:val="0"/>
                <w:sz w:val="40"/>
                <w:szCs w:val="40"/>
                <w:lang w:eastAsia="en-US" w:bidi="ar-SA"/>
              </w:rPr>
              <w:t>R2142231379</w:t>
            </w:r>
          </w:p>
        </w:tc>
        <w:tc>
          <w:tcPr>
            <w:tcW w:w="2728" w:type="dxa"/>
            <w:tcBorders/>
          </w:tcPr>
          <w:p>
            <w:pPr>
              <w:pStyle w:val="NoSpacing"/>
              <w:widowControl/>
              <w:spacing w:before="0" w:after="0"/>
              <w:jc w:val="center"/>
              <w:rPr>
                <w:sz w:val="40"/>
                <w:szCs w:val="40"/>
              </w:rPr>
            </w:pPr>
            <w:r>
              <w:rPr>
                <w:kern w:val="0"/>
                <w:sz w:val="40"/>
                <w:szCs w:val="40"/>
                <w:lang w:eastAsia="en-US" w:bidi="ar-SA"/>
              </w:rPr>
              <w:t>Nitanshu Tak</w:t>
            </w:r>
          </w:p>
        </w:tc>
      </w:tr>
      <w:tr>
        <w:trPr/>
        <w:tc>
          <w:tcPr>
            <w:tcW w:w="3149" w:type="dxa"/>
            <w:tcBorders/>
          </w:tcPr>
          <w:p>
            <w:pPr>
              <w:pStyle w:val="NoSpacing"/>
              <w:widowControl/>
              <w:spacing w:before="0" w:after="0"/>
              <w:jc w:val="center"/>
              <w:rPr>
                <w:sz w:val="40"/>
                <w:szCs w:val="40"/>
              </w:rPr>
            </w:pPr>
            <w:r>
              <w:rPr>
                <w:kern w:val="0"/>
                <w:sz w:val="40"/>
                <w:szCs w:val="40"/>
                <w:lang w:eastAsia="en-US" w:bidi="ar-SA"/>
              </w:rPr>
              <w:t>Cloud Computing (CCVT)</w:t>
            </w:r>
          </w:p>
        </w:tc>
        <w:tc>
          <w:tcPr>
            <w:tcW w:w="3139" w:type="dxa"/>
            <w:tcBorders/>
          </w:tcPr>
          <w:p>
            <w:pPr>
              <w:pStyle w:val="NoSpacing"/>
              <w:widowControl/>
              <w:spacing w:before="0" w:after="0"/>
              <w:jc w:val="center"/>
              <w:rPr>
                <w:sz w:val="40"/>
                <w:szCs w:val="40"/>
              </w:rPr>
            </w:pPr>
            <w:r>
              <w:rPr>
                <w:kern w:val="0"/>
                <w:sz w:val="40"/>
                <w:szCs w:val="40"/>
                <w:lang w:eastAsia="en-US" w:bidi="ar-SA"/>
              </w:rPr>
              <w:t>R2142230888</w:t>
            </w:r>
          </w:p>
        </w:tc>
        <w:tc>
          <w:tcPr>
            <w:tcW w:w="2728" w:type="dxa"/>
            <w:tcBorders/>
          </w:tcPr>
          <w:p>
            <w:pPr>
              <w:pStyle w:val="NoSpacing"/>
              <w:widowControl/>
              <w:spacing w:before="0" w:after="0"/>
              <w:jc w:val="center"/>
              <w:rPr>
                <w:sz w:val="40"/>
                <w:szCs w:val="40"/>
              </w:rPr>
            </w:pPr>
            <w:r>
              <w:rPr>
                <w:kern w:val="0"/>
                <w:sz w:val="40"/>
                <w:szCs w:val="40"/>
                <w:lang w:eastAsia="en-US" w:bidi="ar-SA"/>
              </w:rPr>
              <w:t>Aarohi Jaiswal</w:t>
            </w:r>
          </w:p>
        </w:tc>
      </w:tr>
      <w:tr>
        <w:trPr/>
        <w:tc>
          <w:tcPr>
            <w:tcW w:w="3149" w:type="dxa"/>
            <w:tcBorders/>
          </w:tcPr>
          <w:p>
            <w:pPr>
              <w:pStyle w:val="NoSpacing"/>
              <w:widowControl/>
              <w:spacing w:before="0" w:after="0"/>
              <w:jc w:val="center"/>
              <w:rPr>
                <w:sz w:val="40"/>
                <w:szCs w:val="40"/>
              </w:rPr>
            </w:pPr>
            <w:r>
              <w:rPr>
                <w:kern w:val="0"/>
                <w:sz w:val="40"/>
                <w:szCs w:val="40"/>
                <w:lang w:eastAsia="en-US" w:bidi="ar-SA"/>
              </w:rPr>
              <w:t>Cloud Computing (CCVT)</w:t>
            </w:r>
          </w:p>
        </w:tc>
        <w:tc>
          <w:tcPr>
            <w:tcW w:w="3139" w:type="dxa"/>
            <w:tcBorders/>
          </w:tcPr>
          <w:p>
            <w:pPr>
              <w:pStyle w:val="NoSpacing"/>
              <w:widowControl/>
              <w:spacing w:before="0" w:after="0"/>
              <w:jc w:val="center"/>
              <w:rPr>
                <w:sz w:val="40"/>
                <w:szCs w:val="40"/>
              </w:rPr>
            </w:pPr>
            <w:r>
              <w:rPr>
                <w:kern w:val="0"/>
                <w:sz w:val="40"/>
                <w:szCs w:val="40"/>
                <w:lang w:eastAsia="en-US" w:bidi="ar-SA"/>
              </w:rPr>
              <w:t>R2142230722</w:t>
            </w:r>
          </w:p>
        </w:tc>
        <w:tc>
          <w:tcPr>
            <w:tcW w:w="2728" w:type="dxa"/>
            <w:tcBorders/>
          </w:tcPr>
          <w:p>
            <w:pPr>
              <w:pStyle w:val="NoSpacing"/>
              <w:widowControl/>
              <w:spacing w:before="0" w:after="0"/>
              <w:jc w:val="center"/>
              <w:rPr>
                <w:sz w:val="40"/>
                <w:szCs w:val="40"/>
              </w:rPr>
            </w:pPr>
            <w:r>
              <w:rPr>
                <w:kern w:val="0"/>
                <w:sz w:val="40"/>
                <w:szCs w:val="40"/>
                <w:lang w:eastAsia="en-US" w:bidi="ar-SA"/>
              </w:rPr>
              <w:t>Aakriti Dhawan</w:t>
            </w:r>
          </w:p>
        </w:tc>
      </w:tr>
      <w:tr>
        <w:trPr/>
        <w:tc>
          <w:tcPr>
            <w:tcW w:w="3149" w:type="dxa"/>
            <w:tcBorders/>
          </w:tcPr>
          <w:p>
            <w:pPr>
              <w:pStyle w:val="NoSpacing"/>
              <w:widowControl/>
              <w:spacing w:before="0" w:after="0"/>
              <w:jc w:val="center"/>
              <w:rPr>
                <w:sz w:val="40"/>
                <w:szCs w:val="40"/>
              </w:rPr>
            </w:pPr>
            <w:r>
              <w:rPr>
                <w:kern w:val="0"/>
                <w:sz w:val="40"/>
                <w:szCs w:val="40"/>
                <w:lang w:eastAsia="en-US" w:bidi="ar-SA"/>
              </w:rPr>
              <w:t>Cloud Computing (CCVT)</w:t>
            </w:r>
          </w:p>
        </w:tc>
        <w:tc>
          <w:tcPr>
            <w:tcW w:w="3139" w:type="dxa"/>
            <w:tcBorders/>
          </w:tcPr>
          <w:p>
            <w:pPr>
              <w:pStyle w:val="NoSpacing"/>
              <w:widowControl/>
              <w:spacing w:before="0" w:after="0"/>
              <w:jc w:val="center"/>
              <w:rPr>
                <w:sz w:val="40"/>
                <w:szCs w:val="40"/>
              </w:rPr>
            </w:pPr>
            <w:r>
              <w:rPr>
                <w:kern w:val="0"/>
                <w:sz w:val="40"/>
                <w:szCs w:val="40"/>
                <w:lang w:eastAsia="en-US" w:bidi="ar-SA"/>
              </w:rPr>
              <w:t>R2142230892</w:t>
            </w:r>
          </w:p>
        </w:tc>
        <w:tc>
          <w:tcPr>
            <w:tcW w:w="2728" w:type="dxa"/>
            <w:tcBorders/>
          </w:tcPr>
          <w:p>
            <w:pPr>
              <w:pStyle w:val="NoSpacing"/>
              <w:widowControl/>
              <w:spacing w:before="0" w:after="0"/>
              <w:jc w:val="center"/>
              <w:rPr>
                <w:sz w:val="40"/>
                <w:szCs w:val="40"/>
              </w:rPr>
            </w:pPr>
            <w:r>
              <w:rPr>
                <w:kern w:val="0"/>
                <w:sz w:val="40"/>
                <w:szCs w:val="40"/>
                <w:lang w:eastAsia="en-US" w:bidi="ar-SA"/>
              </w:rPr>
              <w:t>Sristee Bhindwar</w:t>
            </w:r>
          </w:p>
        </w:tc>
      </w:tr>
    </w:tbl>
    <w:p>
      <w:pPr>
        <w:pStyle w:val="NoSpacing"/>
        <w:jc w:val="center"/>
        <w:rPr>
          <w:sz w:val="40"/>
          <w:szCs w:val="40"/>
        </w:rPr>
      </w:pPr>
      <w:r>
        <w:rPr>
          <w:sz w:val="40"/>
          <w:szCs w:val="40"/>
        </w:rPr>
      </w:r>
    </w:p>
    <w:p>
      <w:pPr>
        <w:pStyle w:val="Normal"/>
        <w:spacing w:before="9" w:after="0"/>
        <w:ind w:left="1703" w:right="1699" w:hanging="0"/>
        <w:jc w:val="center"/>
        <w:rPr>
          <w:sz w:val="28"/>
        </w:rPr>
      </w:pPr>
      <w:r>
        <w:rPr>
          <w:sz w:val="28"/>
        </w:rPr>
      </w:r>
    </w:p>
    <w:p>
      <w:pPr>
        <w:pStyle w:val="Normal"/>
        <w:spacing w:before="9" w:after="0"/>
        <w:ind w:left="1703" w:right="1699" w:hanging="0"/>
        <w:jc w:val="center"/>
        <w:rPr>
          <w:sz w:val="28"/>
        </w:rPr>
      </w:pPr>
      <w:r>
        <w:rPr>
          <w:sz w:val="28"/>
        </w:rPr>
      </w:r>
    </w:p>
    <w:p>
      <w:pPr>
        <w:pStyle w:val="Normal"/>
        <w:spacing w:before="9" w:after="0"/>
        <w:ind w:left="1703" w:right="1699" w:hanging="0"/>
        <w:jc w:val="center"/>
        <w:rPr>
          <w:sz w:val="28"/>
        </w:rPr>
      </w:pPr>
      <w:r>
        <w:rPr>
          <w:sz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400300" cy="8382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400300" cy="838200"/>
                    </a:xfrm>
                    <a:prstGeom prst="rect">
                      <a:avLst/>
                    </a:prstGeom>
                  </pic:spPr>
                </pic:pic>
              </a:graphicData>
            </a:graphic>
          </wp:anchor>
        </w:drawing>
      </w:r>
    </w:p>
    <w:p>
      <w:pPr>
        <w:pStyle w:val="NoSpacing"/>
        <w:jc w:val="center"/>
        <w:rPr>
          <w:sz w:val="36"/>
          <w:szCs w:val="36"/>
        </w:rPr>
      </w:pPr>
      <w:r>
        <w:rPr>
          <w:sz w:val="36"/>
          <w:szCs w:val="36"/>
        </w:rPr>
        <w:t>Department of Informatics</w:t>
      </w:r>
    </w:p>
    <w:p>
      <w:pPr>
        <w:pStyle w:val="NoSpacing"/>
        <w:jc w:val="center"/>
        <w:rPr>
          <w:sz w:val="36"/>
          <w:szCs w:val="36"/>
        </w:rPr>
      </w:pPr>
      <w:r>
        <w:rPr>
          <w:sz w:val="36"/>
          <w:szCs w:val="36"/>
        </w:rPr>
        <w:t>School Of Computer Science</w:t>
      </w:r>
    </w:p>
    <w:p>
      <w:pPr>
        <w:pStyle w:val="NoSpacing"/>
        <w:jc w:val="center"/>
        <w:rPr>
          <w:sz w:val="36"/>
          <w:szCs w:val="36"/>
        </w:rPr>
      </w:pPr>
      <w:r>
        <w:rPr>
          <w:sz w:val="36"/>
          <w:szCs w:val="36"/>
        </w:rPr>
        <w:t>UNIVERSITY OF PETROLEUM &amp; ENERGY STUDIES,</w:t>
      </w:r>
    </w:p>
    <w:p>
      <w:pPr>
        <w:pStyle w:val="NoSpacing"/>
        <w:jc w:val="center"/>
        <w:rPr>
          <w:sz w:val="36"/>
          <w:szCs w:val="36"/>
        </w:rPr>
      </w:pPr>
      <w:r>
        <w:rPr>
          <w:sz w:val="36"/>
          <w:szCs w:val="36"/>
        </w:rPr>
        <w:t>DEHRADUN- 248007. Uttarakhand</w:t>
      </w:r>
    </w:p>
    <w:p>
      <w:pPr>
        <w:pStyle w:val="TOCEntry"/>
        <w:jc w:val="center"/>
        <w:rPr>
          <w:sz w:val="40"/>
          <w:szCs w:val="40"/>
        </w:rPr>
      </w:pPr>
      <w:r>
        <w:rPr>
          <w:sz w:val="40"/>
          <w:szCs w:val="40"/>
        </w:rPr>
        <w:t>Table of Contents</w:t>
      </w:r>
    </w:p>
    <w:tbl>
      <w:tblPr>
        <w:tblStyle w:val="TableGrid"/>
        <w:tblW w:w="89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5"/>
        <w:gridCol w:w="7573"/>
        <w:gridCol w:w="1039"/>
      </w:tblGrid>
      <w:tr>
        <w:trPr/>
        <w:tc>
          <w:tcPr>
            <w:tcW w:w="7928" w:type="dxa"/>
            <w:gridSpan w:val="2"/>
            <w:tcBorders/>
          </w:tcPr>
          <w:p>
            <w:pPr>
              <w:pStyle w:val="NoSpacing"/>
              <w:widowControl/>
              <w:spacing w:before="0" w:after="0"/>
              <w:jc w:val="left"/>
              <w:rPr>
                <w:rFonts w:ascii="Times New Roman" w:hAnsi="Times New Roman"/>
                <w:b/>
                <w:b/>
                <w:sz w:val="28"/>
                <w:szCs w:val="28"/>
              </w:rPr>
            </w:pPr>
            <w:r>
              <w:rPr>
                <w:rFonts w:ascii="Times New Roman" w:hAnsi="Times New Roman"/>
                <w:b/>
                <w:kern w:val="0"/>
                <w:sz w:val="28"/>
                <w:szCs w:val="28"/>
                <w:lang w:eastAsia="en-US" w:bidi="ar-SA"/>
              </w:rPr>
              <w:t>Topic</w:t>
            </w:r>
          </w:p>
        </w:tc>
        <w:tc>
          <w:tcPr>
            <w:tcW w:w="1039" w:type="dxa"/>
            <w:tcBorders/>
          </w:tcPr>
          <w:p>
            <w:pPr>
              <w:pStyle w:val="NoSpacing"/>
              <w:widowControl/>
              <w:spacing w:before="0" w:after="0"/>
              <w:jc w:val="center"/>
              <w:rPr>
                <w:rFonts w:ascii="Times New Roman" w:hAnsi="Times New Roman"/>
                <w:b/>
                <w:b/>
                <w:sz w:val="28"/>
                <w:szCs w:val="28"/>
              </w:rPr>
            </w:pPr>
            <w:r>
              <w:rPr>
                <w:rFonts w:ascii="Times New Roman" w:hAnsi="Times New Roman"/>
                <w:b/>
                <w:kern w:val="0"/>
                <w:sz w:val="28"/>
                <w:szCs w:val="28"/>
                <w:lang w:eastAsia="en-US" w:bidi="ar-SA"/>
              </w:rPr>
              <w:t>Page No</w:t>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Table of Content</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Revision History</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Introduction</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1.1 Purpose of the Project</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1.2 Target Beneficiary</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1.3 Project Scope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1.4 References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Project Description</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 xml:space="preserve">2.1 Reference Algorithm </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2.2 Data/ Data structure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2.3 SWOT Analysis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2.4 Project Features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2.5 User Classes and Characteristics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2.6 Design and Implementation Constraints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2.7 Design diagrams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2.8 Assumption and Dependencies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System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3.1 User Interface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3.2 Software Interface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3.3 Database Interface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3.4 Protocols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Non-functional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4.1 Performance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4.2 Security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4.3 Software Quality Attributes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5</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Other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Appendix A: Glossary</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Appendix B: Analysis Model</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Appendix C: Issues List</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bl>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b/>
          <w:b/>
          <w:color w:val="000000" w:themeColor="text1"/>
          <w:sz w:val="40"/>
          <w:szCs w:val="40"/>
        </w:rPr>
      </w:pPr>
      <w:r>
        <w:rPr>
          <w:b/>
          <w:color w:val="000000" w:themeColor="text1"/>
          <w:sz w:val="40"/>
          <w:szCs w:val="40"/>
        </w:rPr>
        <w:t>Revision History</w:t>
      </w:r>
    </w:p>
    <w:p>
      <w:pPr>
        <w:pStyle w:val="NoSpacing"/>
        <w:jc w:val="center"/>
        <w:rPr>
          <w:sz w:val="40"/>
          <w:szCs w:val="40"/>
        </w:rPr>
      </w:pPr>
      <w:r>
        <w:rPr>
          <w:sz w:val="40"/>
          <w:szCs w:val="40"/>
        </w:rPr>
      </w:r>
    </w:p>
    <w:p>
      <w:pPr>
        <w:pStyle w:val="NoSpacing"/>
        <w:jc w:val="center"/>
        <w:rPr>
          <w:sz w:val="40"/>
          <w:szCs w:val="40"/>
        </w:rPr>
      </w:pPr>
      <w:r>
        <w:rPr>
          <w:sz w:val="40"/>
          <w:szCs w:val="4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61"/>
        <w:gridCol w:w="3319"/>
        <w:gridCol w:w="2362"/>
        <w:gridCol w:w="2273"/>
      </w:tblGrid>
      <w:tr>
        <w:trPr/>
        <w:tc>
          <w:tcPr>
            <w:tcW w:w="1061" w:type="dxa"/>
            <w:tcBorders/>
          </w:tcPr>
          <w:p>
            <w:pPr>
              <w:pStyle w:val="NoSpacing"/>
              <w:widowControl/>
              <w:spacing w:before="0" w:after="0"/>
              <w:jc w:val="left"/>
              <w:rPr>
                <w:b/>
                <w:b/>
                <w:szCs w:val="24"/>
              </w:rPr>
            </w:pPr>
            <w:r>
              <w:rPr>
                <w:b/>
                <w:kern w:val="0"/>
                <w:szCs w:val="24"/>
                <w:lang w:eastAsia="en-US" w:bidi="ar-SA"/>
              </w:rPr>
              <w:t>Date</w:t>
            </w:r>
          </w:p>
        </w:tc>
        <w:tc>
          <w:tcPr>
            <w:tcW w:w="3319" w:type="dxa"/>
            <w:tcBorders/>
          </w:tcPr>
          <w:p>
            <w:pPr>
              <w:pStyle w:val="NoSpacing"/>
              <w:widowControl/>
              <w:spacing w:before="0" w:after="0"/>
              <w:jc w:val="left"/>
              <w:rPr>
                <w:b/>
                <w:b/>
                <w:szCs w:val="24"/>
              </w:rPr>
            </w:pPr>
            <w:r>
              <w:rPr>
                <w:b/>
                <w:kern w:val="0"/>
                <w:szCs w:val="24"/>
                <w:lang w:eastAsia="en-US" w:bidi="ar-SA"/>
              </w:rPr>
              <w:t>Change</w:t>
            </w:r>
          </w:p>
        </w:tc>
        <w:tc>
          <w:tcPr>
            <w:tcW w:w="2362" w:type="dxa"/>
            <w:tcBorders/>
          </w:tcPr>
          <w:p>
            <w:pPr>
              <w:pStyle w:val="NoSpacing"/>
              <w:widowControl/>
              <w:spacing w:before="0" w:after="0"/>
              <w:jc w:val="left"/>
              <w:rPr>
                <w:b/>
                <w:b/>
                <w:szCs w:val="24"/>
              </w:rPr>
            </w:pPr>
            <w:r>
              <w:rPr>
                <w:b/>
                <w:kern w:val="0"/>
                <w:szCs w:val="24"/>
                <w:lang w:eastAsia="en-US" w:bidi="ar-SA"/>
              </w:rPr>
              <w:t>Reason for Changes</w:t>
            </w:r>
          </w:p>
        </w:tc>
        <w:tc>
          <w:tcPr>
            <w:tcW w:w="2273" w:type="dxa"/>
            <w:tcBorders/>
          </w:tcPr>
          <w:p>
            <w:pPr>
              <w:pStyle w:val="NoSpacing"/>
              <w:widowControl/>
              <w:spacing w:before="0" w:after="0"/>
              <w:jc w:val="left"/>
              <w:rPr>
                <w:b/>
                <w:b/>
                <w:szCs w:val="24"/>
              </w:rPr>
            </w:pPr>
            <w:r>
              <w:rPr>
                <w:b/>
                <w:kern w:val="0"/>
                <w:szCs w:val="24"/>
                <w:lang w:eastAsia="en-US" w:bidi="ar-SA"/>
              </w:rPr>
              <w:t>Mentor Signature</w:t>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bl>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rPr>
          <w:rFonts w:ascii="Times New Roman" w:hAnsi="Times New Roman"/>
          <w:sz w:val="28"/>
          <w:szCs w:val="28"/>
        </w:rPr>
      </w:pPr>
      <w:r>
        <w:rPr>
          <w:rFonts w:ascii="Times New Roman" w:hAnsi="Times New Roman"/>
          <w:sz w:val="28"/>
          <w:szCs w:val="28"/>
        </w:rPr>
        <w:t>General Instructions:</w:t>
      </w:r>
    </w:p>
    <w:p>
      <w:pPr>
        <w:pStyle w:val="NoSpacing"/>
        <w:spacing w:lineRule="auto" w:line="276"/>
        <w:rPr>
          <w:rFonts w:ascii="Times New Roman" w:hAnsi="Times New Roman"/>
          <w:szCs w:val="24"/>
        </w:rPr>
      </w:pPr>
      <w:r>
        <w:rPr>
          <w:rFonts w:ascii="Times New Roman" w:hAnsi="Times New Roman"/>
          <w:szCs w:val="24"/>
        </w:rPr>
      </w:r>
    </w:p>
    <w:p>
      <w:pPr>
        <w:pStyle w:val="NoSpacing"/>
        <w:numPr>
          <w:ilvl w:val="0"/>
          <w:numId w:val="1"/>
        </w:numPr>
        <w:spacing w:lineRule="auto" w:line="276"/>
        <w:rPr>
          <w:rFonts w:ascii="Times New Roman" w:hAnsi="Times New Roman"/>
          <w:szCs w:val="24"/>
        </w:rPr>
      </w:pPr>
      <w:r>
        <w:rPr>
          <w:rFonts w:ascii="Times New Roman" w:hAnsi="Times New Roman"/>
          <w:szCs w:val="24"/>
        </w:rPr>
        <w:t>Font should be Time new Roman 12</w:t>
      </w:r>
    </w:p>
    <w:p>
      <w:pPr>
        <w:pStyle w:val="NoSpacing"/>
        <w:numPr>
          <w:ilvl w:val="0"/>
          <w:numId w:val="1"/>
        </w:numPr>
        <w:spacing w:lineRule="auto" w:line="276"/>
        <w:rPr>
          <w:rFonts w:ascii="Times New Roman" w:hAnsi="Times New Roman"/>
          <w:szCs w:val="24"/>
        </w:rPr>
      </w:pPr>
      <w:r>
        <w:rPr>
          <w:rFonts w:ascii="Times New Roman" w:hAnsi="Times New Roman"/>
          <w:szCs w:val="24"/>
        </w:rPr>
        <w:t>Main heading should be All Capital with Times New Roman 14</w:t>
      </w:r>
    </w:p>
    <w:p>
      <w:pPr>
        <w:pStyle w:val="NoSpacing"/>
        <w:numPr>
          <w:ilvl w:val="0"/>
          <w:numId w:val="1"/>
        </w:numPr>
        <w:spacing w:lineRule="auto" w:line="276"/>
        <w:rPr>
          <w:rFonts w:ascii="Times New Roman" w:hAnsi="Times New Roman"/>
          <w:szCs w:val="24"/>
        </w:rPr>
      </w:pPr>
      <w:r>
        <w:rPr>
          <w:rFonts w:ascii="Times New Roman" w:hAnsi="Times New Roman"/>
          <w:szCs w:val="24"/>
        </w:rPr>
        <w:t>Sub-Heading should be  Times new roman 12 , Underline</w:t>
      </w:r>
    </w:p>
    <w:p>
      <w:pPr>
        <w:pStyle w:val="NoSpacing"/>
        <w:numPr>
          <w:ilvl w:val="0"/>
          <w:numId w:val="1"/>
        </w:numPr>
        <w:spacing w:lineRule="auto" w:line="276"/>
        <w:rPr>
          <w:rFonts w:ascii="Times New Roman" w:hAnsi="Times New Roman"/>
          <w:szCs w:val="24"/>
        </w:rPr>
      </w:pPr>
      <w:r>
        <w:rPr>
          <w:rFonts w:ascii="Times New Roman" w:hAnsi="Times New Roman"/>
          <w:szCs w:val="24"/>
        </w:rPr>
        <w:t>Line gap should be 1.15</w:t>
      </w:r>
    </w:p>
    <w:p>
      <w:pPr>
        <w:pStyle w:val="NoSpacing"/>
        <w:numPr>
          <w:ilvl w:val="0"/>
          <w:numId w:val="1"/>
        </w:numPr>
        <w:spacing w:lineRule="auto" w:line="276"/>
        <w:rPr>
          <w:rFonts w:ascii="Times New Roman" w:hAnsi="Times New Roman"/>
          <w:szCs w:val="24"/>
        </w:rPr>
      </w:pPr>
      <w:r>
        <w:rPr>
          <w:rFonts w:ascii="Times New Roman" w:hAnsi="Times New Roman"/>
          <w:szCs w:val="24"/>
        </w:rPr>
        <w:t>Justified alignment should be used for all text</w:t>
      </w:r>
    </w:p>
    <w:p>
      <w:pPr>
        <w:pStyle w:val="NoSpacing"/>
        <w:numPr>
          <w:ilvl w:val="0"/>
          <w:numId w:val="1"/>
        </w:numPr>
        <w:spacing w:lineRule="auto" w:line="276"/>
        <w:rPr>
          <w:rFonts w:ascii="Times New Roman" w:hAnsi="Times New Roman"/>
          <w:szCs w:val="24"/>
        </w:rPr>
      </w:pPr>
      <w:r>
        <w:rPr>
          <w:rFonts w:ascii="Times New Roman" w:hAnsi="Times New Roman"/>
          <w:szCs w:val="24"/>
        </w:rPr>
        <w:t>Content inside a table should be Times New Roman 10</w:t>
      </w:r>
    </w:p>
    <w:p>
      <w:pPr>
        <w:pStyle w:val="NoSpacing"/>
        <w:numPr>
          <w:ilvl w:val="0"/>
          <w:numId w:val="1"/>
        </w:numPr>
        <w:spacing w:lineRule="auto" w:line="276"/>
        <w:rPr>
          <w:rFonts w:ascii="Times New Roman" w:hAnsi="Times New Roman"/>
          <w:szCs w:val="24"/>
        </w:rPr>
      </w:pPr>
      <w:r>
        <w:rPr>
          <w:rFonts w:ascii="Times New Roman" w:hAnsi="Times New Roman"/>
          <w:szCs w:val="24"/>
        </w:rPr>
        <w:t>Caption for both Table and Figure should be Times New Roman 11</w:t>
      </w:r>
    </w:p>
    <w:p>
      <w:pPr>
        <w:pStyle w:val="NoSpacing"/>
        <w:numPr>
          <w:ilvl w:val="0"/>
          <w:numId w:val="1"/>
        </w:numPr>
        <w:spacing w:lineRule="auto" w:line="276"/>
        <w:rPr>
          <w:rFonts w:ascii="Times New Roman" w:hAnsi="Times New Roman"/>
          <w:szCs w:val="24"/>
        </w:rPr>
      </w:pPr>
      <w:r>
        <w:rPr>
          <w:rFonts w:ascii="Times New Roman" w:hAnsi="Times New Roman"/>
          <w:szCs w:val="24"/>
        </w:rPr>
        <w:t>Add Source for all Images used.</w:t>
      </w:r>
    </w:p>
    <w:p>
      <w:pPr>
        <w:pStyle w:val="NoSpacing"/>
        <w:jc w:val="center"/>
        <w:rPr>
          <w:sz w:val="40"/>
          <w:szCs w:val="40"/>
        </w:rPr>
      </w:pPr>
      <w:r>
        <w:rPr>
          <w:sz w:val="40"/>
          <w:szCs w:val="40"/>
        </w:rPr>
      </w:r>
    </w:p>
    <w:tbl>
      <w:tblPr>
        <w:tblStyle w:val="TableGrid"/>
        <w:tblW w:w="89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
        <w:gridCol w:w="2633"/>
        <w:gridCol w:w="5995"/>
      </w:tblGrid>
      <w:tr>
        <w:trPr/>
        <w:tc>
          <w:tcPr>
            <w:tcW w:w="336" w:type="dxa"/>
            <w:tcBorders/>
          </w:tcPr>
          <w:p>
            <w:pPr>
              <w:pStyle w:val="NoSpacing"/>
              <w:widowControl/>
              <w:spacing w:before="0" w:after="0"/>
              <w:jc w:val="left"/>
              <w:rPr>
                <w:rFonts w:ascii="Times New Roman" w:hAnsi="Times New Roman"/>
                <w:szCs w:val="24"/>
              </w:rPr>
            </w:pPr>
            <w:bookmarkStart w:id="0" w:name="_GoBack"/>
            <w:bookmarkEnd w:id="0"/>
            <w:r>
              <w:rPr>
                <w:rFonts w:ascii="Times New Roman" w:hAnsi="Times New Roman"/>
                <w:kern w:val="0"/>
                <w:szCs w:val="24"/>
                <w:lang w:eastAsia="en-US" w:bidi="ar-SA"/>
              </w:rPr>
              <w:t>1</w:t>
            </w:r>
          </w:p>
        </w:tc>
        <w:tc>
          <w:tcPr>
            <w:tcW w:w="8628" w:type="dxa"/>
            <w:gridSpan w:val="2"/>
            <w:tcBorders/>
          </w:tcPr>
          <w:p>
            <w:pPr>
              <w:pStyle w:val="NoSpacing"/>
              <w:widowControl/>
              <w:spacing w:before="0" w:after="0"/>
              <w:jc w:val="both"/>
              <w:rPr>
                <w:rFonts w:ascii="Times New Roman" w:hAnsi="Times New Roman"/>
                <w:sz w:val="28"/>
                <w:szCs w:val="28"/>
              </w:rPr>
            </w:pPr>
            <w:r>
              <w:rPr>
                <w:rFonts w:ascii="Times New Roman" w:hAnsi="Times New Roman"/>
                <w:kern w:val="0"/>
                <w:sz w:val="28"/>
                <w:szCs w:val="28"/>
                <w:lang w:eastAsia="en-US" w:bidi="ar-SA"/>
              </w:rPr>
              <w:t>INTRODUCTION</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1.1 Purpose of the Project</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ARES (Autonomous Reliability Engineering System) addresses the critical problem of cloud application downtime caused by microservices failures, performance degradation, and resource overload. Modern distributed systems fail due to traffic spikes, memory leaks, service crashes, and network latency, yet traditional monitoring systems only alert engineers — requiring manual intervention that typically takes 30 to 60 minutes. This human-in-the-loop recovery model is the core problem ARES solves. The motivation for this project arises from the real economic and operational cost of downtime in cloud-native SaaS applications, and from the maturity of open-source tooling — Docker, Prometheus, scikit-learn — that now makes autonomous reliability engineering practically achievable. ARES combines real-time monitoring agents, ML-based anomaly detection powered by the Helios research system (an accepted conference paper on DevSecOps and AI/ML cloud anomaly detection), and an automated self-healing engine to achieve end-to-end autonomous recovery.</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1.2 Target Beneficiary</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The primary beneficiaries of ARES are: (1) Cloud platform engineers and DevOps teams who currently manage on-call rotations and manual incident response — ARES reduces their intervention burden; (2) SaaS product companies that need high availability and cannot afford downtime in e-commerce, fintech, or streaming platforms; (3) Small and medium engineering teams that lack the resources for a dedicated Site Reliability Engineering (SRE) function but need production-grade reliability; (4) Academic researchers and students studying AIOps, autonomic computing, and cloud reliability engineering who can use ARES as a reference implementation; (5) The end users of deployed SaaS applications who benefit from reduced downtime and uninterrupted service availability.</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1.3 Project Scope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ARES is applicable across all cloud-native microservices environments, including e-commerce platforms, streaming services, banking systems, and enterprise SaaS applications. The primary application demonstrated in this project is a fully functional e-commerce system with four independent microservices. The benefits of ARES include near-zero human intervention for service recovery, reduction in mean time to recovery (MTTR), proactive anomaly detection before hard failures occur, and full observability of system health through a real-time dashboard. The objectives are to build and deploy a working microservices application, instrument it with a monitoring stack, integrate ML anomaly detection, and demonstrate autonomous healing. The deliverables include: a deployed e-commerce application (letslumiere.vercel.app), four backend microservices on Render, PostgreSQL databases on Neon, a Prometheus and Grafana observability stack, five ARES agents, the Helios ML Engine integration, a Decision Engine, and an ARES Dashboard.</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1.4 References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1. N. Tak, Helios: AI/ML-Based Threat Detection and Self-Healing in Cloud Systems (DevSecOps), Accepted Conference Paper, 2024. https://github.com/Nitanshu715/Helios | 2. GitHub Repository: ARES-Autonomous-Reliability-Engineering-System. https://github.com/Nitanshu715/ARES-Autonomous-Reliability-Engineering-System | 3. Kephart, J.O. and Chess, D.M. (2003). The Vision of Autonomic Computing. IEEE Computer, 36(1), 41-50. | 4. Liu, F.T., Ting, K.M. and Zhou, Z.H. (2008). Isolation Forest. IEEE ICDM 2008. | 5. Dragoni, N. et al. (2017). Microservices: Yesterday, Today, and Tomorrow. Springer. | 6. Prometheus Documentation: https://prometheus.io | 7. Docker Documentation: https://docs.docker.com | 8. Next.js Documentation: https://nextjs.org | 9. Neon PostgreSQL: https://neon.tech | 10. Render Deployment: https://render.com</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w:t>
            </w:r>
          </w:p>
        </w:tc>
        <w:tc>
          <w:tcPr>
            <w:tcW w:w="86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PROJECT DESCRIPTION</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 xml:space="preserve">2.1 Reference Algorithm </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The reference algorithm for ARES is the Isolation Forest unsupervised anomaly detection algorithm, validated through the accepted Helios research paper. Isolation Forest works by constructing an ensemble of random binary trees (iTrees) over the metric data. Each tree isolates observations by randomly selecting a feature and a split value. Anomalous data points — those that deviate from normal patterns such as unusually high CPU usage — are isolated in fewer splits than normal observations, producing a lower average path length and consequently a higher anomaly score. The score ranges from 0 to 1; values above 0.7 trigger the ARES Decision Engine. The supporting algorithm is the MAPE-K autonomic control loop: Monitor (collect metrics), Analyze (score with Isolation Forest), Plan (Decision Engine maps anomaly to action), Execute (Healing Agent calls Docker Engine API), Knowledge (log event to ARES backend). Data structures used include time-series metric arrays (CPU%, memory MB, latency ms, error rate %) stored as Prometheus TSDB records, and JSON event objects representing anomaly events and recovery actions persisted in the ARES backend PostgreSQL database.</w:t>
            </w:r>
            <w:r>
              <w:rPr>
                <w:rFonts w:ascii="Times New Roman" w:hAnsi="Times New Roman"/>
                <w:b/>
                <w:kern w:val="0"/>
                <w:szCs w:val="24"/>
                <w:lang w:eastAsia="en-US" w:bidi="ar-SA"/>
              </w:rPr>
              <w:t>Mandatory for Minor1</w:t>
            </w:r>
            <w:r>
              <w:rPr>
                <w:rFonts w:ascii="Times New Roman" w:hAnsi="Times New Roman"/>
                <w:kern w:val="0"/>
                <w:szCs w:val="24"/>
                <w:lang w:eastAsia="en-US" w:bidi="ar-SA"/>
              </w:rPr>
              <w:t>) Or/Add design algorithm justifying the methodology of the project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2.2 Characteristic of Data</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ARES does not use a static pre-existing dataset. The system generates and collects live operational data from the running microservices infrastructure. The primary data source is Prometheus, which scrapes /metrics endpoints on each of the four microservices every 15 seconds, collecting CPU utilisation (%), memory consumption (MB), HTTP request duration (ms), request count, and error rate (%). The secondary data source is the health check endpoint (/health) polled by the Health Agent every 10 seconds, returning HTTP status codes and response times. During chaos engineering demonstrations, the Load Agent generates synthetic traffic using Locust to stress the system and produce anomalous metric readings for model scoring. The statistical processing involves computing moving averages over 5-minute windows to establish baseline distributions, followed by Isolation Forest scoring on individual readings to detect outliers. No external dataset labelling is required as Isolation Forest is fully unsupervised.</w:t>
            </w:r>
            <w:r>
              <w:rPr>
                <w:rFonts w:ascii="Times New Roman" w:hAnsi="Times New Roman"/>
                <w:b/>
                <w:kern w:val="0"/>
                <w:szCs w:val="24"/>
                <w:lang w:eastAsia="en-US" w:bidi="ar-SA"/>
              </w:rPr>
              <w:t>if any</w:t>
            </w:r>
            <w:r>
              <w:rPr>
                <w:rFonts w:ascii="Times New Roman" w:hAnsi="Times New Roman"/>
                <w:kern w:val="0"/>
                <w:szCs w:val="24"/>
                <w:lang w:eastAsia="en-US" w:bidi="ar-SA"/>
              </w:rPr>
              <w: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2.3 SWOT Analysis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Strengths: Combines AI, DevOps, and cloud engineering in one unified platform; autonomous self-healing with no human intervention required; ML engine backed by accepted conference research (Helios); production-style microservices with CI/CD; real-time observability stack with Prometheus and Grafana. | Weaknesses: Requires cloud infrastructure and compute resources; complex multi-layer integration increases initial setup difficulty; ML model accuracy depends on quality and volume of collected metric data; container-level healing cannot address application code defects. | Opportunities: Foundation for next-generation AIOps platforms; applicable to SaaS, fintech, e-commerce, streaming, and enterprise systems; Phase 2 can be extended into a full conference publication; demonstrates industry-level SRE engineering in an academic context. | Threats: Incorrect ML predictions may trigger unnecessary healing actions; security risks exist in automated remediation of production services; debugging distributed system failures remains challenging; over-reliance on automation may mask underlying code-level defects.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2.4 Project Features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Feature 1 — E-Commerce Application: User registration and JWT-based authentication; product catalogue browsing; shopping cart management; order placement with ACID transaction support; order history viewing. Feature 2 — Monitoring and Observability: Continuous metric collection (CPU, memory, latency, error rate) via Prometheus; real-time visualisation in Grafana; health endpoint polling every 10 seconds; log stream analysis for error pattern detection. Feature 3 — ML Anomaly Detection: Isolation Forest scoring of metric readings via Helios Flask API; anomaly score threshold triggering (0.7); per-service anomaly classification for CPU, memory, latency, and error rate metrics. Feature 4 — Autonomous Self-Healing: Decision Engine mapping of anomaly types to recovery actions; Docker Engine API container restart; service recycle for memory anomalies; full recovery within 2 to 5 seconds. Feature 5 — ARES Dashboard: Real-time service health status (GREEN/YELLOW/RED); incident timeline with detection, decision, and recovery timestamps; ML alert feed; agent activity log. Feature 6 — Load and Chaos Testing: Synthetic traffic generation via Load Agent; manual service termination for healing demonstration; CPU stress injection for anomaly model validation.</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2.5 User Classes and Characteristics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User Class 1 — End User (E-Commerce Customer): Interacts with the Next.js frontend to browse products, manage cart, and place orders. Does not interact with ARES directly. Requires a modern web browser and internet connection. User Class 2 — System Administrator / DevOps Engineer: Views the ARES Dashboard to monitor service health, review incident timelines, and configure anomaly thresholds. May manually trigger load tests. Requires access to the ARES admin interface and familiarity with cloud operations. User Class 3 — ARES Monitoring Agents (Automated): Background processes with no human interaction. Access Prometheus API, Docker Engine API, and ARES backend API programmatically. Operate continuously without user input. User Class 4 — Cloud Infrastructure Engineer: Manages AWS EC2 instances, IAM user policies, Prometheus configuration, and Docker network setup. Interacts with the infrastructure layer, not the application directly. User Class 5 — Academic Evaluator / Researcher: Reviews system architecture, reads documentation, and observes the chaos engineering demonstration. Requires no system access beyond viewing the live dashboard and demo.</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2.6 Design and Implementation Constraints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Hardware Constraints: The system is deployed on Render (backend), Vercel (frontend), and Neon (database) in Phase 1, and AWS EC2 t2.micro (1 vCPU, 1 GB RAM) in Phase 2. The ARES ML Engine requires at least 512 MB RAM for model loading. Docker containers per service require a minimum of 128 MB RAM each. Timing Constraints: Health checks must complete within 3 seconds; recovery actions must be initiated within 5 seconds of anomaly detection. Interfaces to Other Applications: Docker Engine Unix socket API for container management; Prometheus HTTP API for metric queries; Neon PostgreSQL connection strings; Render and Vercel deployment APIs via GitHub Actions. Technologies and Tools: Next.js, Node.js, Express.js, PostgreSQL, Docker, Prometheus, Grafana, Python 3.11, scikit-learn, Flask, Locust, GitHub Actions, AWS EC2. Language Requirements: Frontend and backend in TypeScript/JavaScript; ARES agents and ML Engine in Python 3.11. Security Considerations: All HTTP communication uses HTTPS; passwords hashed with bcryptjs salt rounds 10; JWT tokens expire after 24 hours; database credentials stored as environment variables only; Docker socket access restricted to the Healing Agent container. Programming Standards: REST API conventions for all service endpoints; JSON for all inter-service communication; semantic versioning for Docker images.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2.7 Design diagrams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The following diagrams are defined for the ARES system. Use Case Diagram: Actors include End User, Monitoring Agent, Health Agent, Helios ML Engine, Decision Engine, Healing Agent, and System Administrator. Primary use cases: Browse and Purchase, Autonomous Anomaly Detection, Autonomous Service Recovery, Incident Logging and Display, Load Testing. Class Diagram: Key classes include MicroService (serviceName, port, healthURL, status), MetricReading (serviceId, cpuPercent, memoryMB, latencyMs, errorRate, timestamp), AnomalyEvent (serviceId, metricType, score, threshold, timestamp), RecoveryAction (serviceId, actionType, initiatedAt, completedAt, outcome), and ARESAgent (agentType, interval, isRunning, lastRunAt). Activity Diagram: System start → agents begin polling → steady state → anomaly event → ML scores threshold exceeded → Decision Engine triggered → Healing Agent restarts container → health check passes → system returns to healthy state. Sequence Diagram: Monitoring Agent queries Prometheus → posts metrics to Helios API → Helios returns anomaly score → if score exceeds threshold, Monitoring Agent posts event to ARES backend → Decision Engine evaluates → sends instruction to Healing Agent → Healing Agent calls Docker API → outcome logged. Data Flow Diagram: Microservices emit metrics → Prometheus scrapes → Monitoring Agent reads → Helios ML API scores → Decision Engine routes → Healing Agent acts → Dashboard displays. State Diagram: Service states: HEALTHY, DEGRADED, DOWN, HEALING_INITIATED, RECOVERING, back to HEALTHY.</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2.8 Assumption and Dependencies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Assumptions: (1) It is assumed that the AWS EC2 instance used in Phase 2 will have Docker installed and the Docker socket accessible to the Healing Agent container. (2) It is assumed that the Prometheus metrics endpoint (/metrics) is correctly instrumented on all four microservices and accessible within the Docker network. (3) It is assumed that the Helios ML models (.pkl files) have been trained on sufficient baseline metric data from the running services before anomaly detection is activated. (4) It is assumed that network latency between ARES agents and the monitored services is below 100 milliseconds. (5) It is assumed that the Neon PostgreSQL free tier will remain available and maintain the configured connection pool throughout the project. Dependencies: (1) External dependency on Render for backend service hosting; if Render experiences downtime, Phase 1 services are unavailable. (2) External dependency on Vercel for frontend deployment. (3) External dependency on Neon for cloud PostgreSQL. (4) Dependency on the Helios repository (github.com/Nitanshu715/Helios) for the app.py Flask server and trained model files. (5) Dependency on GitHub Actions for CI/CD pipeline execution.</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w:t>
            </w:r>
          </w:p>
        </w:tc>
        <w:tc>
          <w:tcPr>
            <w:tcW w:w="8628" w:type="dxa"/>
            <w:gridSpan w:val="2"/>
            <w:tcBorders/>
          </w:tcPr>
          <w:p>
            <w:pPr>
              <w:pStyle w:val="NoSpacing"/>
              <w:widowControl/>
              <w:spacing w:before="0" w:after="0"/>
              <w:jc w:val="both"/>
              <w:rPr>
                <w:rFonts w:ascii="Times New Roman" w:hAnsi="Times New Roman"/>
                <w:sz w:val="28"/>
                <w:szCs w:val="28"/>
              </w:rPr>
            </w:pPr>
            <w:r>
              <w:rPr>
                <w:rFonts w:ascii="Times New Roman" w:hAnsi="Times New Roman"/>
                <w:kern w:val="0"/>
                <w:sz w:val="28"/>
                <w:szCs w:val="28"/>
                <w:lang w:eastAsia="en-US" w:bidi="ar-SA"/>
              </w:rPr>
              <w:t>SYSTEM REQUIREMENTS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3.1 User Interface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The following software components require a user interface: (1) E-Commerce Frontend (Next.js): The primary user-facing interface providing screens for landing page, user registration, user login, product catalogue, shopping cart, checkout, and order history. This interface communicates with all four backend microservices via REST API calls from the browser. (2) ARES Dashboard (Next.js, Phase 2): An administrative interface displaying real-time service health indicators (GREEN/YELLOW/RED), live CPU and memory graphs from the ARES backend, ML anomaly score feed, incident timeline with detection-to-recovery logs, and agent activity status. This interface is accessible only to authenticated administrators and consumes the ARES backend REST API. Both interfaces are implemented as Next.js applications deployed on Vercel, rendering responsively across desktop, tablet, and mobile viewports.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3.2 Software Interface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Module Connections: The Next.js frontend communicates with all four backend microservices via HTTPS REST API calls, using the Authorization: Bearer token header for authenticated requests. Each microservice is stateless and communicates only with its own PostgreSQL database and the ARES backend in Phase 2. The API Gateway (Nginx/AWS ALB in Phase 2) routes frontend requests to the appropriate service. The ARES agents communicate with Prometheus via its HTTP API (GET /api/v1/query), with the Helios ML Engine via POST requests to /predict/* endpoints, with the Docker Engine via the Unix socket (/var/run/docker.sock), and with the ARES backend via its REST API for event logging. API Protocols: All APIs follow REST conventions using JSON request and response bodies. Authentication uses Bearer JWT tokens validated via jsonwebtoken.verify(). Service-to-service communication within the Docker network uses HTTP on internal ports. External-facing endpoints use HTTPS enforced by Vercel and Render. The Prometheus API uses HTTP GET with PromQL query parameters. The Docker Engine SDK communicates via the Unix socket, not HTTP.</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3.3 Database Interface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ARES uses PostgreSQL 15 as its primary relational database management system. PostgreSQL was selected for its ACID compliance, which is essential for e-commerce transaction integrity — particularly for order placement where stock deductions, order creation, and payment confirmation must succeed atomically or roll back entirely. The database follows a Database-per-Service pattern: each microservice has its own isolated database (ecommerce_users, ecommerce_products, ecommerce_cart, ecommerce_orders) hosted on Neon, a serverless cloud-hosted PostgreSQL provider. Connection pooling is managed by the pg node-postgres client library. Tables are initialised automatically via CREATE TABLE IF NOT EXISTS statements on service startup, eliminating manual migration steps. In Phase 2, a Redis in-memory store will be added for session caching and temporary metric buffering to reduce PostgreSQL query load. The ARES backend uses a separate PostgreSQL database to persist anomaly events, recovery actions, and agent activity logs.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3.4 Protocols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HTTP/HTTPS Protocol: All external-facing API communication uses HTTPS with TLS 1.2 or higher, enforced by Vercel (frontend) and Render (backend services). Internal Docker network communication between ARES agents and services uses HTTP on private ports, as traffic does not leave the host machine. JWT Protocol: Authentication tokens are generated using the HS256 signing algorithm with a shared JWT_SECRET environment variable. Tokens carry a 24-hour expiry claim. Token validation is performed independently by each service on every protected request, with no shared session state. Prometheus Scraping Protocol: Prometheus uses HTTP GET to scrape /metrics endpoints every 15 seconds. The scrape timeout is set to 10 seconds. Metrics are stored in Prometheus TSDB using the OpenMetrics exposition format. Docker Engine Protocol: The Healing Agent communicates with the Docker daemon via the Unix domain socket at /var/run/docker.sock using the Docker SDK for Python. This communication is local-only and does not traverse any network interface. Data Transfer Rates: API response payloads are typically under 50 KB (JSON). Metric scrapes are under 10 KB per service. The system does not impose rate limits on internal agent communication. Synchronisation: The Monitoring Agent and Health Agent run on independent polling loops. Events are queued in the ARES backend database to prevent race conditions when multiple anomalies are detected simultaneously.</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w:t>
            </w:r>
          </w:p>
        </w:tc>
        <w:tc>
          <w:tcPr>
            <w:tcW w:w="8628" w:type="dxa"/>
            <w:gridSpan w:val="2"/>
            <w:tcBorders/>
          </w:tcPr>
          <w:p>
            <w:pPr>
              <w:pStyle w:val="NoSpacing"/>
              <w:widowControl/>
              <w:spacing w:before="0" w:after="0"/>
              <w:jc w:val="both"/>
              <w:rPr>
                <w:rFonts w:ascii="Times New Roman" w:hAnsi="Times New Roman"/>
                <w:sz w:val="28"/>
                <w:szCs w:val="28"/>
              </w:rPr>
            </w:pPr>
            <w:r>
              <w:rPr>
                <w:rFonts w:ascii="Times New Roman" w:hAnsi="Times New Roman"/>
                <w:kern w:val="0"/>
                <w:sz w:val="28"/>
                <w:szCs w:val="28"/>
                <w:lang w:eastAsia="en-US" w:bidi="ar-SA"/>
              </w:rPr>
              <w:t>NON-FUNCTIONAL REQUIREMENTS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4.1 Performance requirements</w:t>
            </w:r>
          </w:p>
        </w:tc>
        <w:tc>
          <w:tcPr>
            <w:tcW w:w="5995" w:type="dxa"/>
            <w:tcBorders/>
          </w:tcPr>
          <w:p>
            <w:pPr>
              <w:pStyle w:val="NoSpacing"/>
              <w:widowControl/>
              <w:tabs>
                <w:tab w:val="clear" w:pos="720"/>
                <w:tab w:val="left" w:pos="326" w:leader="none"/>
              </w:tabs>
              <w:spacing w:before="0" w:after="0"/>
              <w:jc w:val="both"/>
              <w:rPr>
                <w:rFonts w:ascii="Times New Roman" w:hAnsi="Times New Roman"/>
                <w:szCs w:val="24"/>
              </w:rPr>
            </w:pPr>
            <w:r>
              <w:rPr>
                <w:rFonts w:ascii="Times New Roman" w:hAnsi="Times New Roman"/>
                <w:kern w:val="0"/>
                <w:szCs w:val="24"/>
                <w:lang w:eastAsia="en-US" w:bidi="ar-SA"/>
              </w:rPr>
              <w:t xml:space="preserve">Response Time Requirements: The e-commerce frontend pages must load within 2 seconds under normal conditions from the Vercel CDN. Backend API endpoints must respond within 300 milliseconds for product catalogue queries and within 500 milliseconds for order placement under normal load. Health check endpoints must respond within 100 milliseconds when the service is healthy. ARES Recovery Timing: The Health Agent must detect a service failure within 10 seconds of the failure occurring (polling interval). The Decision Engine must produce a recovery action specification within 1 second of receiving an anomaly or health event. The Healing Agent must initiate a container restart within 2 seconds of receiving the action specification. Full service recovery must be confirmed within 30 seconds of restart initiation. Monitoring Throughput: The Monitoring Agent must process metric readings for all four services within each 15-second polling cycle. The Helios ML API must return anomaly scores for each metric reading within 500 milliseconds. Concurrent Users: The e-commerce application must handle at least 50 concurrent users without response time exceeding 1 second under normal operating conditions.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4.2 Security requirements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Authentication and Authorisation: All user-facing API endpoints that access personal data (cart, orders, profile) require a valid JWT token in the Authorization header. Tokens are issued only upon successful password validation using bcrypt.compare(). The JWT is signed with a server-side secret (JWT_SECRET) stored only as an environment variable, never in source code or version control. Password Storage: User passwords are never stored in plain text. bcryptjs with a salt round factor of 10 is used to produce an irreversible hash before database insertion. Even if the database is compromised, original passwords cannot be recovered. Data Privacy: User data (name, email, order history) is stored only in the Neon PostgreSQL database accessible only through the authenticated service layer. No user data is logged to console output or shared with third parties. Docker Security: The Docker socket (/var/run/docker.sock) is mounted only in the Healing Agent container, not in any application service container, to prevent unauthorised container management. Environment Variables: All secrets (DATABASE_URL, JWT_SECRET, API keys) are stored exclusively as platform environment variables (Render, Vercel, AWS), never committed to the GitHub repository. The .gitignore file explicitly excludes all .env files. HTTPS Enforcement: All external traffic is served over HTTPS. Render and Vercel enforce HTTPS by default with automatic TLS certificate management.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4.3 Software Quality Attributes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Adaptability: ARES agents are designed to monitor any containerised service regardless of implementation language by using standard /health endpoints and Prometheus metrics. New services can be added without modifying existing agents. Availability: The system targets 99.5% uptime for the application layer. The ARES control plane operates continuously with no scheduled downtime. Service restarts complete within 30 seconds. Correctness: JWT token validation ensures only authenticated users access protected resources. ACID transactions in the Order Service ensure no partial order states. Isolation Forest scores are validated against a configurable threshold before triggering healing. Flexibility: Anomaly thresholds, polling intervals, and recovery action mappings are configurable via environment variables without code changes. Interoperability: The system uses standard REST/HTTP, JSON, and OpenMetrics protocols enabling integration with any standard monitoring or cloud management tool. Maintainability: Each microservice and each ARES agent is an independent deployable unit. Services follow a consistent layered architecture (route, controller, data, health) reducing cognitive overhead. Portability: All services are containerised with Docker, ensuring identical behaviour across local development, Render, and AWS EC2. Reliability: The self-healing engine reduces MTTR from 30-60 minutes (human response) to under 30 seconds. ML anomaly detection provides proactive identification of degradation before hard failures. Reusability: The Helios ML Engine (Flask API + pkl models) is reused directly from the accepted conference paper implementation without modification. Robustness: Failure of any individual microservice does not affect ARES agents or other services due to the database-per-service isolation pattern. Testability: Every service exposes a /health endpoint for automated health testing. Usability: The ARES Dashboard presents complex system state through simple colour-coded indicators and a chronological incident timeline accessible to non-technical stakeholders.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5</w:t>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Other Requirements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Deployment Requirements: The Phase 1 system must be publicly accessible via a stable URL (currently: letslumiere.vercel.app). All backend services must auto-restart on crash as provided by Render's default behaviour. The GitHub repository must be set to public visibility to enable Render and Vercel deployment integrations. Compliance Requirements: The system does not process payment card data and therefore does not require PCI DSS compliance. User data is limited to name, email, and order history; no sensitive financial or medical data is collected. Documentation Requirements: The system must maintain an up-to-date README.md in the GitHub repository describing architecture, setup instructions, and deployment configuration. All environment variables required for deployment must be documented in .env.example files in each service directory. Monitoring Requirements (Phase 2): Prometheus must retain at least 15 days of metric history for ML model training purposes. Grafana dashboards must auto-refresh every 15 seconds.</w:t>
            </w:r>
          </w:p>
        </w:tc>
      </w:tr>
      <w:tr>
        <w:trPr/>
        <w:tc>
          <w:tcPr>
            <w:tcW w:w="2969" w:type="dxa"/>
            <w:gridSpan w:val="2"/>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Appendix A: Glossary</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ARES: Autonomous Reliability Engineering System. SRS: Software Requirements Specification. API: Application Programming Interface — a defined contract for communication between software components. REST: Representational State Transfer — an architectural style for HTTP-based APIs. JWT: JSON Web Token — a compact, signed token used for stateless authentication. MAPE-K: Monitor, Analyze, Plan, Execute, Knowledge — the IBM autonomic computing control loop. ML: Machine Learning. Isolation Forest: An unsupervised ML algorithm for anomaly detection based on random tree isolation. AIOps: Artificial Intelligence for IT Operations. SRE: Site Reliability Engineering — a discipline that applies software engineering to operations. MTTR: Mean Time to Recovery — the average time to restore a service after failure. CI/CD: Continuous Integration and Continuous Deployment. Docker: A containerisation platform for packaging applications and their dependencies. Prometheus: An open-source metrics collection and time-series database. Grafana: An open-source data visualisation platform. Neon: A serverless cloud-hosted PostgreSQL provider. Render: A cloud platform for deploying web services. Vercel: A cloud platform optimised for Next.js deployment. ACID: Atomicity, Consistency, Isolation, Durability — properties guaranteeing reliable database transactions. TSDB: Time Series Database — a database optimised for time-stamped metric data.</w:t>
            </w:r>
          </w:p>
        </w:tc>
      </w:tr>
      <w:tr>
        <w:trPr/>
        <w:tc>
          <w:tcPr>
            <w:tcW w:w="2969" w:type="dxa"/>
            <w:gridSpan w:val="2"/>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Appendix B: Analysis Model</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The following analysis models are used for ARES: (1) MAPE-K Autonomic Control Model — the primary architectural model governing the ARES control loop: Monitor (Monitoring and Health Agents), Analyze (Helios ML Engine), Plan (Decision Engine), Execute (Healing Agent), Knowledge (ARES backend log and dashboard). (2) Isolation Forest Anomaly Detection Model — the unsupervised ML model trained on Prometheus metric time-series data. The model constructs an ensemble of iTrees and computes anomaly scores in the range 0-1 for each metric reading. A score above 0.7 classifies the reading as anomalous. (3) Database-per-Service Data Model — each microservice owns a separate PostgreSQL schema, providing fault isolation and independent scaling. (4) State Machine Model — each monitored service is modelled as a finite state machine with states: HEALTHY, DEGRADED, DOWN, HEALING_INITIATED, RECOVERING. Transitions are triggered by health check results and ML anomaly scores. (5) Event-Driven Architecture Model — ARES components communicate through asynchronous event posting to the ARES backend, decoupling detection from healing and enabling parallel agent operation.</w:t>
            </w:r>
          </w:p>
        </w:tc>
      </w:tr>
      <w:tr>
        <w:trPr/>
        <w:tc>
          <w:tcPr>
            <w:tcW w:w="2969" w:type="dxa"/>
            <w:gridSpan w:val="2"/>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Appendix C: Issues List</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Issue 1 — ML Model Baseline Calibration: The Isolation Forest model requires a minimum of 500 metric readings collected under normal operating conditions before it can reliably detect anomalies. During the initial deployment period, the threshold must be manually validated. Status: Open — to be resolved in Phase 2D. | Issue 2 — Docker Socket Security: Mounting /var/run/docker.sock in the Healing Agent container grants broad Docker management permissions. A more restrictive TCP socket with TLS client authentication should be implemented in production. Status: Open — deferred to Phase 2E. | Issue 3 — ARES Dashboard Authentication: The Phase 2 ARES Dashboard currently has no authentication layer specified. An admin login mechanism using a separate JWT issuer must be designed before deployment. Status: Open — to be addressed in Phase 2E. | Issue 4 — Prometheus Data Retention: The current configuration retains 15 days of data. For long-term ML retraining, a retention extension or an external time-series archive (e.g., Thanos) may be required. Status: Open — under review. | Issue 5 — Render Cold Starts: Backend services on Render free tier spin down after 15 minutes of inactivity. A keepalive ping mechanism should be added to prevent cold start latency during demos. Status: Open.</w:t>
            </w:r>
          </w:p>
        </w:tc>
      </w:tr>
    </w:tbl>
    <w:p>
      <w:pPr>
        <w:pStyle w:val="NoSpacing"/>
        <w:jc w:val="center"/>
        <w:rPr>
          <w:sz w:val="40"/>
          <w:szCs w:val="4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97628"/>
    <w:pPr>
      <w:widowControl/>
      <w:bidi w:val="0"/>
      <w:spacing w:lineRule="exact" w:line="240" w:before="0" w:after="0"/>
      <w:jc w:val="left"/>
    </w:pPr>
    <w:rPr>
      <w:rFonts w:ascii="Times" w:hAnsi="Times" w:eastAsia="Times New Roman" w:cs="Times New Roman"/>
      <w:color w:val="auto"/>
      <w:kern w:val="0"/>
      <w:sz w:val="24"/>
      <w:szCs w:val="20"/>
      <w:lang w:val="en-US" w:eastAsia="en-US" w:bidi="ar-SA"/>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qFormat/>
    <w:rsid w:val="00297628"/>
    <w:rPr>
      <w:rFonts w:ascii="Arial" w:hAnsi="Arial" w:eastAsia="Times New Roman" w:cs="Times New Roman"/>
      <w:b/>
      <w:kern w:val="2"/>
      <w:sz w:val="64"/>
      <w:szCs w:val="20"/>
      <w:lang w:val="en-US"/>
    </w:rPr>
  </w:style>
  <w:style w:type="character" w:styleId="InternetLink">
    <w:name w:val="Hyperlink"/>
    <w:basedOn w:val="DefaultParagraphFont"/>
    <w:rsid w:val="00297628"/>
    <w:rPr>
      <w:color w:val="0000FF"/>
      <w:u w:val="single"/>
    </w:rPr>
  </w:style>
  <w:style w:type="character" w:styleId="BalloonTextChar" w:customStyle="1">
    <w:name w:val="Balloon Text Char"/>
    <w:basedOn w:val="DefaultParagraphFont"/>
    <w:link w:val="BalloonText"/>
    <w:uiPriority w:val="99"/>
    <w:semiHidden/>
    <w:qFormat/>
    <w:rsid w:val="006266d1"/>
    <w:rPr>
      <w:rFonts w:ascii="Segoe UI" w:hAnsi="Segoe UI" w:eastAsia="Times New Roman"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link w:val="TitleChar"/>
    <w:qFormat/>
    <w:rsid w:val="00297628"/>
    <w:pPr>
      <w:spacing w:lineRule="auto" w:line="240" w:before="240" w:after="720"/>
      <w:jc w:val="right"/>
    </w:pPr>
    <w:rPr>
      <w:rFonts w:ascii="Arial" w:hAnsi="Arial"/>
      <w:b/>
      <w:kern w:val="2"/>
      <w:sz w:val="64"/>
    </w:rPr>
  </w:style>
  <w:style w:type="paragraph" w:styleId="ByLine" w:customStyle="1">
    <w:name w:val="ByLine"/>
    <w:basedOn w:val="Title"/>
    <w:qFormat/>
    <w:rsid w:val="00297628"/>
    <w:pPr/>
    <w:rPr>
      <w:sz w:val="28"/>
    </w:rPr>
  </w:style>
  <w:style w:type="paragraph" w:styleId="NoSpacing">
    <w:name w:val="No Spacing"/>
    <w:uiPriority w:val="1"/>
    <w:qFormat/>
    <w:rsid w:val="00297628"/>
    <w:pPr>
      <w:widowControl/>
      <w:bidi w:val="0"/>
      <w:spacing w:lineRule="auto" w:line="240" w:before="0" w:after="0"/>
      <w:jc w:val="left"/>
    </w:pPr>
    <w:rPr>
      <w:rFonts w:ascii="Times" w:hAnsi="Times" w:eastAsia="Times New Roman" w:cs="Times New Roman"/>
      <w:color w:val="auto"/>
      <w:kern w:val="0"/>
      <w:sz w:val="24"/>
      <w:szCs w:val="20"/>
      <w:lang w:val="en-US" w:eastAsia="en-US" w:bidi="ar-SA"/>
    </w:rPr>
  </w:style>
  <w:style w:type="paragraph" w:styleId="TOCEntry" w:customStyle="1">
    <w:name w:val="TOCEntry"/>
    <w:basedOn w:val="Normal"/>
    <w:qFormat/>
    <w:rsid w:val="006807b1"/>
    <w:pPr>
      <w:keepNext w:val="true"/>
      <w:keepLines/>
      <w:spacing w:lineRule="atLeast" w:line="240" w:before="120" w:after="240"/>
    </w:pPr>
    <w:rPr>
      <w:b/>
      <w:sz w:val="36"/>
    </w:rPr>
  </w:style>
  <w:style w:type="paragraph" w:styleId="BalloonText">
    <w:name w:val="Balloon Text"/>
    <w:basedOn w:val="Normal"/>
    <w:link w:val="BalloonTextChar"/>
    <w:uiPriority w:val="99"/>
    <w:semiHidden/>
    <w:unhideWhenUsed/>
    <w:qFormat/>
    <w:rsid w:val="006266d1"/>
    <w:pPr>
      <w:spacing w:lineRule="auto" w:line="24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76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Application>LibreOffice/7.3.7.2$Linux_X86_64 LibreOffice_project/30$Build-2</Application>
  <AppVersion>15.0000</AppVersion>
  <Pages>5</Pages>
  <Words>753</Words>
  <Characters>4560</Characters>
  <CharactersWithSpaces>5201</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2021-09-29T05:28:00Z</dcterms:created>
  <dc:creator>Bhagwant Singh</dc:creator>
  <dc:description/>
  <dc:language>en-IN</dc:language>
  <cp:lastModifiedBy/>
  <cp:lastPrinted>2021-10-06T08:11:00Z</cp:lastPrinted>
  <dcterms:modified xsi:type="dcterms:W3CDTF">2025-10-08T12:29:53Z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