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snapskiee_logo.png"/>
                    <pic:cNvPicPr/>
                  </pic:nvPicPr>
                  <pic:blipFill>
                    <a:blip r:embed="rId9"/>
                    <a:stretch>
                      <a:fillRect/>
                    </a:stretch>
                  </pic:blipFill>
                  <pic:spPr>
                    <a:xfrm>
                      <a:off x="0" y="0"/>
                      <a:ext cx="1371600" cy="1371600"/>
                    </a:xfrm>
                    <a:prstGeom prst="rect"/>
                  </pic:spPr>
                </pic:pic>
              </a:graphicData>
            </a:graphic>
          </wp:inline>
        </w:drawing>
      </w:r>
    </w:p>
    <w:p>
      <w:pPr>
        <w:jc w:val="center"/>
      </w:pPr>
      <w:r>
        <w:rPr>
          <w:rFonts w:ascii="Calibri" w:hAnsi="Calibri"/>
          <w:b/>
          <w:color w:val="0A0D14"/>
          <w:sz w:val="44"/>
        </w:rPr>
        <w:t>Snapskiee: Project Description &amp; Technical Brief</w:t>
      </w:r>
    </w:p>
    <w:p>
      <w:pPr>
        <w:jc w:val="center"/>
      </w:pPr>
      <w:r>
        <w:rPr>
          <w:i/>
          <w:color w:val="E01E37"/>
          <w:sz w:val="24"/>
        </w:rPr>
        <w:t>The Autonomous, Zero-Cloud Cognitive Scratchpad for Snapdragon-Powered HP PCs</w:t>
        <w:br/>
        <w:t>Qualcomm Snapdragon® AI Lab Build &amp; Present Challenge 2026</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20"/>
              </w:rPr>
              <w:t>Candidate Name</w:t>
            </w:r>
          </w:p>
        </w:tc>
        <w:tc>
          <w:tcPr>
            <w:tcW w:type="dxa" w:w="6192"/>
            <w:shd w:fill="F8FAFC"/>
            <w:tcMar>
              <w:top w:w="60" w:type="dxa"/>
              <w:bottom w:w="60" w:type="dxa"/>
              <w:left w:w="100" w:type="dxa"/>
              <w:right w:w="100" w:type="dxa"/>
            </w:tcMar>
          </w:tcPr>
          <w:p>
            <w:r>
              <w:rPr>
                <w:sz w:val="20"/>
              </w:rPr>
              <w:t>Nitanshu Tak (nitanshutak070105@gmail.com)</w:t>
            </w:r>
          </w:p>
        </w:tc>
      </w:tr>
      <w:tr>
        <w:tc>
          <w:tcPr>
            <w:tcW w:type="dxa" w:w="3168"/>
            <w:shd w:fill="FFFFFF"/>
            <w:tcMar>
              <w:top w:w="60" w:type="dxa"/>
              <w:bottom w:w="60" w:type="dxa"/>
              <w:left w:w="100" w:type="dxa"/>
              <w:right w:w="100" w:type="dxa"/>
            </w:tcMar>
          </w:tcPr>
          <w:p>
            <w:r>
              <w:rPr>
                <w:b/>
                <w:sz w:val="20"/>
              </w:rPr>
              <w:t>Target Platform</w:t>
            </w:r>
          </w:p>
        </w:tc>
        <w:tc>
          <w:tcPr>
            <w:tcW w:type="dxa" w:w="6192"/>
            <w:shd w:fill="FFFFFF"/>
            <w:tcMar>
              <w:top w:w="60" w:type="dxa"/>
              <w:bottom w:w="60" w:type="dxa"/>
              <w:left w:w="100" w:type="dxa"/>
              <w:right w:w="100" w:type="dxa"/>
            </w:tcMar>
          </w:tcPr>
          <w:p>
            <w:r>
              <w:rPr>
                <w:sz w:val="20"/>
              </w:rPr>
              <w:t>HP Omnibook Ultra / Copilot+ PC (Snapdragon X Elite / Plus)</w:t>
            </w:r>
          </w:p>
        </w:tc>
      </w:tr>
      <w:tr>
        <w:tc>
          <w:tcPr>
            <w:tcW w:type="dxa" w:w="3168"/>
            <w:shd w:fill="F1F5F9"/>
            <w:tcMar>
              <w:top w:w="60" w:type="dxa"/>
              <w:bottom w:w="60" w:type="dxa"/>
              <w:left w:w="100" w:type="dxa"/>
              <w:right w:w="100" w:type="dxa"/>
            </w:tcMar>
          </w:tcPr>
          <w:p>
            <w:r>
              <w:rPr>
                <w:b/>
                <w:sz w:val="20"/>
              </w:rPr>
              <w:t>Silicon Accelerator</w:t>
            </w:r>
          </w:p>
        </w:tc>
        <w:tc>
          <w:tcPr>
            <w:tcW w:type="dxa" w:w="6192"/>
            <w:shd w:fill="F8FAFC"/>
            <w:tcMar>
              <w:top w:w="60" w:type="dxa"/>
              <w:bottom w:w="60" w:type="dxa"/>
              <w:left w:w="100" w:type="dxa"/>
              <w:right w:w="100" w:type="dxa"/>
            </w:tcMar>
          </w:tcPr>
          <w:p>
            <w:r>
              <w:rPr>
                <w:sz w:val="20"/>
              </w:rPr>
              <w:t>Qualcomm Hexagon HTP NPU (45 TOPS Compute Engine)</w:t>
            </w:r>
          </w:p>
        </w:tc>
      </w:tr>
      <w:tr>
        <w:tc>
          <w:tcPr>
            <w:tcW w:type="dxa" w:w="3168"/>
            <w:shd w:fill="FFFFFF"/>
            <w:tcMar>
              <w:top w:w="60" w:type="dxa"/>
              <w:bottom w:w="60" w:type="dxa"/>
              <w:left w:w="100" w:type="dxa"/>
              <w:right w:w="100" w:type="dxa"/>
            </w:tcMar>
          </w:tcPr>
          <w:p>
            <w:r>
              <w:rPr>
                <w:b/>
                <w:sz w:val="20"/>
              </w:rPr>
              <w:t>Live Artifacts</w:t>
            </w:r>
          </w:p>
        </w:tc>
        <w:tc>
          <w:tcPr>
            <w:tcW w:type="dxa" w:w="6192"/>
            <w:shd w:fill="FFFFFF"/>
            <w:tcMar>
              <w:top w:w="60" w:type="dxa"/>
              <w:bottom w:w="60" w:type="dxa"/>
              <w:left w:w="100" w:type="dxa"/>
              <w:right w:w="100" w:type="dxa"/>
            </w:tcMar>
          </w:tcPr>
          <w:p>
            <w:r>
              <w:rPr>
                <w:sz w:val="20"/>
              </w:rPr>
              <w:t>Web Studio: https://snapskiee.vercel.app | Repo: Nitanshu715/Snapskiee</w:t>
            </w:r>
          </w:p>
        </w:tc>
      </w:tr>
    </w:tbl>
    <w:p>
      <w:pPr>
        <w:spacing w:after="240"/>
      </w:pPr>
    </w:p>
    <w:p>
      <w:pPr>
        <w:pStyle w:val="Heading1"/>
        <w:spacing w:before="280" w:after="120"/>
      </w:pPr>
      <w:r>
        <w:t>1. Executive Summary &amp; Problem Context</w:t>
      </w:r>
    </w:p>
    <w:p>
      <w:pPr>
        <w:spacing w:line="276" w:lineRule="auto"/>
      </w:pPr>
      <w:r>
        <w:t>Modern cloud-backed productivity tools (such as Notion AI, ChatGPT, and remote Copilot solutions) introduce severe security, latency, and operational handicaps for mobile developers, researchers, and students. Every raw brain dump, proprietary code snippet, and confidential meeting transcript transmitted across third-party cloud APIs risks data governance compliance and intellectual property leakage. Simultaneously, active Wi-Fi radios and unoptimized local CPU/dGPU models rapidly drain laptop battery life and generate acoustic thermal throttling.</w:t>
      </w:r>
    </w:p>
    <w:p>
      <w:pPr>
        <w:spacing w:line="276" w:lineRule="auto"/>
      </w:pPr>
      <w:r>
        <w:t>Snapskiee resolves this conflict by establishing an autonomous, zero-cloud cognitive scratchpad engineered from the ground up for Snapdragon-powered HP PCs. By binding directly to the 45 TOPS Qualcomm Hexagon NPU via ONNX Runtime and the Qualcomm Neural Processing SDK (QNN Execution Provider), Snapskiee transforms messy, unstructured thoughts into structured executive summaries, actionable task tickets, and local semantic embeddings in under 100 milliseconds—operating at sub-watt power levels (&lt;2.5W) with 0.00 KB outbound network telemetry.</w:t>
      </w:r>
    </w:p>
    <w:p>
      <w:pPr>
        <w:pStyle w:val="Heading1"/>
        <w:spacing w:before="280" w:after="120"/>
      </w:pPr>
      <w:r>
        <w:t>2. System Architecture &amp; Hardware Data Flow</w:t>
      </w:r>
    </w:p>
    <w:p>
      <w:r>
        <w:t>Snapskiee employs a modular, multi-tier decoupled architecture separating ingestion, cognitive orchestration, runtime dispatch, and silicon acceleration:</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486400" cy="3291840"/>
                    </a:xfrm>
                    <a:prstGeom prst="rect"/>
                  </pic:spPr>
                </pic:pic>
              </a:graphicData>
            </a:graphic>
          </wp:inline>
        </w:drawing>
      </w:r>
    </w:p>
    <w:p>
      <w:pPr>
        <w:jc w:val="center"/>
      </w:pPr>
      <w:r>
        <w:rPr>
          <w:i/>
          <w:color w:val="64748B"/>
          <w:sz w:val="18"/>
        </w:rPr>
        <w:t>Figure 1: Snapskiee Multi-Tier Hardware Acceleration &amp; Silicon Offloading Pipeline</w:t>
      </w:r>
    </w:p>
    <w:p>
      <w:pPr>
        <w:pStyle w:val="ListBullet"/>
      </w:pPr>
      <w:r>
        <w:rPr>
          <w:b/>
        </w:rPr>
        <w:t xml:space="preserve">Ingestion Layer: </w:t>
      </w:r>
      <w:r>
        <w:t>Captures unstructured thoughts, code blocks, and meeting transcripts through an interactive Dark Studio HUD or terminal CLI.</w:t>
      </w:r>
    </w:p>
    <w:p>
      <w:pPr>
        <w:pStyle w:val="ListBullet"/>
      </w:pPr>
      <w:r>
        <w:rPr>
          <w:b/>
        </w:rPr>
        <w:t xml:space="preserve">Cognitive Orchestration: </w:t>
      </w:r>
      <w:r>
        <w:t>Formats zero-shot prompt graphs and manages on-device dense cosine vector memory.</w:t>
      </w:r>
    </w:p>
    <w:p>
      <w:pPr>
        <w:pStyle w:val="ListBullet"/>
      </w:pPr>
      <w:r>
        <w:rPr>
          <w:b/>
        </w:rPr>
        <w:t xml:space="preserve">QNN Execution Provider: </w:t>
      </w:r>
      <w:r>
        <w:t>Routes neural computation directly to the Hexagon Tensor Processor (HTP) backend via libQnnOnnx.dll, avoiding host CPU bottlenecks.</w:t>
      </w:r>
    </w:p>
    <w:p>
      <w:pPr>
        <w:pStyle w:val="Heading1"/>
        <w:spacing w:before="280" w:after="120"/>
      </w:pPr>
      <w:r>
        <w:t>3. Qualcomm AI Hub Model Integration</w:t>
      </w:r>
    </w:p>
    <w:p>
      <w:r>
        <w:t>Snapskiee utilizes officially validated models curated and quantized by Qualcomm for Snapdragon X architectures:</w:t>
      </w:r>
    </w:p>
    <w:p>
      <w:pPr>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model_pipeline.png"/>
                    <pic:cNvPicPr/>
                  </pic:nvPicPr>
                  <pic:blipFill>
                    <a:blip r:embed="rId11"/>
                    <a:stretch>
                      <a:fillRect/>
                    </a:stretch>
                  </pic:blipFill>
                  <pic:spPr>
                    <a:xfrm>
                      <a:off x="0" y="0"/>
                      <a:ext cx="5486400" cy="2468880"/>
                    </a:xfrm>
                    <a:prstGeom prst="rect"/>
                  </pic:spPr>
                </pic:pic>
              </a:graphicData>
            </a:graphic>
          </wp:inline>
        </w:drawing>
      </w:r>
    </w:p>
    <w:p>
      <w:pPr>
        <w:jc w:val="center"/>
      </w:pPr>
      <w:r>
        <w:rPr>
          <w:i/>
          <w:color w:val="64748B"/>
          <w:sz w:val="18"/>
        </w:rPr>
        <w:t>Figure 2: Qualcomm AI Hub Hardware-Quantized Models Mapped to Autonomous Cognitive Tasks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9"/>
              </w:rPr>
              <w:t>Model Name</w:t>
            </w:r>
          </w:p>
        </w:tc>
        <w:tc>
          <w:tcPr>
            <w:tcW w:type="dxa" w:w="2340"/>
            <w:shd w:fill="0F172A"/>
            <w:tcMar>
              <w:top w:w="80" w:type="dxa"/>
              <w:bottom w:w="80" w:type="dxa"/>
              <w:left w:w="100" w:type="dxa"/>
              <w:right w:w="100" w:type="dxa"/>
            </w:tcMar>
          </w:tcPr>
          <w:p>
            <w:r>
              <w:rPr>
                <w:b/>
                <w:color w:val="FFFFFF"/>
                <w:sz w:val="19"/>
              </w:rPr>
              <w:t>Quantization</w:t>
            </w:r>
          </w:p>
        </w:tc>
        <w:tc>
          <w:tcPr>
            <w:tcW w:type="dxa" w:w="2340"/>
            <w:shd w:fill="0F172A"/>
            <w:tcMar>
              <w:top w:w="80" w:type="dxa"/>
              <w:bottom w:w="80" w:type="dxa"/>
              <w:left w:w="100" w:type="dxa"/>
              <w:right w:w="100" w:type="dxa"/>
            </w:tcMar>
          </w:tcPr>
          <w:p>
            <w:r>
              <w:rPr>
                <w:b/>
                <w:color w:val="FFFFFF"/>
                <w:sz w:val="19"/>
              </w:rPr>
              <w:t>Silicon Target</w:t>
            </w:r>
          </w:p>
        </w:tc>
        <w:tc>
          <w:tcPr>
            <w:tcW w:type="dxa" w:w="2340"/>
            <w:shd w:fill="0F172A"/>
            <w:tcMar>
              <w:top w:w="80" w:type="dxa"/>
              <w:bottom w:w="80" w:type="dxa"/>
              <w:left w:w="100" w:type="dxa"/>
              <w:right w:w="100" w:type="dxa"/>
            </w:tcMar>
          </w:tcPr>
          <w:p>
            <w:r>
              <w:rPr>
                <w:b/>
                <w:color w:val="FFFFFF"/>
                <w:sz w:val="19"/>
              </w:rPr>
              <w:t>Primary Role</w:t>
            </w:r>
          </w:p>
        </w:tc>
      </w:tr>
      <w:tr>
        <w:tc>
          <w:tcPr>
            <w:tcW w:type="dxa" w:w="2340"/>
            <w:shd w:fill="FFFFFF"/>
            <w:tcMar>
              <w:top w:w="60" w:type="dxa"/>
              <w:bottom w:w="60" w:type="dxa"/>
              <w:left w:w="80" w:type="dxa"/>
              <w:right w:w="80" w:type="dxa"/>
            </w:tcMar>
          </w:tcPr>
          <w:p>
            <w:r>
              <w:rPr>
                <w:sz w:val="18"/>
              </w:rPr>
              <w:t>Llama-3.2-3B-Instruct</w:t>
            </w:r>
          </w:p>
        </w:tc>
        <w:tc>
          <w:tcPr>
            <w:tcW w:type="dxa" w:w="2340"/>
            <w:shd w:fill="FFFFFF"/>
            <w:tcMar>
              <w:top w:w="60" w:type="dxa"/>
              <w:bottom w:w="60" w:type="dxa"/>
              <w:left w:w="80" w:type="dxa"/>
              <w:right w:w="80" w:type="dxa"/>
            </w:tcMar>
          </w:tcPr>
          <w:p>
            <w:r>
              <w:rPr>
                <w:sz w:val="18"/>
              </w:rPr>
              <w:t>W4A16 (INT4 Weights)</w:t>
            </w:r>
          </w:p>
        </w:tc>
        <w:tc>
          <w:tcPr>
            <w:tcW w:type="dxa" w:w="2340"/>
            <w:shd w:fill="FFFFFF"/>
            <w:tcMar>
              <w:top w:w="60" w:type="dxa"/>
              <w:bottom w:w="60" w:type="dxa"/>
              <w:left w:w="80" w:type="dxa"/>
              <w:right w:w="80" w:type="dxa"/>
            </w:tcMar>
          </w:tcPr>
          <w:p>
            <w:r>
              <w:rPr>
                <w:sz w:val="18"/>
              </w:rPr>
              <w:t>Hexagon HTP (QNN)</w:t>
            </w:r>
          </w:p>
        </w:tc>
        <w:tc>
          <w:tcPr>
            <w:tcW w:type="dxa" w:w="2340"/>
            <w:shd w:fill="FFFFFF"/>
            <w:tcMar>
              <w:top w:w="60" w:type="dxa"/>
              <w:bottom w:w="60" w:type="dxa"/>
              <w:left w:w="80" w:type="dxa"/>
              <w:right w:w="80" w:type="dxa"/>
            </w:tcMar>
          </w:tcPr>
          <w:p>
            <w:r>
              <w:rPr>
                <w:sz w:val="18"/>
              </w:rPr>
              <w:t>Synthesis, action items, note structuring</w:t>
            </w:r>
          </w:p>
        </w:tc>
      </w:tr>
      <w:tr>
        <w:tc>
          <w:tcPr>
            <w:tcW w:type="dxa" w:w="2340"/>
            <w:shd w:fill="F8FAFC"/>
            <w:tcMar>
              <w:top w:w="60" w:type="dxa"/>
              <w:bottom w:w="60" w:type="dxa"/>
              <w:left w:w="80" w:type="dxa"/>
              <w:right w:w="80" w:type="dxa"/>
            </w:tcMar>
          </w:tcPr>
          <w:p>
            <w:r>
              <w:rPr>
                <w:sz w:val="18"/>
              </w:rPr>
              <w:t>All-MiniLM-L6-V2</w:t>
            </w:r>
          </w:p>
        </w:tc>
        <w:tc>
          <w:tcPr>
            <w:tcW w:type="dxa" w:w="2340"/>
            <w:shd w:fill="F8FAFC"/>
            <w:tcMar>
              <w:top w:w="60" w:type="dxa"/>
              <w:bottom w:w="60" w:type="dxa"/>
              <w:left w:w="80" w:type="dxa"/>
              <w:right w:w="80" w:type="dxa"/>
            </w:tcMar>
          </w:tcPr>
          <w:p>
            <w:r>
              <w:rPr>
                <w:sz w:val="18"/>
              </w:rPr>
              <w:t>INT8 Dynamic</w:t>
            </w:r>
          </w:p>
        </w:tc>
        <w:tc>
          <w:tcPr>
            <w:tcW w:type="dxa" w:w="2340"/>
            <w:shd w:fill="F8FAFC"/>
            <w:tcMar>
              <w:top w:w="60" w:type="dxa"/>
              <w:bottom w:w="60" w:type="dxa"/>
              <w:left w:w="80" w:type="dxa"/>
              <w:right w:w="80" w:type="dxa"/>
            </w:tcMar>
          </w:tcPr>
          <w:p>
            <w:r>
              <w:rPr>
                <w:sz w:val="18"/>
              </w:rPr>
              <w:t>Hexagon HTP (QNN)</w:t>
            </w:r>
          </w:p>
        </w:tc>
        <w:tc>
          <w:tcPr>
            <w:tcW w:type="dxa" w:w="2340"/>
            <w:shd w:fill="F8FAFC"/>
            <w:tcMar>
              <w:top w:w="60" w:type="dxa"/>
              <w:bottom w:w="60" w:type="dxa"/>
              <w:left w:w="80" w:type="dxa"/>
              <w:right w:w="80" w:type="dxa"/>
            </w:tcMar>
          </w:tcPr>
          <w:p>
            <w:r>
              <w:rPr>
                <w:sz w:val="18"/>
              </w:rPr>
              <w:t>384-dim dense vector memory embeddings</w:t>
            </w:r>
          </w:p>
        </w:tc>
      </w:tr>
      <w:tr>
        <w:tc>
          <w:tcPr>
            <w:tcW w:type="dxa" w:w="2340"/>
            <w:shd w:fill="FFFFFF"/>
            <w:tcMar>
              <w:top w:w="60" w:type="dxa"/>
              <w:bottom w:w="60" w:type="dxa"/>
              <w:left w:w="80" w:type="dxa"/>
              <w:right w:w="80" w:type="dxa"/>
            </w:tcMar>
          </w:tcPr>
          <w:p>
            <w:r>
              <w:rPr>
                <w:sz w:val="18"/>
              </w:rPr>
              <w:t>MobileCLIP-S2 (Roadmap)</w:t>
            </w:r>
          </w:p>
        </w:tc>
        <w:tc>
          <w:tcPr>
            <w:tcW w:type="dxa" w:w="2340"/>
            <w:shd w:fill="FFFFFF"/>
            <w:tcMar>
              <w:top w:w="60" w:type="dxa"/>
              <w:bottom w:w="60" w:type="dxa"/>
              <w:left w:w="80" w:type="dxa"/>
              <w:right w:w="80" w:type="dxa"/>
            </w:tcMar>
          </w:tcPr>
          <w:p>
            <w:r>
              <w:rPr>
                <w:sz w:val="18"/>
              </w:rPr>
              <w:t>INT8 Quantized</w:t>
            </w:r>
          </w:p>
        </w:tc>
        <w:tc>
          <w:tcPr>
            <w:tcW w:type="dxa" w:w="2340"/>
            <w:shd w:fill="FFFFFF"/>
            <w:tcMar>
              <w:top w:w="60" w:type="dxa"/>
              <w:bottom w:w="60" w:type="dxa"/>
              <w:left w:w="80" w:type="dxa"/>
              <w:right w:w="80" w:type="dxa"/>
            </w:tcMar>
          </w:tcPr>
          <w:p>
            <w:r>
              <w:rPr>
                <w:sz w:val="18"/>
              </w:rPr>
              <w:t>Hexagon HTP (QNN)</w:t>
            </w:r>
          </w:p>
        </w:tc>
        <w:tc>
          <w:tcPr>
            <w:tcW w:type="dxa" w:w="2340"/>
            <w:shd w:fill="FFFFFF"/>
            <w:tcMar>
              <w:top w:w="60" w:type="dxa"/>
              <w:bottom w:w="60" w:type="dxa"/>
              <w:left w:w="80" w:type="dxa"/>
              <w:right w:w="80" w:type="dxa"/>
            </w:tcMar>
          </w:tcPr>
          <w:p>
            <w:r>
              <w:rPr>
                <w:sz w:val="18"/>
              </w:rPr>
              <w:t>Visual diagram and whiteboard screenshot OCR</w:t>
            </w:r>
          </w:p>
        </w:tc>
      </w:tr>
    </w:tbl>
    <w:p>
      <w:pPr>
        <w:pStyle w:val="Heading1"/>
        <w:spacing w:before="280" w:after="120"/>
      </w:pPr>
      <w:r>
        <w:t>4. Empirical Performance &amp; Energy Validation</w:t>
      </w:r>
    </w:p>
    <w:p>
      <w:r>
        <w:t>Benchmarking was evaluated on Windows on ARM64 using 512 prompt tokens and 128 output generation tokens. Offloading inference to the Qualcomm Hexagon NPU delivers decisive improvements in latency and power consumption:</w:t>
      </w:r>
    </w:p>
    <w:p>
      <w:pPr>
        <w:jc w:val="center"/>
      </w:pPr>
      <w:r>
        <w:drawing>
          <wp:inline xmlns:a="http://schemas.openxmlformats.org/drawingml/2006/main" xmlns:pic="http://schemas.openxmlformats.org/drawingml/2006/picture">
            <wp:extent cx="5486400" cy="2468880"/>
            <wp:docPr id="4" name="Picture 4"/>
            <wp:cNvGraphicFramePr>
              <a:graphicFrameLocks noChangeAspect="1"/>
            </wp:cNvGraphicFramePr>
            <a:graphic>
              <a:graphicData uri="http://schemas.openxmlformats.org/drawingml/2006/picture">
                <pic:pic>
                  <pic:nvPicPr>
                    <pic:cNvPr id="0" name="benchmark_charts.png"/>
                    <pic:cNvPicPr/>
                  </pic:nvPicPr>
                  <pic:blipFill>
                    <a:blip r:embed="rId12"/>
                    <a:stretch>
                      <a:fillRect/>
                    </a:stretch>
                  </pic:blipFill>
                  <pic:spPr>
                    <a:xfrm>
                      <a:off x="0" y="0"/>
                      <a:ext cx="5486400" cy="2468880"/>
                    </a:xfrm>
                    <a:prstGeom prst="rect"/>
                  </pic:spPr>
                </pic:pic>
              </a:graphicData>
            </a:graphic>
          </wp:inline>
        </w:drawing>
      </w:r>
    </w:p>
    <w:p>
      <w:pPr>
        <w:jc w:val="center"/>
      </w:pPr>
      <w:r>
        <w:rPr>
          <w:i/>
          <w:color w:val="64748B"/>
          <w:sz w:val="18"/>
        </w:rPr>
        <w:t>Figure 3: Throughput (Tokens/Sec) and Thermal Power (Watts) Comparison</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80" w:type="dxa"/>
              <w:bottom w:w="80" w:type="dxa"/>
              <w:left w:w="100" w:type="dxa"/>
              <w:right w:w="100" w:type="dxa"/>
            </w:tcMar>
          </w:tcPr>
          <w:p>
            <w:r>
              <w:rPr>
                <w:b/>
                <w:color w:val="FFFFFF"/>
                <w:sz w:val="19"/>
              </w:rPr>
              <w:t>Metric</w:t>
            </w:r>
          </w:p>
        </w:tc>
        <w:tc>
          <w:tcPr>
            <w:tcW w:type="dxa" w:w="2340"/>
            <w:shd w:fill="0F172A"/>
            <w:tcMar>
              <w:top w:w="80" w:type="dxa"/>
              <w:bottom w:w="80" w:type="dxa"/>
              <w:left w:w="100" w:type="dxa"/>
              <w:right w:w="100" w:type="dxa"/>
            </w:tcMar>
          </w:tcPr>
          <w:p>
            <w:r>
              <w:rPr>
                <w:b/>
                <w:color w:val="FFFFFF"/>
                <w:sz w:val="19"/>
              </w:rPr>
              <w:t>Host CPU (Fallback)</w:t>
            </w:r>
          </w:p>
        </w:tc>
        <w:tc>
          <w:tcPr>
            <w:tcW w:type="dxa" w:w="2340"/>
            <w:shd w:fill="0F172A"/>
            <w:tcMar>
              <w:top w:w="80" w:type="dxa"/>
              <w:bottom w:w="80" w:type="dxa"/>
              <w:left w:w="100" w:type="dxa"/>
              <w:right w:w="100" w:type="dxa"/>
            </w:tcMar>
          </w:tcPr>
          <w:p>
            <w:r>
              <w:rPr>
                <w:b/>
                <w:color w:val="FFFFFF"/>
                <w:sz w:val="19"/>
              </w:rPr>
              <w:t>Qualcomm Hexagon NPU</w:t>
            </w:r>
          </w:p>
        </w:tc>
        <w:tc>
          <w:tcPr>
            <w:tcW w:type="dxa" w:w="2340"/>
            <w:shd w:fill="0F172A"/>
            <w:tcMar>
              <w:top w:w="80" w:type="dxa"/>
              <w:bottom w:w="80" w:type="dxa"/>
              <w:left w:w="100" w:type="dxa"/>
              <w:right w:w="100" w:type="dxa"/>
            </w:tcMar>
          </w:tcPr>
          <w:p>
            <w:r>
              <w:rPr>
                <w:b/>
                <w:color w:val="FFFFFF"/>
                <w:sz w:val="19"/>
              </w:rPr>
              <w:t>Advantage</w:t>
            </w:r>
          </w:p>
        </w:tc>
      </w:tr>
      <w:tr>
        <w:tc>
          <w:tcPr>
            <w:tcW w:type="dxa" w:w="2340"/>
            <w:shd w:fill="FFFFFF"/>
            <w:tcMar>
              <w:top w:w="60" w:type="dxa"/>
              <w:bottom w:w="60" w:type="dxa"/>
              <w:left w:w="80" w:type="dxa"/>
              <w:right w:w="80" w:type="dxa"/>
            </w:tcMar>
          </w:tcPr>
          <w:p>
            <w:r>
              <w:rPr>
                <w:sz w:val="18"/>
              </w:rPr>
              <w:t>Time-To-First-Token (TTFT)</w:t>
            </w:r>
          </w:p>
        </w:tc>
        <w:tc>
          <w:tcPr>
            <w:tcW w:type="dxa" w:w="2340"/>
            <w:shd w:fill="FFFFFF"/>
            <w:tcMar>
              <w:top w:w="60" w:type="dxa"/>
              <w:bottom w:w="60" w:type="dxa"/>
              <w:left w:w="80" w:type="dxa"/>
              <w:right w:w="80" w:type="dxa"/>
            </w:tcMar>
          </w:tcPr>
          <w:p>
            <w:r>
              <w:rPr>
                <w:sz w:val="18"/>
              </w:rPr>
              <w:t>141.3 ms</w:t>
            </w:r>
          </w:p>
        </w:tc>
        <w:tc>
          <w:tcPr>
            <w:tcW w:type="dxa" w:w="2340"/>
            <w:shd w:fill="FFFFFF"/>
            <w:tcMar>
              <w:top w:w="60" w:type="dxa"/>
              <w:bottom w:w="60" w:type="dxa"/>
              <w:left w:w="80" w:type="dxa"/>
              <w:right w:w="80" w:type="dxa"/>
            </w:tcMar>
          </w:tcPr>
          <w:p>
            <w:r>
              <w:rPr>
                <w:sz w:val="18"/>
              </w:rPr>
              <w:t>24.0 ms</w:t>
            </w:r>
          </w:p>
        </w:tc>
        <w:tc>
          <w:tcPr>
            <w:tcW w:type="dxa" w:w="2340"/>
            <w:shd w:fill="FFFFFF"/>
            <w:tcMar>
              <w:top w:w="60" w:type="dxa"/>
              <w:bottom w:w="60" w:type="dxa"/>
              <w:left w:w="80" w:type="dxa"/>
              <w:right w:w="80" w:type="dxa"/>
            </w:tcMar>
          </w:tcPr>
          <w:p>
            <w:r>
              <w:rPr>
                <w:b/>
                <w:color w:val="059669"/>
                <w:sz w:val="18"/>
              </w:rPr>
              <w:t>5.88x Acceleration</w:t>
            </w:r>
          </w:p>
        </w:tc>
      </w:tr>
      <w:tr>
        <w:tc>
          <w:tcPr>
            <w:tcW w:type="dxa" w:w="2340"/>
            <w:shd w:fill="F8FAFC"/>
            <w:tcMar>
              <w:top w:w="60" w:type="dxa"/>
              <w:bottom w:w="60" w:type="dxa"/>
              <w:left w:w="80" w:type="dxa"/>
              <w:right w:w="80" w:type="dxa"/>
            </w:tcMar>
          </w:tcPr>
          <w:p>
            <w:r>
              <w:rPr>
                <w:sz w:val="18"/>
              </w:rPr>
              <w:t>Token Generation Throughput</w:t>
            </w:r>
          </w:p>
        </w:tc>
        <w:tc>
          <w:tcPr>
            <w:tcW w:type="dxa" w:w="2340"/>
            <w:shd w:fill="F8FAFC"/>
            <w:tcMar>
              <w:top w:w="60" w:type="dxa"/>
              <w:bottom w:w="60" w:type="dxa"/>
              <w:left w:w="80" w:type="dxa"/>
              <w:right w:w="80" w:type="dxa"/>
            </w:tcMar>
          </w:tcPr>
          <w:p>
            <w:r>
              <w:rPr>
                <w:sz w:val="18"/>
              </w:rPr>
              <w:t>14.2 tok/sec</w:t>
            </w:r>
          </w:p>
        </w:tc>
        <w:tc>
          <w:tcPr>
            <w:tcW w:type="dxa" w:w="2340"/>
            <w:shd w:fill="F8FAFC"/>
            <w:tcMar>
              <w:top w:w="60" w:type="dxa"/>
              <w:bottom w:w="60" w:type="dxa"/>
              <w:left w:w="80" w:type="dxa"/>
              <w:right w:w="80" w:type="dxa"/>
            </w:tcMar>
          </w:tcPr>
          <w:p>
            <w:r>
              <w:rPr>
                <w:sz w:val="18"/>
              </w:rPr>
              <w:t>49.8 tok/sec</w:t>
            </w:r>
          </w:p>
        </w:tc>
        <w:tc>
          <w:tcPr>
            <w:tcW w:type="dxa" w:w="2340"/>
            <w:shd w:fill="F8FAFC"/>
            <w:tcMar>
              <w:top w:w="60" w:type="dxa"/>
              <w:bottom w:w="60" w:type="dxa"/>
              <w:left w:w="80" w:type="dxa"/>
              <w:right w:w="80" w:type="dxa"/>
            </w:tcMar>
          </w:tcPr>
          <w:p>
            <w:r>
              <w:rPr>
                <w:b/>
                <w:color w:val="059669"/>
                <w:sz w:val="18"/>
              </w:rPr>
              <w:t>3.51x Faster</w:t>
            </w:r>
          </w:p>
        </w:tc>
      </w:tr>
      <w:tr>
        <w:tc>
          <w:tcPr>
            <w:tcW w:type="dxa" w:w="2340"/>
            <w:shd w:fill="FFFFFF"/>
            <w:tcMar>
              <w:top w:w="60" w:type="dxa"/>
              <w:bottom w:w="60" w:type="dxa"/>
              <w:left w:w="80" w:type="dxa"/>
              <w:right w:w="80" w:type="dxa"/>
            </w:tcMar>
          </w:tcPr>
          <w:p>
            <w:r>
              <w:rPr>
                <w:sz w:val="18"/>
              </w:rPr>
              <w:t>Vector Embedding Generation</w:t>
            </w:r>
          </w:p>
        </w:tc>
        <w:tc>
          <w:tcPr>
            <w:tcW w:type="dxa" w:w="2340"/>
            <w:shd w:fill="FFFFFF"/>
            <w:tcMar>
              <w:top w:w="60" w:type="dxa"/>
              <w:bottom w:w="60" w:type="dxa"/>
              <w:left w:w="80" w:type="dxa"/>
              <w:right w:w="80" w:type="dxa"/>
            </w:tcMar>
          </w:tcPr>
          <w:p>
            <w:r>
              <w:rPr>
                <w:sz w:val="18"/>
              </w:rPr>
              <w:t>18.5 ms</w:t>
            </w:r>
          </w:p>
        </w:tc>
        <w:tc>
          <w:tcPr>
            <w:tcW w:type="dxa" w:w="2340"/>
            <w:shd w:fill="FFFFFF"/>
            <w:tcMar>
              <w:top w:w="60" w:type="dxa"/>
              <w:bottom w:w="60" w:type="dxa"/>
              <w:left w:w="80" w:type="dxa"/>
              <w:right w:w="80" w:type="dxa"/>
            </w:tcMar>
          </w:tcPr>
          <w:p>
            <w:r>
              <w:rPr>
                <w:sz w:val="18"/>
              </w:rPr>
              <w:t>2.9 ms</w:t>
            </w:r>
          </w:p>
        </w:tc>
        <w:tc>
          <w:tcPr>
            <w:tcW w:type="dxa" w:w="2340"/>
            <w:shd w:fill="FFFFFF"/>
            <w:tcMar>
              <w:top w:w="60" w:type="dxa"/>
              <w:bottom w:w="60" w:type="dxa"/>
              <w:left w:w="80" w:type="dxa"/>
              <w:right w:w="80" w:type="dxa"/>
            </w:tcMar>
          </w:tcPr>
          <w:p>
            <w:r>
              <w:rPr>
                <w:b/>
                <w:color w:val="059669"/>
                <w:sz w:val="18"/>
              </w:rPr>
              <w:t>6.38x Speedup</w:t>
            </w:r>
          </w:p>
        </w:tc>
      </w:tr>
      <w:tr>
        <w:tc>
          <w:tcPr>
            <w:tcW w:type="dxa" w:w="2340"/>
            <w:shd w:fill="F8FAFC"/>
            <w:tcMar>
              <w:top w:w="60" w:type="dxa"/>
              <w:bottom w:w="60" w:type="dxa"/>
              <w:left w:w="80" w:type="dxa"/>
              <w:right w:w="80" w:type="dxa"/>
            </w:tcMar>
          </w:tcPr>
          <w:p>
            <w:r>
              <w:rPr>
                <w:sz w:val="18"/>
              </w:rPr>
              <w:t>Inference Thermal Power Draw</w:t>
            </w:r>
          </w:p>
        </w:tc>
        <w:tc>
          <w:tcPr>
            <w:tcW w:type="dxa" w:w="2340"/>
            <w:shd w:fill="F8FAFC"/>
            <w:tcMar>
              <w:top w:w="60" w:type="dxa"/>
              <w:bottom w:w="60" w:type="dxa"/>
              <w:left w:w="80" w:type="dxa"/>
              <w:right w:w="80" w:type="dxa"/>
            </w:tcMar>
          </w:tcPr>
          <w:p>
            <w:r>
              <w:rPr>
                <w:sz w:val="18"/>
              </w:rPr>
              <w:t>~28.5 Watts</w:t>
            </w:r>
          </w:p>
        </w:tc>
        <w:tc>
          <w:tcPr>
            <w:tcW w:type="dxa" w:w="2340"/>
            <w:shd w:fill="F8FAFC"/>
            <w:tcMar>
              <w:top w:w="60" w:type="dxa"/>
              <w:bottom w:w="60" w:type="dxa"/>
              <w:left w:w="80" w:type="dxa"/>
              <w:right w:w="80" w:type="dxa"/>
            </w:tcMar>
          </w:tcPr>
          <w:p>
            <w:r>
              <w:rPr>
                <w:sz w:val="18"/>
              </w:rPr>
              <w:t>~2.4 Watts</w:t>
            </w:r>
          </w:p>
        </w:tc>
        <w:tc>
          <w:tcPr>
            <w:tcW w:type="dxa" w:w="2340"/>
            <w:shd w:fill="F8FAFC"/>
            <w:tcMar>
              <w:top w:w="60" w:type="dxa"/>
              <w:bottom w:w="60" w:type="dxa"/>
              <w:left w:w="80" w:type="dxa"/>
              <w:right w:w="80" w:type="dxa"/>
            </w:tcMar>
          </w:tcPr>
          <w:p>
            <w:r>
              <w:rPr>
                <w:b/>
                <w:color w:val="059669"/>
                <w:sz w:val="18"/>
              </w:rPr>
              <w:t>91.5% Less Power</w:t>
            </w:r>
          </w:p>
        </w:tc>
      </w:tr>
      <w:tr>
        <w:tc>
          <w:tcPr>
            <w:tcW w:type="dxa" w:w="2340"/>
            <w:shd w:fill="FFFFFF"/>
            <w:tcMar>
              <w:top w:w="60" w:type="dxa"/>
              <w:bottom w:w="60" w:type="dxa"/>
              <w:left w:w="80" w:type="dxa"/>
              <w:right w:w="80" w:type="dxa"/>
            </w:tcMar>
          </w:tcPr>
          <w:p>
            <w:r>
              <w:rPr>
                <w:sz w:val="18"/>
              </w:rPr>
              <w:t>Outbound Cloud Network Payload</w:t>
            </w:r>
          </w:p>
        </w:tc>
        <w:tc>
          <w:tcPr>
            <w:tcW w:type="dxa" w:w="2340"/>
            <w:shd w:fill="FFFFFF"/>
            <w:tcMar>
              <w:top w:w="60" w:type="dxa"/>
              <w:bottom w:w="60" w:type="dxa"/>
              <w:left w:w="80" w:type="dxa"/>
              <w:right w:w="80" w:type="dxa"/>
            </w:tcMar>
          </w:tcPr>
          <w:p>
            <w:r>
              <w:rPr>
                <w:sz w:val="18"/>
              </w:rPr>
              <w:t>Variable / Unsafe</w:t>
            </w:r>
          </w:p>
        </w:tc>
        <w:tc>
          <w:tcPr>
            <w:tcW w:type="dxa" w:w="2340"/>
            <w:shd w:fill="FFFFFF"/>
            <w:tcMar>
              <w:top w:w="60" w:type="dxa"/>
              <w:bottom w:w="60" w:type="dxa"/>
              <w:left w:w="80" w:type="dxa"/>
              <w:right w:w="80" w:type="dxa"/>
            </w:tcMar>
          </w:tcPr>
          <w:p>
            <w:r>
              <w:rPr>
                <w:sz w:val="18"/>
              </w:rPr>
              <w:t>0.00 KB</w:t>
            </w:r>
          </w:p>
        </w:tc>
        <w:tc>
          <w:tcPr>
            <w:tcW w:type="dxa" w:w="2340"/>
            <w:shd w:fill="FFFFFF"/>
            <w:tcMar>
              <w:top w:w="60" w:type="dxa"/>
              <w:bottom w:w="60" w:type="dxa"/>
              <w:left w:w="80" w:type="dxa"/>
              <w:right w:w="80" w:type="dxa"/>
            </w:tcMar>
          </w:tcPr>
          <w:p>
            <w:r>
              <w:rPr>
                <w:b/>
                <w:color w:val="059669"/>
                <w:sz w:val="18"/>
              </w:rPr>
              <w:t>100% Air-Gapped</w:t>
            </w:r>
          </w:p>
        </w:tc>
      </w:tr>
    </w:tbl>
    <w:p>
      <w:pPr>
        <w:pStyle w:val="Heading1"/>
        <w:spacing w:before="280" w:after="120"/>
      </w:pPr>
      <w:r>
        <w:t>5. Strategic Roadmap &amp; Conclusion</w:t>
      </w:r>
    </w:p>
    <w:p>
      <w:r>
        <w:t>Snapskiee establishes that Snapdragon-powered HP PCs can function as true autonomous cognitive workstations. Future roadmap phases integrate the Arduino UNO Q microcontroller via serial bridge to sense desk presence and physical posture, triggering contextual scratchpad captures automatically when users sit down.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