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FinClear GmbH -- CreditGuard v2.1</w:t>
      </w:r>
    </w:p>
    <w:p>
      <w:r>
        <w:t xml:space="preserve">RISK MANAGEMENT SYSTEM FILE  |  Ref: RMF-CG-v2.1-2026</w:t>
      </w:r>
    </w:p>
    <w:p>
      <w:r>
        <w:t xml:space="preserve">Pursuant to EU AI Act Article 9 and Annex IV para 5</w:t>
      </w:r>
    </w:p>
    <w:p>
      <w:r>
        <w:t xml:space="preserve">Approved by: Dr. Katrin Schulz, CRMO  |  Date: 2026-01-15</w:t>
      </w:r>
    </w:p>
    <w:p/>
    <w:p>
      <w:r>
        <w:t xml:space="preserve">1. SCOPE</w:t>
      </w:r>
    </w:p>
    <w:p>
      <w:r>
        <w:t>CreditGuard v2.1 is a gradient-boosted tree model (scikit-learn GBT) deployed</w:t>
      </w:r>
    </w:p>
    <w:p>
      <w:r>
        <w:t xml:space="preserve">by Deutsche Partner Bank AG (Berlin) to score retail loan applicants.</w:t>
      </w:r>
    </w:p>
    <w:p>
      <w:r>
        <w:t xml:space="preserve">Risk tier: HIGH -- Annex III para 5(b) (access to credit services).</w:t>
      </w:r>
    </w:p>
    <w:p/>
    <w:p>
      <w:r>
        <w:t xml:space="preserve">2. IDENTIFIED RISKS  (Art. 9 para 2(a))</w:t>
      </w:r>
    </w:p>
    <w:p>
      <w:r>
        <w:t xml:space="preserve">R-001  Discriminatory credit denial for protected groups    HIGH</w:t>
      </w:r>
    </w:p>
    <w:p>
      <w:r>
        <w:t xml:space="preserve">R-002  Model decay / concept drift post-deployment         MEDIUM</w:t>
      </w:r>
    </w:p>
    <w:p>
      <w:r>
        <w:t xml:space="preserve">R-003  Adversarial feature manipulation by applicants       MEDIUM</w:t>
      </w:r>
    </w:p>
    <w:p>
      <w:r>
        <w:t xml:space="preserve">R-004  Data quality failures in upstream banking systems    MEDIUM</w:t>
      </w:r>
    </w:p>
    <w:p>
      <w:r>
        <w:t xml:space="preserve">R-005  Human oversight bypass under time pressure           HIGH</w:t>
      </w:r>
    </w:p>
    <w:p/>
    <w:p>
      <w:r>
        <w:t xml:space="preserve">3. MITIGATION MEASURES  (Art. 9 para 2(c))</w:t>
      </w:r>
    </w:p>
    <w:p>
      <w:r>
        <w:t xml:space="preserve">R-001: Monthly demographic parity monitoring; SHAP feature auditing;</w:t>
      </w:r>
    </w:p>
    <w:p>
      <w:r>
        <w:t xml:space="preserve">       equal-opportunity threshold calibration per gender and age cohort.</w:t>
      </w:r>
    </w:p>
    <w:p>
      <w:r>
        <w:t xml:space="preserve">R-002: PSI drift monitoring (alert threshold PSI &gt; 0.2); monthly review.</w:t>
      </w:r>
    </w:p>
    <w:p>
      <w:r>
        <w:t xml:space="preserve">R-003: L-infinity adversarial robustness test (eps=0.01) at each release.</w:t>
      </w:r>
    </w:p>
    <w:p>
      <w:r>
        <w:t xml:space="preserve">R-004: Quarterly data source audit; provenance tracking in MLflow.</w:t>
      </w:r>
    </w:p>
    <w:p>
      <w:r>
        <w:t xml:space="preserve">R-005: Two-person adverse-decision review; UI hard-stop at confidence &lt; 0.55.</w:t>
      </w:r>
    </w:p>
    <w:p/>
    <w:p>
      <w:r>
        <w:t xml:space="preserve">4. TESTING BEFORE MARKET PLACEMENT  (Art. 9 para 5)</w:t>
      </w:r>
    </w:p>
    <w:p>
      <w:r>
        <w:t xml:space="preserve">[x] 5-fold stratified CV (AUC &gt;= 0.80)</w:t>
      </w:r>
    </w:p>
    <w:p>
      <w:r>
        <w:t xml:space="preserve">[x] Calibration via isotonic regression</w:t>
      </w:r>
    </w:p>
    <w:p>
      <w:r>
        <w:t xml:space="preserve">[x] Demographic parity delta -- gender (|delta| &lt;= 0.05)</w:t>
      </w:r>
    </w:p>
    <w:p>
      <w:r>
        <w:t xml:space="preserve">[x] Age-group parity (|delta| &lt;= 0.08)</w:t>
      </w:r>
    </w:p>
    <w:p>
      <w:r>
        <w:t xml:space="preserve">[x] Adversarial robustness probe (L-inf eps=0.01)</w:t>
      </w:r>
    </w:p>
    <w:p>
      <w:r>
        <w:t xml:space="preserve">[x] PSI baseline established</w:t>
      </w:r>
    </w:p>
    <w:p/>
    <w:p>
      <w:r>
        <w:t xml:space="preserve">5. HARMONISED STANDARDS</w:t>
      </w:r>
    </w:p>
    <w:p>
      <w:r>
        <w:t xml:space="preserve">ISO/IEC 42001:2023 | ISO/IEC 23894:2023 | ISO/IEC TR 24028:2020</w:t>
      </w:r>
    </w:p>
    <w:p>
      <w:r>
        <w:t xml:space="preserve">ISO/IEC 5259-1:2024 | EBA/GL/2019/04 ICT Risk Guidelines</w:t>
      </w:r>
    </w:p>
    <w:p/>
    <w:p>
      <w:r>
        <w:t xml:space="preserve">Residual risks accepted at Board level on 2026-01-15.</w:t>
      </w:r>
    </w:p>
    <w:sectPr/>
  </w:body>
</w:document>
</file>