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EU TRANSPARENCY DECLARATION (Art. 50)</w:t>
      </w:r>
    </w:p>
    <w:p>
      <w:r>
        <w:t xml:space="preserve">RetailIQ AG  |  Theaterstrasse 12, 8001 Zurich, Switzerland</w:t>
      </w:r>
    </w:p>
    <w:p>
      <w:r>
        <w:t xml:space="preserve">CHE-123.456.789 | EU Representative: RetailIQ EU SARL, Paris</w:t>
      </w:r>
    </w:p>
    <w:p/>
    <w:p>
      <w:r>
        <w:t xml:space="preserve">AI System: DemandPulse v3.0</w:t>
      </w:r>
    </w:p>
    <w:p>
      <w:r>
        <w:t xml:space="preserve">Purpose:   Demand forecasting for EU grocery and FMCG retailers</w:t>
      </w:r>
    </w:p>
    <w:p>
      <w:r>
        <w:t xml:space="preserve">Risk tier: LIMITED -- not Annex III listed</w:t>
      </w:r>
    </w:p>
    <w:p/>
    <w:p>
      <w:r>
        <w:t xml:space="preserve">This declaration confirms voluntary compliance with Art. 50 transparency</w:t>
      </w:r>
    </w:p>
    <w:p>
      <w:r>
        <w:t xml:space="preserve">obligations. DemandPulse v3.0 is based on Amazon Chronos-T5-Tiny,</w:t>
      </w:r>
    </w:p>
    <w:p>
      <w:r>
        <w:t xml:space="preserve">a publicly available time-series foundation model (HuggingFace: amazon/chronos-t5-tiny).</w:t>
      </w:r>
    </w:p>
    <w:p/>
    <w:p>
      <w:r>
        <w:t xml:space="preserve">Zurich, 2026-02-05</w:t>
      </w:r>
    </w:p>
    <w:p>
      <w:r>
        <w:t xml:space="preserve">Signed: Marco Eigenmann, CEO -- RetailIQ AG</w:t>
      </w:r>
    </w:p>
    <w:sectPr/>
  </w:body>
</w:document>
</file>

<file path=word/_rels/document.xml.rels><?xml version="1.0" encoding="UTF-8" standalone="yes"?><Relationships xmlns="http://schemas.openxmlformats.org/package/2006/relationships"/>
</file>