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RetailIQ AG -- DemandPulse v3.0</w:t>
      </w:r>
    </w:p>
    <w:p>
      <w:r>
        <w:t xml:space="preserve">RISK MANAGEMENT FILE  |  Ref: RMF-DP-v3.0-2026</w:t>
      </w:r>
    </w:p>
    <w:p>
      <w:r>
        <w:t xml:space="preserve">Pursuant to EU AI Act Article 9 (LIMITED risk system)</w:t>
      </w:r>
    </w:p>
    <w:p>
      <w:r>
        <w:t xml:space="preserve">Date: 2026-02-01  |  Approved by: CEO, RetailIQ AG</w:t>
      </w:r>
    </w:p>
    <w:p/>
    <w:p>
      <w:r>
        <w:t xml:space="preserve">1. SCOPE</w:t>
      </w:r>
    </w:p>
    <w:p>
      <w:r>
        <w:t xml:space="preserve">DemandPulse v3.0 is a demand-forecasting model fine-tuned on top of the</w:t>
      </w:r>
    </w:p>
    <w:p>
      <w:r>
        <w:t xml:space="preserve">Amazon Chronos-T5-Tiny foundation model (amazon/chronos-t5-tiny, HuggingFace).</w:t>
      </w:r>
    </w:p>
    <w:p>
      <w:r>
        <w:t xml:space="preserve">Deployed as a B2B API to Coop Schweiz AG, Migros, and 12 other EU grocery chains.</w:t>
      </w:r>
    </w:p>
    <w:p>
      <w:r>
        <w:t xml:space="preserve">Risk tier: LIMITED -- not listed in Annex III; voluntary transparency measures applied.</w:t>
      </w:r>
    </w:p>
    <w:p/>
    <w:p>
      <w:r>
        <w:t xml:space="preserve">2. IDENTIFIED RISKS</w:t>
      </w:r>
    </w:p>
    <w:p>
      <w:r>
        <w:t xml:space="preserve">R-001  Forecast bias leading to overstock / stockout events     MEDIUM</w:t>
      </w:r>
    </w:p>
    <w:p>
      <w:r>
        <w:t xml:space="preserve">R-002  Distribution shift from seasonal or economic shocks      MEDIUM</w:t>
      </w:r>
    </w:p>
    <w:p>
      <w:r>
        <w:t xml:space="preserve">R-003  Integration failure with customer ERP systems            LOW</w:t>
      </w:r>
    </w:p>
    <w:p/>
    <w:p>
      <w:r>
        <w:t xml:space="preserve">3. MITIGATION MEASURES</w:t>
      </w:r>
    </w:p>
    <w:p>
      <w:r>
        <w:t xml:space="preserve">R-001: Weekly WAPE/MASE monitoring; retraining trigger at MASE &gt; 1.15.</w:t>
      </w:r>
    </w:p>
    <w:p>
      <w:r>
        <w:t xml:space="preserve">R-002: Rolling 8-week retraining window; anomaly detection on input features.</w:t>
      </w:r>
    </w:p>
    <w:p>
      <w:r>
        <w:t xml:space="preserve">R-003: SLA-backed API contract; circuit-breaker pattern in SDK.</w:t>
      </w:r>
    </w:p>
    <w:p/>
    <w:p>
      <w:r>
        <w:t xml:space="preserve">4. HARMONISED STANDARDS</w:t>
      </w:r>
    </w:p>
    <w:p>
      <w:r>
        <w:t xml:space="preserve">ISO/IEC 42001:2023 (voluntary) | ISO/IEC 23894:2023 (voluntary)</w:t>
      </w:r>
    </w:p>
    <w:p/>
    <w:p>
      <w:r>
        <w:t xml:space="preserve">Note: As a limited-risk system, full Annex IV documentation is not mandatory.</w:t>
      </w:r>
    </w:p>
    <w:p>
      <w:r>
        <w:t xml:space="preserve">RetailIQ AG voluntarily applies Art. 50 transparency requirements.</w:t>
      </w:r>
    </w:p>
    <w:sectPr/>
  </w:body>
</w:document>
</file>

<file path=word/_rels/document.xml.rels><?xml version="1.0" encoding="UTF-8" standalone="yes"?><Relationships xmlns="http://schemas.openxmlformats.org/package/2006/relationships"/>
</file>