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HarbourLogistik GmbH -- HarbourSense v1.4</w:t>
      </w:r>
    </w:p>
    <w:p>
      <w:r>
        <w:t xml:space="preserve">RISK MANAGEMENT FILE  |  Ref: RMF-HS-v1.4-2026</w:t>
      </w:r>
    </w:p>
    <w:p>
      <w:r>
        <w:t xml:space="preserve">Pursuant to EU AI Act Article 9 and Annex IV</w:t>
      </w:r>
    </w:p>
    <w:p>
      <w:r>
        <w:t xml:space="preserve">Risk tier: HIGH -- Annex III para 2 (critical infrastructure)</w:t>
      </w:r>
    </w:p>
    <w:p>
      <w:r>
        <w:t xml:space="preserve">Date: 2026-03-01  |  Status: DRAFT (not yet formally approved)</w:t>
      </w:r>
    </w:p>
    <w:p/>
    <w:p>
      <w:r>
        <w:t xml:space="preserve">1. SCOPE</w:t>
      </w:r>
    </w:p>
    <w:p>
      <w:r>
        <w:t xml:space="preserve">HarbourSense v1.4 detects anomalies in sensor telemetry from Hamburg Harbour</w:t>
      </w:r>
    </w:p>
    <w:p>
      <w:r>
        <w:t xml:space="preserve">cranes and container-handling equipment. Deployed by Hamburger Hafen und</w:t>
      </w:r>
    </w:p>
    <w:p>
      <w:r>
        <w:t xml:space="preserve">Logistik AG (HHLA). Processing 5000+ sensor readings per hour.</w:t>
      </w:r>
    </w:p>
    <w:p/>
    <w:p>
      <w:r>
        <w:t xml:space="preserve">2. IDENTIFIED RISKS</w:t>
      </w:r>
    </w:p>
    <w:p>
      <w:r>
        <w:t xml:space="preserve">R-001  False negative anomaly (missed equipment failure)  CRITICAL</w:t>
      </w:r>
    </w:p>
    <w:p>
      <w:r>
        <w:t xml:space="preserve">R-002  False positive anomaly (unnecessary shutdown)      HIGH</w:t>
      </w:r>
    </w:p>
    <w:p>
      <w:r>
        <w:t xml:space="preserve">R-003  Adversarial sensor spoofing / cyber attack         HIGH</w:t>
      </w:r>
    </w:p>
    <w:p>
      <w:r>
        <w:t xml:space="preserve">R-004  Sensor data quality failures                       MEDIUM</w:t>
      </w:r>
    </w:p>
    <w:p/>
    <w:p>
      <w:r>
        <w:t xml:space="preserve">3. MITIGATION MEASURES</w:t>
      </w:r>
    </w:p>
    <w:p>
      <w:r>
        <w:t xml:space="preserve">R-001: Dual-sensor redundancy; human operator confirmation required.</w:t>
      </w:r>
    </w:p>
    <w:p>
      <w:r>
        <w:t xml:space="preserve">R-002: Dynamic threshold tuning; false-positive rate monitored weekly.</w:t>
      </w:r>
    </w:p>
    <w:p>
      <w:r>
        <w:t xml:space="preserve">R-003: [OPEN] Adversarial robustness framework not yet implemented.</w:t>
      </w:r>
    </w:p>
    <w:p>
      <w:r>
        <w:t xml:space="preserve">R-004: [OPEN] Data validation pipeline under development (ETA Q3 2026).</w:t>
      </w:r>
    </w:p>
    <w:p/>
    <w:p>
      <w:r>
        <w:t xml:space="preserve">NOTE: Items marked [OPEN] represent known gaps pending remediation.</w:t>
      </w:r>
    </w:p>
    <w:p>
      <w:r>
        <w:t xml:space="preserve">This document is in DRAFT status and has not received final CRMO sign-off.</w:t>
      </w:r>
    </w:p>
    <w:p/>
    <w:p>
      <w:r>
        <w:t xml:space="preserve">4. HARMONISED STANDARDS</w:t>
      </w:r>
    </w:p>
    <w:p>
      <w:r>
        <w:t xml:space="preserve">ISO/IEC 42001:2023 (planned adoption)</w:t>
      </w:r>
    </w:p>
    <w:p>
      <w:r>
        <w:t xml:space="preserve">IEC 62443 series (OT/ICS cybersecurity) -- partially implemented</w:t>
      </w:r>
    </w:p>
    <w:sectPr/>
  </w:body>
</w:document>
</file>

<file path=word/_rels/document.xml.rels><?xml version="1.0" encoding="UTF-8" standalone="yes"?><Relationships xmlns="http://schemas.openxmlformats.org/package/2006/relationships"/>
</file>