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LegalMind AI Ltd -- LexAI v2.0</w:t>
      </w:r>
    </w:p>
    <w:p>
      <w:r>
        <w:t xml:space="preserve">POST-MARKET MONITORING PLAN  |  Ref: PMM-LX-v2.0-2026</w:t>
      </w:r>
    </w:p>
    <w:p/>
    <w:p>
      <w:r>
        <w:t xml:space="preserve">1. KPIs</w:t>
      </w:r>
    </w:p>
    <w:p>
      <w:r>
        <w:t xml:space="preserve">K01  RAGAS faithfulness (citation accuracy)  threshold &gt;= 0.90</w:t>
      </w:r>
    </w:p>
    <w:p>
      <w:r>
        <w:t xml:space="preserve">K02  RAGAS answer relevancy                   threshold &gt;= 0.85</w:t>
      </w:r>
    </w:p>
    <w:p>
      <w:r>
        <w:t xml:space="preserve">K03  Prompt injection detection rate           target &gt;= 99%</w:t>
      </w:r>
    </w:p>
    <w:p>
      <w:r>
        <w:t xml:space="preserve">K04  Legal hallucination rate (user-reported)  target &lt; 0.5%</w:t>
      </w:r>
    </w:p>
    <w:p/>
    <w:p>
      <w:r>
        <w:t xml:space="preserve">2. SCHEDULE</w:t>
      </w:r>
    </w:p>
    <w:p>
      <w:r>
        <w:t xml:space="preserve">Weekly    : Citation verification pass rate dashboard</w:t>
      </w:r>
    </w:p>
    <w:p>
      <w:r>
        <w:t xml:space="preserve">Monthly   : RAGAS evaluation on 60-item golden eval set</w:t>
      </w:r>
    </w:p>
    <w:p>
      <w:r>
        <w:t xml:space="preserve">Quarterly : Differential prompt testing + red-team exercise</w:t>
      </w:r>
    </w:p>
    <w:p>
      <w:r>
        <w:t xml:space="preserve">Annually  : Full UAGF-TAM-L audit cycle</w:t>
      </w:r>
    </w:p>
    <w:p/>
    <w:p>
      <w:r>
        <w:t xml:space="preserve">3. INCIDENT REPORTING</w:t>
      </w:r>
    </w:p>
    <w:p>
      <w:r>
        <w:t xml:space="preserve">Trigger: Any confirmed hallucination reaching a client.</w:t>
      </w:r>
    </w:p>
    <w:p>
      <w:r>
        <w:t xml:space="preserve">Reporting: DPC (Data Protection Commission, Ireland) within 72h.</w:t>
      </w:r>
    </w:p>
    <w:p>
      <w:r>
        <w:t xml:space="preserve">Owner: CTO, LegalMind AI Ltd</w:t>
      </w:r>
    </w:p>
    <w:sectPr/>
  </w:body>
</w:document>
</file>

<file path=word/_rels/document.xml.rels><?xml version="1.0" encoding="UTF-8" standalone="yes"?><Relationships xmlns="http://schemas.openxmlformats.org/package/2006/relationships"/>
</file>