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LegalMind AI Ltd -- LexAI v2.0</w:t>
      </w:r>
    </w:p>
    <w:p>
      <w:r>
        <w:t xml:space="preserve">RISK MANAGEMENT FILE  |  Ref: RMF-LX-v2.0-2026</w:t>
      </w:r>
    </w:p>
    <w:p>
      <w:r>
        <w:t xml:space="preserve">Pursuant to EU AI Act Article 9 | Risk tier: HIGH -- Annex III para 8</w:t>
      </w:r>
    </w:p>
    <w:p>
      <w:r>
        <w:t xml:space="preserve">Date: 2026-04-01  |  Approved by: CTO, LegalMind AI Ltd</w:t>
      </w:r>
    </w:p>
    <w:p/>
    <w:p>
      <w:r>
        <w:t xml:space="preserve">1. SCOPE</w:t>
      </w:r>
    </w:p>
    <w:p>
      <w:r>
        <w:t xml:space="preserve">LexAI v2.0 is an LLM+RAG legal research assistant based on</w:t>
      </w:r>
    </w:p>
    <w:p>
      <w:r>
        <w:t xml:space="preserve">mistralai/Mistral-7B-v0.1 fine-tuned via LoRA (rank 64) on 50,000</w:t>
      </w:r>
    </w:p>
    <w:p>
      <w:r>
        <w:t xml:space="preserve">EU and Irish legal documents. Deployed B2B to law firms.</w:t>
      </w:r>
    </w:p>
    <w:p>
      <w:r>
        <w:t xml:space="preserve">Primary deployer: McCann FitzGerald LLP, Dublin.</w:t>
      </w:r>
    </w:p>
    <w:p>
      <w:r>
        <w:t xml:space="preserve">Risk tier: HIGH -- Annex III para 8 (administration of justice).</w:t>
      </w:r>
    </w:p>
    <w:p/>
    <w:p>
      <w:r>
        <w:t xml:space="preserve">2. IDENTIFIED RISKS</w:t>
      </w:r>
    </w:p>
    <w:p>
      <w:r>
        <w:t xml:space="preserve">R-001  Legal hallucination (fabricated case citations)    CRITICAL</w:t>
      </w:r>
    </w:p>
    <w:p>
      <w:r>
        <w:t xml:space="preserve">R-002  Prompt injection by adversarial users              HIGH</w:t>
      </w:r>
    </w:p>
    <w:p>
      <w:r>
        <w:t xml:space="preserve">R-003  Confidentiality breach of privileged communications CRITICAL</w:t>
      </w:r>
    </w:p>
    <w:p>
      <w:r>
        <w:t xml:space="preserve">R-004  Jurisdictional error (mixing Irish/UK/EU law)      HIGH</w:t>
      </w:r>
    </w:p>
    <w:p>
      <w:r>
        <w:t xml:space="preserve">R-005  Biased outputs disadvantaging certain groups       HIGH</w:t>
      </w:r>
    </w:p>
    <w:p/>
    <w:p>
      <w:r>
        <w:t xml:space="preserve">3. MITIGATION MEASURES</w:t>
      </w:r>
    </w:p>
    <w:p>
      <w:r>
        <w:t xml:space="preserve">R-001: Citations verified against RAG corpus; unverifiable refs rejected.</w:t>
      </w:r>
    </w:p>
    <w:p>
      <w:r>
        <w:t xml:space="preserve">R-002: Prompt injection detection (deepset/deberta); Llama Guard output filter.</w:t>
      </w:r>
    </w:p>
    <w:p>
      <w:r>
        <w:t xml:space="preserve">R-003: Per-engagement Qdrant collection isolation; data deleted on close.</w:t>
      </w:r>
    </w:p>
    <w:p>
      <w:r>
        <w:t xml:space="preserve">R-004: Jurisdiction flag required per query; responses tagged by jurisdiction.</w:t>
      </w:r>
    </w:p>
    <w:p>
      <w:r>
        <w:t xml:space="preserve">R-005: RAGAS bias evaluation monthly; differential prompt testing quarterly.</w:t>
      </w:r>
    </w:p>
    <w:p/>
    <w:p>
      <w:r>
        <w:t xml:space="preserve">4. HARMONISED STANDARDS</w:t>
      </w:r>
    </w:p>
    <w:p>
      <w:r>
        <w:t xml:space="preserve">ISO/IEC 42001:2023 | ISO/IEC 27001:2022 | ISO/IEC 27701:2019</w:t>
      </w:r>
    </w:p>
    <w:p/>
    <w:p>
      <w:r>
        <w:t xml:space="preserve">GDPR: DPIA completed per Art. 35. DPA with all deployers.</w:t>
      </w:r>
    </w:p>
    <w:sectPr/>
  </w:body>
</w:document>
</file>

<file path=word/_rels/document.xml.rels><?xml version="1.0" encoding="UTF-8" standalone="yes"?><Relationships xmlns="http://schemas.openxmlformats.org/package/2006/relationships"/>
</file>