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TalentSift GmbH -- TalentRank v1.2</w:t>
      </w:r>
    </w:p>
    <w:p>
      <w:r>
        <w:t>POST-MARKET MONITORING PLAN  |  Ref: PMM-TR-v1.2-2026</w:t>
      </w:r>
    </w:p>
    <w:p>
      <w:r>
        <w:t>Pursuant to EU AI Act Article 72</w:t>
      </w:r>
    </w:p>
    <w:p>
      <w:r>
        <w:t>Owner: Model Governance Team  |  Effective: 2026-05-15</w:t>
      </w:r>
    </w:p>
    <w:p/>
    <w:p>
      <w:r>
        <w:t>1. MONITORING SCOPE</w:t>
      </w:r>
    </w:p>
    <w:p>
      <w:r>
        <w:t>Production shortlist recommendations issued by TalentRank v1.2 at all</w:t>
      </w:r>
    </w:p>
    <w:p>
      <w:r>
        <w:t>deployer sites, covering performance, fairness, robustness and human-</w:t>
      </w:r>
    </w:p>
    <w:p>
      <w:r>
        <w:t>oversight indicators throughout the operational lifetime.</w:t>
      </w:r>
    </w:p>
    <w:p/>
    <w:p>
      <w:r>
        <w:t>2. DATA COLLECTED</w:t>
      </w:r>
    </w:p>
    <w:p>
      <w:r>
        <w:t>Per-screening logs (hashed applicant_id, vacancy family, score,</w:t>
      </w:r>
    </w:p>
    <w:p>
      <w:r>
        <w:t>recommendation, recruiter decision, override flag); quarterly labelled</w:t>
      </w:r>
    </w:p>
    <w:p>
      <w:r>
        <w:t>audit samples of 200 screenings per deployer; token-distribution</w:t>
      </w:r>
    </w:p>
    <w:p>
      <w:r>
        <w:t>statistics per month.</w:t>
      </w:r>
    </w:p>
    <w:p/>
    <w:p>
      <w:r>
        <w:t>3. INDICATORS AND THRESHOLDS</w:t>
      </w:r>
    </w:p>
    <w:p>
      <w:r>
        <w:t>M-01 Shortlist accuracy vs recruiter final decision   alert &lt; 0.75</w:t>
      </w:r>
    </w:p>
    <w:p>
      <w:r>
        <w:t>M-02 Demographic parity difference (sex, age group,</w:t>
      </w:r>
    </w:p>
    <w:p>
      <w:r>
        <w:t xml:space="preserve">     nationality)                                     alert &gt; 0.10</w:t>
      </w:r>
    </w:p>
    <w:p>
      <w:r>
        <w:t>M-03 Equal-opportunity difference                     alert &gt; 0.10</w:t>
      </w:r>
    </w:p>
    <w:p>
      <w:r>
        <w:t>M-04 Token-distribution PSI (top-100 TF-IDF mass)     alert &gt; 0.20</w:t>
      </w:r>
    </w:p>
    <w:p>
      <w:r>
        <w:t>M-05 Recruiter override rate                          review &gt; 15%</w:t>
      </w:r>
    </w:p>
    <w:p>
      <w:r>
        <w:t>M-06 PII-leak findings per quarterly scan             alert &gt; 0</w:t>
      </w:r>
    </w:p>
    <w:p/>
    <w:p>
      <w:r>
        <w:t>4. REVIEW AND ESCALATION</w:t>
      </w:r>
    </w:p>
    <w:p>
      <w:r>
        <w:t>Monthly metric review by the Model Governance Team; breaches open a</w:t>
      </w:r>
    </w:p>
    <w:p>
      <w:r>
        <w:t>corrective action within 10 working days. Serious incidents are</w:t>
      </w:r>
    </w:p>
    <w:p>
      <w:r>
        <w:t>reported per Article 73 within the statutory deadlines, and deployers</w:t>
      </w:r>
    </w:p>
    <w:p>
      <w:r>
        <w:t>are notified within 48 hours.</w:t>
      </w:r>
    </w:p>
    <w:p/>
    <w:p>
      <w:r>
        <w:t>5. FEEDBACK INTO THE RISK MANAGEMENT SYSTEM</w:t>
      </w:r>
    </w:p>
    <w:p>
      <w:r>
        <w:t>Monitoring outcomes feed the semi-annual review of RMF-TR-v1.2-2026;</w:t>
      </w:r>
    </w:p>
    <w:p>
      <w:r>
        <w:t>threshold breaches trigger an out-of-cycle review and, where needed, a</w:t>
      </w:r>
    </w:p>
    <w:p>
      <w:r>
        <w:t>substantial-modification assessment under Article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