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TalentSift GmbH -- TalentRank v1.2</w:t>
      </w:r>
    </w:p>
    <w:p>
      <w:r>
        <w:t>RISK MANAGEMENT SYSTEM FILE  |  Ref: RMF-TR-v1.2-2026</w:t>
      </w:r>
    </w:p>
    <w:p>
      <w:r>
        <w:t>Pursuant to EU AI Act Article 9 and Annex IV para 5</w:t>
      </w:r>
    </w:p>
    <w:p>
      <w:r>
        <w:t>Approved by: Dr. Miriam Hoffmann, Head of Model Governance  |  Date: 2026-05-10</w:t>
      </w:r>
    </w:p>
    <w:p/>
    <w:p>
      <w:r>
        <w:t>1. SCOPE</w:t>
      </w:r>
    </w:p>
    <w:p>
      <w:r>
        <w:t>TalentRank v1.2 is a linear text classifier (scikit-learn TF-IDF +</w:t>
      </w:r>
    </w:p>
    <w:p>
      <w:r>
        <w:t>logistic regression) provided by TalentSift GmbH (Hamburg) and deployed</w:t>
      </w:r>
    </w:p>
    <w:p>
      <w:r>
        <w:t>by Nordwind Personal Services AG to pre-screen free-text CVs for</w:t>
      </w:r>
    </w:p>
    <w:p>
      <w:r>
        <w:t>shortlist recommendations. Risk tier: HIGH -- Annex III para 4(a)</w:t>
      </w:r>
    </w:p>
    <w:p>
      <w:r>
        <w:t>(recruitment, screening and filtering of applications).</w:t>
      </w:r>
    </w:p>
    <w:p/>
    <w:p>
      <w:r>
        <w:t>2. IDENTIFIED RISKS  (Art. 9 para 2(a))</w:t>
      </w:r>
    </w:p>
    <w:p>
      <w:r>
        <w:t>R-001  Discriminatory shortlisting against protected groups        HIGH</w:t>
      </w:r>
    </w:p>
    <w:p>
      <w:r>
        <w:t>R-002  Proxy discrimination via language/vocabulary correlates     HIGH</w:t>
      </w:r>
    </w:p>
    <w:p>
      <w:r>
        <w:t>R-003  Vocabulary drift as job markets and CV conventions change  MEDIUM</w:t>
      </w:r>
    </w:p>
    <w:p>
      <w:r>
        <w:t>R-004  Keyword-stuffing manipulation by applicants                MEDIUM</w:t>
      </w:r>
    </w:p>
    <w:p>
      <w:r>
        <w:t>R-005  Automation bias -- recruiters rubber-stamping the ranking    HIGH</w:t>
      </w:r>
    </w:p>
    <w:p>
      <w:r>
        <w:t>R-006  Residual personal data surviving the PII-stripping step    MEDIUM</w:t>
      </w:r>
    </w:p>
    <w:p/>
    <w:p>
      <w:r>
        <w:t>3. MITIGATION MEASURES  (Art. 9 para 2(c))</w:t>
      </w:r>
    </w:p>
    <w:p>
      <w:r>
        <w:t>R-001: Quarterly demographic parity and equal-opportunity testing per</w:t>
      </w:r>
    </w:p>
    <w:p>
      <w:r>
        <w:t xml:space="preserve">       sex, age group and nationality; recalibrated shortlist threshold.</w:t>
      </w:r>
    </w:p>
    <w:p>
      <w:r>
        <w:t>R-002: Token-importance review each release; blocklist of location,</w:t>
      </w:r>
    </w:p>
    <w:p>
      <w:r>
        <w:t xml:space="preserve">       school-name and language tokens found to proxy protected status.</w:t>
      </w:r>
    </w:p>
    <w:p>
      <w:r>
        <w:t>R-003: Token-distribution PSI monitoring (alert at PSI &gt; 0.2) over the</w:t>
      </w:r>
    </w:p>
    <w:p>
      <w:r>
        <w:t xml:space="preserve">       top-100 TF-IDF mass; scheduled annual re-training.</w:t>
      </w:r>
    </w:p>
    <w:p>
      <w:r>
        <w:t>R-004: Character-noise and synonym robustness probes at each release;</w:t>
      </w:r>
    </w:p>
    <w:p>
      <w:r>
        <w:t xml:space="preserve">       duplicate-phrase density cap flagging keyword-stuffed CVs.</w:t>
      </w:r>
    </w:p>
    <w:p>
      <w:r>
        <w:t>R-005: Mandatory recruiter confirmation with reason codes; override</w:t>
      </w:r>
    </w:p>
    <w:p>
      <w:r>
        <w:t xml:space="preserve">       rate KPI reviewed monthly; no auto-rejection pathway exists.</w:t>
      </w:r>
    </w:p>
    <w:p>
      <w:r>
        <w:t>R-006: Two-stage PII stripper (rule-based + NER) with quarterly leak</w:t>
      </w:r>
    </w:p>
    <w:p>
      <w:r>
        <w:t xml:space="preserve">       audit on a 200-CV sample.</w:t>
      </w:r>
    </w:p>
    <w:p/>
    <w:p>
      <w:r>
        <w:t>4. RESIDUAL RISK ASSESSMENT  (Art. 9 para 5)</w:t>
      </w:r>
    </w:p>
    <w:p>
      <w:r>
        <w:t>All residual risks are judged acceptable for the intended purpose under</w:t>
      </w:r>
    </w:p>
    <w:p>
      <w:r>
        <w:t>human-in-the-loop operation. Wrongful non-shortlisting is bounded by the</w:t>
      </w:r>
    </w:p>
    <w:p>
      <w:r>
        <w:t>recruiter review step and the recall-oriented threshold policy.</w:t>
      </w:r>
    </w:p>
    <w:p/>
    <w:p>
      <w:r>
        <w:t>5. TESTING  (Art. 9 para 6-8)</w:t>
      </w:r>
    </w:p>
    <w:p>
      <w:r>
        <w:t>Release gates: accuracy/F1/AUC on the held-out evaluation set; fairness</w:t>
      </w:r>
    </w:p>
    <w:p>
      <w:r>
        <w:t>suite per protected attribute; char-noise adversarial probe; PII-leak</w:t>
      </w:r>
    </w:p>
    <w:p>
      <w:r>
        <w:t>scan. Results are archived per release in the model registry.</w:t>
      </w:r>
    </w:p>
    <w:p/>
    <w:p>
      <w:r>
        <w:t>6. REVIEW CYCLE</w:t>
      </w:r>
    </w:p>
    <w:p>
      <w:r>
        <w:t>This file is reviewed semi-annually and at every substantial</w:t>
      </w:r>
    </w:p>
    <w:p>
      <w:r>
        <w:t>modification (Art. 25 assessment attached to each review).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