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EU DECLARATION OF CONFORMITY</w:t>
      </w:r>
    </w:p>
    <w:p>
      <w:r>
        <w:t xml:space="preserve">Pursuant to Regulation (EU) 2024/1689 (EU AI Act), Article 47</w:t>
      </w:r>
    </w:p>
    <w:p/>
    <w:p>
      <w:r>
        <w:t xml:space="preserve">Provider:  FinClear GmbH</w:t>
      </w:r>
    </w:p>
    <w:p>
      <w:r>
        <w:t xml:space="preserve">           Neue Mainzer Str. 52, 60311 Frankfurt am Main, Germany</w:t>
      </w:r>
    </w:p>
    <w:p>
      <w:r>
        <w:t xml:space="preserve">           HRB 123456 | EU VAT: DE345678901</w:t>
      </w:r>
    </w:p>
    <w:p/>
    <w:p>
      <w:r>
        <w:t xml:space="preserve">AI System: CreditGuard v2.1</w:t>
      </w:r>
    </w:p>
    <w:p>
      <w:r>
        <w:t xml:space="preserve">Purpose:   Creditworthiness scoring for retail loan applicants</w:t>
      </w:r>
    </w:p>
    <w:p>
      <w:r>
        <w:t xml:space="preserve">Class:     HIGH-RISK -- Annex III para 5(b)</w:t>
      </w:r>
    </w:p>
    <w:p/>
    <w:p>
      <w:r>
        <w:t xml:space="preserve">FinClear GmbH declares under sole responsibility that CreditGuard v2.1</w:t>
      </w:r>
    </w:p>
    <w:p>
      <w:r>
        <w:t xml:space="preserve">is in conformity with Regulation (EU) 2024/1689:</w:t>
      </w:r>
    </w:p>
    <w:p>
      <w:r>
        <w:t xml:space="preserve">  Article 9  -- Risk management system         COMPLIANT</w:t>
      </w:r>
    </w:p>
    <w:p>
      <w:r>
        <w:t xml:space="preserve">  Article 10 -- Data and data governance        COMPLIANT</w:t>
      </w:r>
    </w:p>
    <w:p>
      <w:r>
        <w:t xml:space="preserve">  Article 12 -- Record-keeping                  COMPLIANT</w:t>
      </w:r>
    </w:p>
    <w:p>
      <w:r>
        <w:t xml:space="preserve">  Article 13 -- Transparency to deployers       COMPLIANT</w:t>
      </w:r>
    </w:p>
    <w:p>
      <w:r>
        <w:t xml:space="preserve">  Article 14 -- Human oversight                 COMPLIANT</w:t>
      </w:r>
    </w:p>
    <w:p>
      <w:r>
        <w:t xml:space="preserve">  Article 15 -- Accuracy and robustness         COMPLIANT</w:t>
      </w:r>
    </w:p>
    <w:p>
      <w:r>
        <w:t xml:space="preserve">  Article 72 -- Post-market monitoring          COMPLIANT</w:t>
      </w:r>
    </w:p>
    <w:p/>
    <w:p>
      <w:r>
        <w:t xml:space="preserve">Standards: ISO/IEC 42001:2023 | ISO/IEC 23894:2023 | ISO/IEC TR 24028:2020</w:t>
      </w:r>
    </w:p>
    <w:p>
      <w:r>
        <w:t xml:space="preserve">Procedure: Annex VI internal control (Art. 43 para 2)</w:t>
      </w:r>
    </w:p>
    <w:p/>
    <w:p>
      <w:r>
        <w:t xml:space="preserve">Frankfurt am Main, 2026-01-20</w:t>
      </w:r>
    </w:p>
    <w:p>
      <w:r>
        <w:t xml:space="preserve">Signed: Dr. Markus Brenner, CEO  (eIDAS Qualified Electronic Signature)</w:t>
      </w:r>
    </w:p>
    <w:sectPr/>
  </w:body>
</w:document>
</file>

<file path=word/_rels/document.xml.rels><?xml version="1.0" encoding="UTF-8" standalone="yes"?><Relationships xmlns="http://schemas.openxmlformats.org/package/2006/relationships"/>
</file>