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FinClear GmbH -- CreditGuard v2.1</w:t>
      </w:r>
    </w:p>
    <w:p>
      <w:r>
        <w:t xml:space="preserve">POST-MARKET MONITORING PLAN  |  Ref: PMM-CG-v2.1-2026</w:t>
      </w:r>
    </w:p>
    <w:p>
      <w:r>
        <w:t xml:space="preserve">Pursuant to EU AI Act Article 72 and Annex IV para 9</w:t>
      </w:r>
    </w:p>
    <w:p/>
    <w:p>
      <w:r>
        <w:t xml:space="preserve">1. MONITORING OBJECTIVES</w:t>
      </w:r>
    </w:p>
    <w:p>
      <w:r>
        <w:t xml:space="preserve">   (a) Performance degradation detection</w:t>
      </w:r>
    </w:p>
    <w:p>
      <w:r>
        <w:t xml:space="preserve">   (b) Demographic fairness drift monitoring</w:t>
      </w:r>
    </w:p>
    <w:p>
      <w:r>
        <w:t xml:space="preserve">   (c) Input distribution shift detection</w:t>
      </w:r>
    </w:p>
    <w:p>
      <w:r>
        <w:t xml:space="preserve">   (d) Human oversight effectiveness</w:t>
      </w:r>
    </w:p>
    <w:p/>
    <w:p>
      <w:r>
        <w:t xml:space="preserve">2. KEY PERFORMANCE INDICATORS</w:t>
      </w:r>
    </w:p>
    <w:p>
      <w:r>
        <w:t xml:space="preserve">K01  Monthly AUC-ROC on production sample      threshold &gt;= 0.78</w:t>
      </w:r>
    </w:p>
    <w:p>
      <w:r>
        <w:t xml:space="preserve">K02  PSI on top-10 input features               alert if PSI &gt; 0.20</w:t>
      </w:r>
    </w:p>
    <w:p>
      <w:r>
        <w:t xml:space="preserve">K03  Demographic parity delta -- gender          threshold &lt;= 0.05</w:t>
      </w:r>
    </w:p>
    <w:p>
      <w:r>
        <w:t xml:space="preserve">K04  Demographic parity delta -- age group       threshold &lt;= 0.08</w:t>
      </w:r>
    </w:p>
    <w:p>
      <w:r>
        <w:t xml:space="preserve">K05  FNR for creditworthy applicants declined    threshold &lt;= 0.25</w:t>
      </w:r>
    </w:p>
    <w:p>
      <w:r>
        <w:t xml:space="preserve">K06  Human override rate                        expected 3--15%</w:t>
      </w:r>
    </w:p>
    <w:p/>
    <w:p>
      <w:r>
        <w:t xml:space="preserve">3. SCHEDULE</w:t>
      </w:r>
    </w:p>
    <w:p>
      <w:r>
        <w:t xml:space="preserve">Weekly    : Automated error-rate dashboard (MLflow)</w:t>
      </w:r>
    </w:p>
    <w:p>
      <w:r>
        <w:t xml:space="preserve">Monthly   : Full performance + fairness review (Model Risk Team)</w:t>
      </w:r>
    </w:p>
    <w:p>
      <w:r>
        <w:t xml:space="preserve">Quarterly : Adversarial robustness re-probe</w:t>
      </w:r>
    </w:p>
    <w:p>
      <w:r>
        <w:t xml:space="preserve">Annually  : Full UAGF-TAM audit cycle</w:t>
      </w:r>
    </w:p>
    <w:p/>
    <w:p>
      <w:r>
        <w:t xml:space="preserve">4. SERIOUS INCIDENT CRITERIA  (Art. 72 para 1)</w:t>
      </w:r>
    </w:p>
    <w:p>
      <w:r>
        <w:t xml:space="preserve">Trigger: AUC drops &gt;10% vs baseline OR demographic parity delta &gt; 0.15</w:t>
      </w:r>
    </w:p>
    <w:p>
      <w:r>
        <w:t xml:space="preserve">Reporting deadline: 15 working days to BaFin</w:t>
      </w:r>
    </w:p>
    <w:p>
      <w:r>
        <w:t xml:space="preserve">Owner: Head of Model Risk, FinClear GmbH</w:t>
      </w:r>
    </w:p>
    <w:p/>
    <w:p>
      <w:r>
        <w:t xml:space="preserve">5. RETRAINING POLICY</w:t>
      </w:r>
    </w:p>
    <w:p>
      <w:r>
        <w:t xml:space="preserve">Trigger: PSI &gt; 0.25 on any feature OR AUC &lt; 0.76</w:t>
      </w:r>
    </w:p>
    <w:p>
      <w:r>
        <w:t xml:space="preserve">Version archive: MLflow registry, minimum 10 years</w:t>
      </w:r>
    </w:p>
    <w:sectPr/>
  </w:body>
</w:document>
</file>

<file path=word/_rels/document.xml.rels><?xml version="1.0" encoding="UTF-8" standalone="yes"?><Relationships xmlns="http://schemas.openxmlformats.org/package/2006/relationships"/>
</file>