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Pr>
      <w:r>
        <w:t xml:space="preserve">Organization</w:t>
      </w:r>
    </w:p>
    <w:p>
      <w:pPr>
        <w:pStyle w:val="Normal"/>
        <w:spacing w:after="120" w:line="240" w:lineRule="auto"/>
        <w:keepLines/>
      </w:pPr>
      <w:r>
        <w:t xml:space="preserve">Software configuration management for SG Homie shall be carried out by the project team. The Release Engineer/Manager shall act as the SCM coordinator and maintain the controlled repository, configuration records, baselines and release packages. The Project Manager shall approve the SCM plan, reference baselines and deliveries. The Lead Developer shall oversee technical consistency, while the QA Manager and QA Engineer shall assess quality and verify the configuration selected for release.</w:t>
      </w:r>
    </w:p>
    <w:p>
      <w:pPr>
        <w:pStyle w:val="Normal"/>
        <w:spacing w:after="120" w:line="240" w:lineRule="auto"/>
        <w:keepLines/>
      </w:pPr>
      <w:r>
        <w:t xml:space="preserve">SCM shall cover the React, Vite and TypeScript frontend, the Supabase backend, and Price Predictor, an internally managed FastAPI microservice for property price estimates. The team shall own Price Predictor source, API contracts, model artefacts and releases even where hosting is outsourced. Specific mapping, geospatial search and conversational AI libraries or providers shall be selected through evaluation and approval, then recorded in the configuration register.</w:t>
      </w:r>
    </w:p>
    <w:p>
      <w:pPr>
        <w:pStyle w:val="Normal"/>
        <w:spacing w:after="120" w:line="240" w:lineRule="auto"/>
        <w:keepLines/>
      </w:pPr>
      <w:r>
        <w:t xml:space="preserve">The shared Git repository shall hold the controlled source code and non-secret project records. Developers shall submit changes through pull or merge requests linked to a recorded task or defect. Release and approval records shall identify the exact revision reviewed. Access to repository administration, deployment and server-side secrets shall be limited to authorised team members according to their duties.</w:t>
      </w:r>
    </w:p>
    <w:p>
      <w:pPr>
        <w:pStyle w:val="Heading2"/>
      </w:pPr>
      <w:r>
        <w:t xml:space="preserve">Activities and responsibilities</w:t>
      </w:r>
    </w:p>
    <w:p>
      <w:pPr>
        <w:pStyle w:val="Normal"/>
        <w:spacing w:after="120" w:line="240" w:lineRule="auto"/>
        <w:keepLines/>
      </w:pPr>
      <w:r>
        <w:t xml:space="preserve">The following responsibilities apply during project setup, development and ongoing SCM administration. Where an activity involves several roles, the role listed first coordinates its completion.</w:t>
      </w:r>
    </w:p>
    <w:tbl>
      <w:tblPr>
        <w:tblW w:w="8221" w:type="dxa"/>
        <w:jc w:val="start"/>
        <w:tblInd w:w="496" w:type="dxa"/>
        <w:tblLayout w:type="fixed"/>
        <w:tblCellMar>
          <w:top w:w="0" w:type="dxa"/>
          <w:start w:w="70" w:type="dxa"/>
          <w:bottom w:w="0" w:type="dxa"/>
          <w:end w:w="70" w:type="dxa"/>
        </w:tblCellMar>
      </w:tblPr>
      <w:tblGrid>
        <w:gridCol w:w="5154"/>
        <w:gridCol w:w="3067"/>
      </w:tblGrid>
      <w:tr>
        <w:trPr>
          <w:cantSplit/>
          <w:cantSplit/>
          <w:tblHeader/>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Activities when setting up the project</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Responsible roles</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Identify configuration items, owners and storage locations; establish the configuration register.</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 Lead Developer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Set up the shared repository, task and defect records, access permissions and release archive.</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Define review, versioning and baseline procedures and approve the SCM plan.</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 Project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Define acceptance criteria, required test evidence and configuration audit checks.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QA Manager; QA Engineer</w:t>
            </w:r>
          </w:p>
        </w:tc>
      </w:tr>
    </w:tbl>
    <w:p>
      <w:pPr>
        <w:pStyle w:val="Normal"/>
        <w:spacing w:after="40" w:line="240" w:lineRule="auto"/>
        <w:keepLines/>
      </w:pPr>
      <w:r>
        <w:t xml:space="preserve"/>
      </w:r>
    </w:p>
    <w:tbl>
      <w:tblPr>
        <w:tblW w:w="8221" w:type="dxa"/>
        <w:jc w:val="start"/>
        <w:tblInd w:w="496" w:type="dxa"/>
        <w:tblLayout w:type="fixed"/>
        <w:tblCellMar>
          <w:top w:w="0" w:type="dxa"/>
          <w:start w:w="70" w:type="dxa"/>
          <w:bottom w:w="0" w:type="dxa"/>
          <w:end w:w="70" w:type="dxa"/>
        </w:tblCellMar>
      </w:tblPr>
      <w:tblGrid>
        <w:gridCol w:w="5154"/>
        <w:gridCol w:w="3067"/>
      </w:tblGrid>
      <w:tr>
        <w:trPr>
          <w:cantSplit/>
          <w:cantSplit/>
          <w:tblHeader/>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Activities during the project lifecycle</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Responsible roles</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Maintain React, Vite and TypeScript source, interface assets, frontend configuration and relevant tests.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Front-end Developer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Maintain the Supabase backend, database migrations, access policies, server-side interfaces and backend tests.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Back-end Developers</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Maintain Price Predictor service and API schemas, training and evaluation code, model bundles and deployment configuration.</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Back-end Developers; Lead Developer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Review technical changes, dependencies and integration effects before accepting changes into the shared codebase.</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Lead Developer; designated reviewer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Verify regression and integration behaviour, including Price Predictor contracts, authentication, invalid inputs and model integrity; record and retest defects.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QA Engineer; QA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Freeze the candidate, prepare its Version Delivery Description and preserve compatible application, service and model revisions.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Approve reference baselines and authorise delivery after technical and quality review.</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Project Manager</w:t>
            </w:r>
          </w:p>
        </w:tc>
      </w:tr>
    </w:tbl>
    <w:p>
      <w:pPr>
        <w:pStyle w:val="Normal"/>
        <w:spacing w:after="40" w:line="240" w:lineRule="auto"/>
        <w:keepLines/>
      </w:pPr>
      <w:r>
        <w:t xml:space="preserve"/>
      </w:r>
    </w:p>
    <w:tbl>
      <w:tblPr>
        <w:tblW w:w="8221" w:type="dxa"/>
        <w:jc w:val="start"/>
        <w:tblInd w:w="496" w:type="dxa"/>
        <w:tblLayout w:type="fixed"/>
        <w:tblCellMar>
          <w:top w:w="0" w:type="dxa"/>
          <w:start w:w="70" w:type="dxa"/>
          <w:bottom w:w="0" w:type="dxa"/>
          <w:end w:w="70" w:type="dxa"/>
        </w:tblCellMar>
      </w:tblPr>
      <w:tblGrid>
        <w:gridCol w:w="5154"/>
        <w:gridCol w:w="3067"/>
      </w:tblGrid>
      <w:tr>
        <w:trPr>
          <w:cantSplit/>
          <w:cantSplit/>
          <w:tblHeader/>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Management activities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Responsible roles</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Maintain item identifiers, tags, configuration status, release records and approved archives.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Review access at milestones and when membership changes; remove access that is no longer required.</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 Project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Back up controlled records weekly and at each approved baseline; check archive integrity and recovery at milestones.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Maintain test and quality reports, inspect configuration records and report audit findings.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QA Manager; QA Engineer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Maintain Price Predictor deployment records and the last compatible service, model and configuration combination for recovery.</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Release Engineer/Manager; Back-end Developers</w:t>
            </w:r>
          </w:p>
        </w:tc>
      </w:tr>
    </w:tbl>
    <w:p>
      <w:pPr>
        <w:pStyle w:val="Normal"/>
        <w:spacing w:after="40" w:line="240" w:lineRule="auto"/>
        <w:keepLines/>
      </w:pPr>
      <w:r>
        <w:t xml:space="preserve"/>
      </w:r>
    </w:p>
    <w:p>
      <w:pPr>
        <w:pStyle w:val="Heading3"/>
      </w:pPr>
      <w:r>
        <w:t xml:space="preserve">Decisions process and responsibilities</w:t>
      </w:r>
    </w:p>
    <w:p>
      <w:pPr>
        <w:pStyle w:val="Normal"/>
        <w:keepLines/>
        <w:spacing w:before="0" w:after="120" w:line="240" w:lineRule="auto"/>
      </w:pPr>
      <w:r>
        <w:t>Responsibilities during reviews, audits and approvals are listed below. The Project Manager, Lead Developer and QA Manager shall form the change control group. The detailed change procedure is defined in Section 4.</w:t>
      </w:r>
    </w:p>
    <w:p>
      <w:pPr>
        <w:pStyle w:val="Normal"/>
        <w:keepLines/>
        <w:spacing w:before="100" w:after="60" w:line="240" w:lineRule="auto"/>
        <w:keepNext/>
      </w:pPr>
      <w:r>
        <w:t>During change reviews and approvals</w:t>
      </w:r>
    </w:p>
    <w:tbl>
      <w:tblPr>
        <w:tblW w:w="8221" w:type="dxa"/>
        <w:jc w:val="start"/>
        <w:tblInd w:w="496" w:type="dxa"/>
        <w:tblLayout w:type="fixed"/>
        <w:tblCellMar>
          <w:top w:w="0" w:type="dxa"/>
          <w:start w:w="70" w:type="dxa"/>
          <w:bottom w:w="0" w:type="dxa"/>
          <w:end w:w="70" w:type="dxa"/>
        </w:tblCellMar>
      </w:tblPr>
      <w:tblGrid>
        <w:gridCol w:w="5154"/>
        <w:gridCol w:w="3067"/>
      </w:tblGrid>
      <w:tr>
        <w:trPr>
          <w:cantSplit/>
          <w:cantSplit/>
          <w:tblHeader/>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keepNext/>
            </w:pPr>
            <w:r>
              <w:rPr>
                <w:b/>
              </w:rPr>
              <w:t>Activities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keepNext/>
            </w:pPr>
            <w:r>
              <w:rPr>
                <w:b/>
              </w:rPr>
              <w:t>Person Responsible</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Review routine changes within approved scope through technical review.</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Lead Developer; designated reviewer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Review changes affecting an approved baseline, scope, external interfaces, database access controls or delivery commitments.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Project Manager; Lead Developer; QA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Consult affected developers and record change decisions.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Give final approval for changes referred to the change control group.</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Project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Ensure that a change author is not the sole reviewer or approver of their own change.</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Lead Developer; Project Manager</w:t>
            </w:r>
          </w:p>
        </w:tc>
      </w:tr>
    </w:tbl>
    <w:p>
      <w:pPr>
        <w:pStyle w:val="Normal"/>
        <w:keepLines/>
        <w:spacing w:before="100" w:after="60" w:line="240" w:lineRule="auto"/>
        <w:keepNext/>
      </w:pPr>
      <w:r>
        <w:t>At the end of an activity of the project</w:t>
      </w:r>
    </w:p>
    <w:tbl>
      <w:tblPr>
        <w:tblW w:w="8221" w:type="dxa"/>
        <w:jc w:val="start"/>
        <w:tblInd w:w="496" w:type="dxa"/>
        <w:tblLayout w:type="fixed"/>
        <w:tblCellMar>
          <w:top w:w="0" w:type="dxa"/>
          <w:start w:w="70" w:type="dxa"/>
          <w:bottom w:w="0" w:type="dxa"/>
          <w:end w:w="70" w:type="dxa"/>
        </w:tblCellMar>
      </w:tblPr>
      <w:tblGrid>
        <w:gridCol w:w="5154"/>
        <w:gridCol w:w="3067"/>
      </w:tblGrid>
      <w:tr>
        <w:trPr>
          <w:cantSplit/>
          <w:cantSplit/>
          <w:tblHeader/>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keepNext/>
            </w:pPr>
            <w:r>
              <w:rPr>
                <w:b/>
              </w:rPr>
              <w:t>Activities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keepNext/>
            </w:pPr>
            <w:r>
              <w:rPr>
                <w:b/>
              </w:rPr>
              <w:t>Person Responsible</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Freeze the milestone candidate and present the status of the affected software components.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Present the status of documentation for the affected components.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Confirm technical completeness.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Lead Developer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Review test results, unresolved defects and acceptance criteria.</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QA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Approve or reject the reference baseline and authorise delivery.</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Project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Record the approval outcome before tagging or distributing the approved configuration.</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Release Engineer/Manager</w:t>
            </w:r>
          </w:p>
        </w:tc>
      </w:tr>
    </w:tbl>
    <w:p>
      <w:pPr>
        <w:pStyle w:val="Normal"/>
        <w:keepLines/>
        <w:spacing w:before="100" w:after="60" w:line="240" w:lineRule="auto"/>
        <w:keepNext/>
      </w:pPr>
      <w:r>
        <w:t>During a configuration management process audit</w:t>
      </w:r>
    </w:p>
    <w:tbl>
      <w:tblPr>
        <w:tblW w:w="8221" w:type="dxa"/>
        <w:jc w:val="start"/>
        <w:tblInd w:w="496" w:type="dxa"/>
        <w:tblLayout w:type="fixed"/>
        <w:tblCellMar>
          <w:top w:w="0" w:type="dxa"/>
          <w:start w:w="70" w:type="dxa"/>
          <w:bottom w:w="0" w:type="dxa"/>
          <w:end w:w="70" w:type="dxa"/>
        </w:tblCellMar>
      </w:tblPr>
      <w:tblGrid>
        <w:gridCol w:w="5154"/>
        <w:gridCol w:w="3067"/>
      </w:tblGrid>
      <w:tr>
        <w:trPr>
          <w:cantSplit/>
          <w:cantSplit/>
          <w:tblHeader/>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keepNext/>
            </w:pPr>
            <w:r>
              <w:rPr>
                <w:b/>
              </w:rPr>
              <w:t>Activities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keepNext/>
            </w:pPr>
            <w:r>
              <w:rPr>
                <w:b/>
              </w:rPr>
              <w:t>Person Responsible</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Commission the audit and track corrective actions.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Project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Lead compliance checks and perform supporting verification.</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QA Manager; QA Engineer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Present configuration registers, review records and release manifests.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Present quality records and test evidence.</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QA 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Present document revisions and documentation management records.</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Release Engineer/Manager</w:t>
            </w:r>
          </w:p>
        </w:tc>
      </w:tr>
      <w:tr>
        <w:trPr>
          <w:cantSplit/>
          <w:cantSplit/>
        </w:trPr>
        <w:tc>
          <w:tcPr>
            <w:tcW w:w="515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Record findings and approved exceptions with an action owner and resolution date.</w:t>
            </w:r>
          </w:p>
        </w:tc>
        <w:tc>
          <w:tcPr>
            <w:tcW w:w="306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keepLines/>
              <w:spacing w:before="0" w:after="0" w:line="240" w:lineRule="auto"/>
              <w:jc w:val="start"/>
            </w:pPr>
            <w:r>
              <w:t>QA Manager; Release Engineer/Manager</w:t>
            </w:r>
          </w:p>
        </w:tc>
      </w:tr>
    </w:tbl>
    <w:p>
      <w:pPr>
        <w:pStyle w:val="Normal"/>
        <w:keepLines/>
        <w:spacing w:before="0" w:after="120" w:line="240" w:lineRule="auto"/>
      </w:pPr>
      <w:r>
        <w:t/>
      </w:r>
    </w:p>
    <w:p>
      <w:pPr>
        <w:pStyle w:val="Heading1"/>
      </w:pPr>
      <w:r>
        <w:t xml:space="preserve">Configuration identification</w:t>
      </w:r>
    </w:p>
    <w:p>
      <w:pPr>
        <w:pStyle w:val="Normal"/>
        <w:spacing w:after="120" w:line="240" w:lineRule="auto"/>
        <w:keepLines/>
      </w:pPr>
      <w:r>
        <w:t xml:space="preserve">Configuration identification shall ensure that each SG Homie component, document and delivery can be traced to its owner, exact revision and approval status. A configuration item is an artefact, or a defined group of artefacts, that must be controlled to reproduce, test or deliver the system.</w:t>
      </w:r>
    </w:p>
    <w:p>
      <w:pPr>
        <w:pStyle w:val="Heading2"/>
      </w:pPr>
      <w:r>
        <w:t xml:space="preserve">Identification rules</w:t>
      </w:r>
    </w:p>
    <w:p>
      <w:pPr>
        <w:pStyle w:val="Normal"/>
        <w:spacing w:after="120" w:line="240" w:lineRule="auto"/>
        <w:keepLines/>
      </w:pPr>
      <w:r>
        <w:t xml:space="preserve">The Release Engineer/Manager shall maintain a configuration register containing each item's identifier, title, owner, authoritative location, revision, status and associated baseline. Status shall distinguish working, under review, approved and superseded items. Existing source filenames shall remain unchanged; the register shall map logical identifiers to repository paths or controlled archive locations.</w:t>
      </w:r>
    </w:p>
    <w:p>
      <w:pPr>
        <w:pStyle w:val="Heading3"/>
      </w:pPr>
      <w:r>
        <w:t xml:space="preserve">Identification rules of configuration items</w:t>
      </w:r>
    </w:p>
    <w:p>
      <w:pPr>
        <w:pStyle w:val="Heading4"/>
      </w:pPr>
      <w:r>
        <w:t xml:space="preserve">Identification of a configuration item</w:t>
      </w:r>
    </w:p>
    <w:p>
      <w:pPr>
        <w:pStyle w:val="Normal"/>
        <w:spacing w:after="120" w:line="240" w:lineRule="auto"/>
        <w:keepLines/>
      </w:pPr>
      <w:r>
        <w:t xml:space="preserve">Items shall use the identifier SGH-&lt;category&gt;-&lt;number&gt;, where SGH identifies SG Homie, the category identifies the item type and the three-digit number is allocated sequentially within that category. Identifiers shall remain stable and shall not be reused after retirement. The following entries define the initial grouping; additional items may be registered as needed.</w:t>
      </w:r>
    </w:p>
    <w:tbl>
      <w:tblPr>
        <w:tblW w:w="8221" w:type="dxa"/>
        <w:jc w:val="start"/>
        <w:tblInd w:w="496" w:type="dxa"/>
        <w:tblLayout w:type="fixed"/>
        <w:tblCellMar>
          <w:top w:w="0" w:type="dxa"/>
          <w:start w:w="70" w:type="dxa"/>
          <w:bottom w:w="0" w:type="dxa"/>
          <w:end w:w="70" w:type="dxa"/>
        </w:tblCellMar>
      </w:tblPr>
      <w:tblGrid>
        <w:gridCol w:w="1631"/>
        <w:gridCol w:w="6590"/>
      </w:tblGrid>
      <w:tr>
        <w:trPr>
          <w:cantSplit/>
          <w:cantSplit/>
          <w:tblHeader/>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Item identifier</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Controlled content</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SGH-FE-001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Frontend source, UI assets, build configuration and tests for the React, Vite and TypeScript application.</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SGH-BE-001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Supabase server-side application code, integration adapters and backend interface contracts.</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SGH-DB-001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Database schema, migrations, RLS policies and database functions; separately labelled local demo seed data.</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SGH-CFG-001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Non-secret configuration, environment templates and deployment definitions for each managed component.</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SGH-DEP-001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Approved dependency manifests, generated lockfiles and resolved runtime environments for the frontend, backend and Price Predictor.</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SGH-TST-001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Application and Price Predictor tests, API contract checks and versioned test reports.</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SGH-DOC-001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Requirements, design, SCM, interface, setup, user and release documentation.</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SGH-PP-001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Price Predictor FastAPI service source, request and response schemas, feature contract and model-loading code.</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SGH-MDL-001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Price Predictor model binary, preprocessing and uncertainty state, metadata and integrity manifest in controlled artefact storage.</w:t>
            </w:r>
          </w:p>
        </w:tc>
      </w:tr>
      <w:tr>
        <w:trPr>
          <w:cantSplit/>
          <w:cantSplit/>
        </w:trPr>
        <w:tc>
          <w:tcPr>
            <w:tcW w:w="1631"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SGH-RES-001</w:t>
            </w:r>
          </w:p>
        </w:tc>
        <w:tc>
          <w:tcPr>
            <w:tcW w:w="6590"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Price Predictor training and evaluation code, data preparation rules, experiment records and dataset provenance.</w:t>
            </w:r>
          </w:p>
        </w:tc>
      </w:tr>
    </w:tbl>
    <w:p>
      <w:pPr>
        <w:pStyle w:val="Normal"/>
        <w:spacing w:after="40" w:line="240" w:lineRule="auto"/>
        <w:keepLines/>
      </w:pPr>
      <w:r>
        <w:t xml:space="preserve"/>
      </w:r>
    </w:p>
    <w:p>
      <w:pPr>
        <w:pStyle w:val="Normal"/>
        <w:spacing w:after="120" w:line="240" w:lineRule="auto"/>
        <w:keepLines/>
      </w:pPr>
      <w:r>
        <w:t xml:space="preserve">Files within a group shall be identified by their repository-relative path and full Git commit hash. Database migrations shall retain timestamped filenames in the form YYYYMMDDHHMMSS_description.sql. A schema change shall use a new migration; an applied migration shall not be rewritten. Model binaries and datasets shall be held outside ordinary Git, with their version, checksum and controlled storage location recorded in the register. Retired experiments and superseded artefacts shall remain archived and shall not enter a production baseline without approval.</w:t>
      </w:r>
    </w:p>
    <w:p>
      <w:pPr>
        <w:pStyle w:val="Heading4"/>
      </w:pPr>
      <w:r>
        <w:t xml:space="preserve">Version number of a configuration item</w:t>
      </w:r>
    </w:p>
    <w:p>
      <w:pPr>
        <w:pStyle w:val="Normal"/>
        <w:spacing w:after="120" w:line="240" w:lineRule="auto"/>
        <w:keepLines/>
      </w:pPr>
      <w:r>
        <w:t xml:space="preserve">Every delivered item shall have an identifiable revision. Source revisions shall use the full Git commit hash, while approved application releases shall use vMAJOR.MINOR.PATCH. MAJOR shall increase for an incompatible change to an external contract, MINOR for compatible new functionality, and PATCH for compatible fixes. A candidate may use a suffix such as -rc.1. For example, v1.2.0 and v1.2.1 illustrate the format; they do not identify existing releases.</w:t>
      </w:r>
    </w:p>
    <w:p>
      <w:pPr>
        <w:pStyle w:val="Normal"/>
        <w:spacing w:after="120" w:line="240" w:lineRule="auto"/>
        <w:keepLines/>
      </w:pPr>
      <w:r>
        <w:t xml:space="preserve">The release manifest shall map each included item to its exact revision. An unchanged item may retain its previous revision in a later release. Modified deliveries shall receive a new release or document revision, and an approved tag shall never be moved or reused. Frontend package metadata shall be aligned with the application version when preparing a release.</w:t>
      </w:r>
    </w:p>
    <w:p>
      <w:pPr>
        <w:pStyle w:val="Normal"/>
        <w:spacing w:after="120" w:line="240" w:lineRule="auto"/>
        <w:keepLines/>
      </w:pPr>
      <w:r>
        <w:t xml:space="preserve">Price Predictor shall have an independent service release version. Its release record shall identify the compatible API contract, feature schema, bundle format and model-bundle versions; these need not match the SG Homie application version. A replacement model, preprocessing rule or uncertainty calibration shall receive a new immutable bundle identity and validation evidence. Incompatible interfaces or schemas shall require impact review and, where necessary, compatible loader and backend changes.</w:t>
      </w:r>
    </w:p>
    <w:p>
      <w:pPr>
        <w:pStyle w:val="Normal"/>
        <w:spacing w:after="120" w:line="240" w:lineRule="auto"/>
        <w:keepLines/>
      </w:pPr>
      <w:r>
        <w:t xml:space="preserve">The Price Predictor interface specification shall define property inputs, units, validation rules, estimate and range outputs, model identity, authentication and error responses. The backend shall construct trusted inputs and hold service credentials. The frontend shall access estimates through that backend interface. Inference shall load a previously validated bundle. Training, recalibration and model selection shall use a separately controlled workflow, never service startup or prediction requests.</w:t>
      </w:r>
    </w:p>
    <w:p>
      <w:pPr>
        <w:pStyle w:val="Heading3"/>
      </w:pPr>
      <w:r>
        <w:t xml:space="preserve">Identification rules of SOUPs</w:t>
      </w:r>
    </w:p>
    <w:p>
      <w:pPr>
        <w:pStyle w:val="Heading4"/>
      </w:pPr>
      <w:r>
        <w:t xml:space="preserve">Identification of a SOUP</w:t>
      </w:r>
    </w:p>
    <w:p>
      <w:pPr>
        <w:pStyle w:val="Normal"/>
        <w:spacing w:after="120" w:line="240" w:lineRule="auto"/>
        <w:keepLines/>
      </w:pPr>
      <w:r>
        <w:t xml:space="preserve">Software of unknown provenance (SOUP) covers third-party software whose development records are not controlled by the team. The agreed platform technologies are React, Vite and TypeScript for the frontend, Supabase for the backend, and FastAPI for Price Predictor. The Price Predictor service is internally managed; its framework and other third-party dependencies are SOUP items. Additional libraries, tools and suppliers shall be evaluated before adoption, then recorded by official name, supplier, source, purpose and licence where applicable.</w:t>
      </w:r>
    </w:p>
    <w:p>
      <w:pPr>
        <w:pStyle w:val="Heading4"/>
      </w:pPr>
      <w:r>
        <w:t xml:space="preserve">Version number of a SOUP</w:t>
      </w:r>
    </w:p>
    <w:p>
      <w:pPr>
        <w:pStyle w:val="Normal"/>
        <w:spacing w:after="120" w:line="240" w:lineRule="auto"/>
        <w:keepLines/>
      </w:pPr>
      <w:r>
        <w:t xml:space="preserve">Approved dependency records shall identify exact resolved versions. Manifests shall declare dependency requirements, while supported lockfiles shall record the resolved dependency graph and integrity information. The selected package manager shall automatically generate and update its lockfile. Lockfiles shall never be manually edited. The manifest and generated lockfile shall be reviewed and committed together.</w:t>
      </w:r>
    </w:p>
    <w:p>
      <w:pPr>
        <w:pStyle w:val="Normal"/>
        <w:spacing w:after="120" w:line="240" w:lineRule="auto"/>
        <w:keepLines/>
      </w:pPr>
      <w:r>
        <w:t xml:space="preserve">Lockfile conflicts shall be resolved by reconciling the manifest and regenerating the lockfile with the recorded package-manager version, followed by a clean installation and relevant checks. Build records shall identify exact runtime, build-tool and package-manager versions. Where a lockfile is unavailable, an equivalent resolved environment record shall be retained. Price Predictor records shall cover both training and inference environments, including relevant accelerator and driver versions when results depend on them.</w:t>
      </w:r>
    </w:p>
    <w:p>
      <w:pPr>
        <w:pStyle w:val="Normal"/>
        <w:spacing w:after="120" w:line="240" w:lineRule="auto"/>
        <w:keepLines/>
      </w:pPr>
      <w:r>
        <w:t xml:space="preserve">External capabilities, such as mapping, geospatial search and conversational AI, shall be recorded by purpose until supplier selection is approved. After selection, the environment record shall identify the supplier, API version or contract, endpoint, relevant non-secret settings and verification date. An inability to pin an immutable service version shall be recorded and assessed. Supplier replacements shall follow change control. Credentials shall remain in approved secret storage; SCM records shall contain only credential references and responsible roles, never secret values.</w:t>
      </w:r>
    </w:p>
    <w:p>
      <w:pPr>
        <w:pStyle w:val="Heading3"/>
      </w:pPr>
      <w:r>
        <w:t xml:space="preserve">Identification rules of documents</w:t>
      </w:r>
    </w:p>
    <w:p>
      <w:pPr>
        <w:pStyle w:val="Heading4"/>
      </w:pPr>
      <w:r>
        <w:t xml:space="preserve">Description of document identifiers</w:t>
      </w:r>
    </w:p>
    <w:p>
      <w:pPr>
        <w:pStyle w:val="Normal"/>
        <w:spacing w:after="120" w:line="240" w:lineRule="auto"/>
        <w:keepLines/>
        <w:keepNext/>
      </w:pPr>
      <w:r>
        <w:t xml:space="preserve">Controlled documents shall use SGH_&lt;type&gt;_&lt;number&gt;_&lt;revision&gt;. SGH identifies the project; the three-digit number is allocated separately within each type. The revision index follows Section 3.1.3.2. The examples below illustrate the convention only.</w:t>
      </w:r>
    </w:p>
    <w:tbl>
      <w:tblPr>
        <w:tblW w:w="8221" w:type="dxa"/>
        <w:jc w:val="start"/>
        <w:tblInd w:w="496" w:type="dxa"/>
        <w:tblLayout w:type="fixed"/>
        <w:tblCellMar>
          <w:top w:w="0" w:type="dxa"/>
          <w:start w:w="70" w:type="dxa"/>
          <w:bottom w:w="0" w:type="dxa"/>
          <w:end w:w="70" w:type="dxa"/>
        </w:tblCellMar>
      </w:tblPr>
      <w:tblGrid>
        <w:gridCol w:w="3262"/>
        <w:gridCol w:w="913"/>
        <w:gridCol w:w="4046"/>
      </w:tblGrid>
      <w:tr>
        <w:trPr>
          <w:cantSplit/>
          <w:cantSplit/>
          <w:tblHeader/>
        </w:trPr>
        <w:tc>
          <w:tcPr>
            <w:tcW w:w="3262"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Document type</w:t>
            </w:r>
          </w:p>
        </w:tc>
        <w:tc>
          <w:tcPr>
            <w:tcW w:w="91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center"/>
              <w:keepNext/>
            </w:pPr>
            <w:r>
              <w:rPr>
                <w:b/>
              </w:rPr>
              <w:t xml:space="preserve">Code</w:t>
            </w:r>
          </w:p>
        </w:tc>
        <w:tc>
          <w:tcPr>
            <w:tcW w:w="4046"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Example identifier</w:t>
            </w:r>
          </w:p>
        </w:tc>
      </w:tr>
      <w:tr>
        <w:trPr>
          <w:cantSplit/>
          <w:cantSplit/>
        </w:trPr>
        <w:tc>
          <w:tcPr>
            <w:tcW w:w="3262"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Requirements specification</w:t>
            </w:r>
          </w:p>
        </w:tc>
        <w:tc>
          <w:tcPr>
            <w:tcW w:w="91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center"/>
            </w:pPr>
            <w:r>
              <w:t xml:space="preserve">SRS</w:t>
            </w:r>
          </w:p>
        </w:tc>
        <w:tc>
          <w:tcPr>
            <w:tcW w:w="4046"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SGH_SRS_001_V1</w:t>
            </w:r>
          </w:p>
        </w:tc>
      </w:tr>
      <w:tr>
        <w:trPr>
          <w:cantSplit/>
          <w:cantSplit/>
        </w:trPr>
        <w:tc>
          <w:tcPr>
            <w:tcW w:w="3262"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Design description</w:t>
            </w:r>
          </w:p>
        </w:tc>
        <w:tc>
          <w:tcPr>
            <w:tcW w:w="91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center"/>
            </w:pPr>
            <w:r>
              <w:t xml:space="preserve">SDD</w:t>
            </w:r>
          </w:p>
        </w:tc>
        <w:tc>
          <w:tcPr>
            <w:tcW w:w="4046"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SGH_SDD_001_V1</w:t>
            </w:r>
          </w:p>
        </w:tc>
      </w:tr>
      <w:tr>
        <w:trPr>
          <w:cantSplit/>
          <w:cantSplit/>
        </w:trPr>
        <w:tc>
          <w:tcPr>
            <w:tcW w:w="3262"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Configuration management plan</w:t>
            </w:r>
          </w:p>
        </w:tc>
        <w:tc>
          <w:tcPr>
            <w:tcW w:w="91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center"/>
            </w:pPr>
            <w:r>
              <w:t xml:space="preserve">SCM</w:t>
            </w:r>
          </w:p>
        </w:tc>
        <w:tc>
          <w:tcPr>
            <w:tcW w:w="4046"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SGH_SCM_001_V1</w:t>
            </w:r>
          </w:p>
        </w:tc>
      </w:tr>
      <w:tr>
        <w:trPr>
          <w:cantSplit/>
          <w:cantSplit/>
        </w:trPr>
        <w:tc>
          <w:tcPr>
            <w:tcW w:w="3262"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Test documents</w:t>
            </w:r>
          </w:p>
        </w:tc>
        <w:tc>
          <w:tcPr>
            <w:tcW w:w="91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center"/>
            </w:pPr>
            <w:r>
              <w:t xml:space="preserve">TST</w:t>
            </w:r>
          </w:p>
        </w:tc>
        <w:tc>
          <w:tcPr>
            <w:tcW w:w="4046"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SGH_TST_001_V1</w:t>
            </w:r>
          </w:p>
        </w:tc>
      </w:tr>
      <w:tr>
        <w:trPr>
          <w:cantSplit/>
          <w:cantSplit/>
        </w:trPr>
        <w:tc>
          <w:tcPr>
            <w:tcW w:w="3262"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Version Delivery Description</w:t>
            </w:r>
          </w:p>
        </w:tc>
        <w:tc>
          <w:tcPr>
            <w:tcW w:w="91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center"/>
            </w:pPr>
            <w:r>
              <w:t xml:space="preserve">VDD</w:t>
            </w:r>
          </w:p>
        </w:tc>
        <w:tc>
          <w:tcPr>
            <w:tcW w:w="4046"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SGH_VDD_001_V1</w:t>
            </w:r>
          </w:p>
        </w:tc>
      </w:tr>
    </w:tbl>
    <w:p>
      <w:pPr>
        <w:pStyle w:val="Normal"/>
        <w:spacing w:after="120" w:line="240" w:lineRule="auto" w:before="100"/>
        <w:keepLines/>
      </w:pPr>
      <w:r>
        <w:t xml:space="preserve">Repository documents may retain readable filenames. The configuration register shall map each controlled document to its identifier, approved revision, authoritative location and exact Git revision where applicable.</w:t>
      </w:r>
    </w:p>
    <w:p>
      <w:pPr>
        <w:pStyle w:val="Heading4"/>
      </w:pPr>
      <w:r>
        <w:t xml:space="preserve">Definition and evolution of the revision index</w:t>
      </w:r>
    </w:p>
    <w:p>
      <w:pPr>
        <w:pStyle w:val="Normal"/>
        <w:spacing w:after="120" w:line="240" w:lineRule="auto"/>
        <w:keepLines/>
      </w:pPr>
      <w:r>
        <w:t xml:space="preserve">Drafts shall use D1, D2 and subsequent draft indices. The first approved issue shall use V1; each approved revision shall increment to V2, V3 and so on before distribution. A working revision based on V1 may use V1-D1 until approved as V2. Each revision record shall state the date, affected sections, reason for change, author role and approving role. Superseded approved versions shall remain retrievable.</w:t>
      </w:r>
    </w:p>
    <w:p>
      <w:pPr>
        <w:pStyle w:val="Heading3"/>
      </w:pPr>
      <w:r>
        <w:t xml:space="preserve">Identification rules of a media</w:t>
      </w:r>
    </w:p>
    <w:p>
      <w:pPr>
        <w:pStyle w:val="Normal"/>
        <w:spacing w:after="120" w:line="240" w:lineRule="auto"/>
        <w:keepLines/>
        <w:keepNext/>
      </w:pPr>
      <w:r>
        <w:t xml:space="preserve">SG Homie shall use electronic delivery media held in the approved repository or access-controlled artefact store. Each delivery shall identify its format, contents, version and custodian. A running service URL shall not substitute for the controlled package and deployment record.</w:t>
      </w:r>
    </w:p>
    <w:tbl>
      <w:tblPr>
        <w:tblW w:w="8221" w:type="dxa"/>
        <w:jc w:val="start"/>
        <w:tblInd w:w="496" w:type="dxa"/>
        <w:tblLayout w:type="fixed"/>
        <w:tblCellMar>
          <w:top w:w="0" w:type="dxa"/>
          <w:start w:w="70" w:type="dxa"/>
          <w:bottom w:w="0" w:type="dxa"/>
          <w:end w:w="70" w:type="dxa"/>
        </w:tblCellMar>
      </w:tblPr>
      <w:tblGrid>
        <w:gridCol w:w="2088"/>
        <w:gridCol w:w="6133"/>
      </w:tblGrid>
      <w:tr>
        <w:trPr>
          <w:cantSplit/>
          <w:cantSplit/>
          <w:tblHeader/>
        </w:trPr>
        <w:tc>
          <w:tcPr>
            <w:tcW w:w="2088"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Delivery medium</w:t>
            </w:r>
          </w:p>
        </w:tc>
        <w:tc>
          <w:tcPr>
            <w:tcW w:w="613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Format and management</w:t>
            </w:r>
          </w:p>
        </w:tc>
      </w:tr>
      <w:tr>
        <w:trPr>
          <w:cantSplit/>
          <w:cantSplit/>
        </w:trPr>
        <w:tc>
          <w:tcPr>
            <w:tcW w:w="2088"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Source and deployment archives</w:t>
            </w:r>
          </w:p>
        </w:tc>
        <w:tc>
          <w:tcPr>
            <w:tcW w:w="613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ZIP or TAR.GZ packages containing approved source or build outputs, deployment definitions, release manifest and checksums.</w:t>
            </w:r>
          </w:p>
        </w:tc>
      </w:tr>
      <w:tr>
        <w:trPr>
          <w:cantSplit/>
          <w:cantSplit/>
        </w:trPr>
        <w:tc>
          <w:tcPr>
            <w:tcW w:w="2088"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Price Predictor model bundles</w:t>
            </w:r>
          </w:p>
        </w:tc>
        <w:tc>
          <w:tcPr>
            <w:tcW w:w="613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Model binaries with required preprocessing, calibration, metadata and integrity records. Store separately from ordinary Git and link them to the approved service release.</w:t>
            </w:r>
          </w:p>
        </w:tc>
      </w:tr>
      <w:tr>
        <w:trPr>
          <w:cantSplit/>
          <w:cantSplit/>
        </w:trPr>
        <w:tc>
          <w:tcPr>
            <w:tcW w:w="2088"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Document copies</w:t>
            </w:r>
          </w:p>
        </w:tc>
        <w:tc>
          <w:tcPr>
            <w:tcW w:w="613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Editable DOCX files and PDF delivery copies, identified by document number and revision; retain the authoritative editable source.</w:t>
            </w:r>
          </w:p>
        </w:tc>
      </w:tr>
      <w:tr>
        <w:trPr>
          <w:cantSplit/>
          <w:cantSplit/>
        </w:trPr>
        <w:tc>
          <w:tcPr>
            <w:tcW w:w="2088"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Container images if adopted</w:t>
            </w:r>
          </w:p>
        </w:tc>
        <w:tc>
          <w:tcPr>
            <w:tcW w:w="6133"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Store in an approved registry and identify by immutable digest, with the build definition and compatible service and model versions recorded.</w:t>
            </w:r>
          </w:p>
        </w:tc>
      </w:tr>
    </w:tbl>
    <w:p>
      <w:pPr>
        <w:pStyle w:val="Heading4"/>
      </w:pPr>
      <w:r>
        <w:t xml:space="preserve">Internal identification</w:t>
      </w:r>
    </w:p>
    <w:p>
      <w:pPr>
        <w:pStyle w:val="Normal"/>
        <w:spacing w:after="120" w:line="240" w:lineRule="auto"/>
        <w:keepLines/>
        <w:jc w:val="start"/>
      </w:pPr>
      <w:r>
        <w:t xml:space="preserve">Archive packages shall use SGH_&lt;component&gt;_&lt;release&gt;_&lt;environment&gt;_&lt;date&gt;_&lt;volume&gt;.&lt;extension&gt;. The component identifies SG Homie or Price Predictor, the date uses YYYYMMDD and the volume distinguishes multiple packages. SGH_PricePredictor_v1.0.0_demo_20261019_01.zip illustrates the format only. Each archive record shall state its storage location, custodian and SHA-256 checksum. Documents shall use their controlled document identifiers; container records, if used, shall state the registry reference and immutable image digest.</w:t>
      </w:r>
    </w:p>
    <w:p>
      <w:pPr>
        <w:pStyle w:val="Normal"/>
        <w:spacing w:after="120" w:line="240" w:lineRule="auto"/>
        <w:keepLines/>
      </w:pPr>
      <w:r>
        <w:t xml:space="preserve">Delivery archives shall exclude secrets, personal data, raw or generated processed research datasets, dependency installation folders and incidental local files. Dataset snapshots shall be retained separately under controlled access according to their permitted use. Model bundles shall have immutable identifiers, checksums and approval records; a later delivery shall not silently overwrite an earlier model or calibration state.</w:t>
      </w:r>
    </w:p>
    <w:p>
      <w:pPr>
        <w:pStyle w:val="Heading2"/>
      </w:pPr>
      <w:r>
        <w:t xml:space="preserve">Reference configuration identification</w:t>
      </w:r>
    </w:p>
    <w:p>
      <w:pPr>
        <w:pStyle w:val="Normal"/>
        <w:spacing w:after="120" w:line="240" w:lineRule="auto"/>
        <w:keepLines/>
      </w:pPr>
      <w:r>
        <w:t xml:space="preserve">A reference configuration shall identify an approved collection of item revisions at a review or delivery milestone. It shall use SGH-&lt;baseline type&gt;-&lt;sequence&gt;, for example SGH-ABL-001. The identifier shall link an immutable Git tag to a Version Delivery Description listing the exact component revisions, document revisions, dependency records, build instructions, review decisions, test evidence and known limitations. Approved reference configurations shall be established at requirements, design and test acceptance reviews.</w:t>
      </w:r>
    </w:p>
    <w:p>
      <w:pPr>
        <w:pStyle w:val="Normal"/>
        <w:spacing w:after="120" w:line="240" w:lineRule="auto"/>
        <w:keepLines/>
      </w:pPr>
      <w:r>
        <w:t xml:space="preserve">Each record shall distinguish an approved source baseline from deployment status. For each environment it shall identify the frontend build, backend revision and migration history, Price Predictor service release, compatible API and feature-schema versions, selected model bundle and checksum, non-secret configuration and verification date. Undeployed components shall be marked accordingly. Repository contents and approval records alone shall not establish that a hosted environment matches the baseline.</w:t>
      </w:r>
    </w:p>
    <w:p>
      <w:pPr>
        <w:pStyle w:val="Normal"/>
        <w:spacing w:after="120" w:line="240" w:lineRule="auto"/>
        <w:keepLines/>
      </w:pPr>
      <w:r>
        <w:t xml:space="preserve">The Price Predictor model record shall link the bundle to its training-source revision, dataset identity and checksum, retrieval and covered periods, chronological fitting, validation and test periods, calibration periods where applicable, feature and preprocessing specification, model configuration, resolved environment, evaluation evidence and known limitations. A bundle shall include an integrity manifest. Startup shall reject missing, corrupt or incompatible bundles; readiness and authenticated model information shall identify the selected configuration.</w:t>
      </w:r>
    </w:p>
    <w:p>
      <w:pPr>
        <w:pStyle w:val="Normal"/>
        <w:spacing w:after="120" w:line="240" w:lineRule="auto"/>
        <w:keepLines/>
      </w:pPr>
      <w:r>
        <w:t xml:space="preserve">Before delivery, QA shall verify readiness, an authorised prediction, rejection of unauthorised and invalid requests, bundle integrity and an end-to-end backend request. The Release Engineer/Manager shall preserve the last compatible service, model and configuration combination. Recovery shall restore that approved combination and repeat the applicable checks. Any rollback involving database changes shall use an approved migration and recovery procedure and follow the change control in Section 4.</w:t>
      </w:r>
    </w:p>
    <w:p>
      <w:pPr>
        <w:pStyle w:val="Heading2"/>
      </w:pPr>
      <w:r>
        <w:t xml:space="preserve">Configuration Baseline Management</w:t>
      </w:r>
    </w:p>
    <w:p>
      <w:pPr>
        <w:pStyle w:val="Normal"/>
        <w:spacing w:after="120" w:line="240" w:lineRule="auto"/>
        <w:keepLines/>
        <w:keepNext/>
      </w:pPr>
      <w:r>
        <w:t xml:space="preserve">The following baselines shall be established after the corresponding reviews. The Project Manager shall approve each baseline following technical review by the Lead Developer and quality review by the QA Manager. The Release Engineer/Manager shall record and preserve the approved configuration.</w:t>
      </w:r>
    </w:p>
    <w:tbl>
      <w:tblPr>
        <w:tblW w:w="8221" w:type="dxa"/>
        <w:jc w:val="start"/>
        <w:tblInd w:w="496" w:type="dxa"/>
        <w:tblLayout w:type="fixed"/>
        <w:tblCellMar>
          <w:top w:w="0" w:type="dxa"/>
          <w:start w:w="70" w:type="dxa"/>
          <w:bottom w:w="0" w:type="dxa"/>
          <w:end w:w="70" w:type="dxa"/>
        </w:tblCellMar>
      </w:tblPr>
      <w:tblGrid>
        <w:gridCol w:w="1957"/>
        <w:gridCol w:w="6264"/>
      </w:tblGrid>
      <w:tr>
        <w:trPr>
          <w:cantSplit/>
          <w:cantSplit/>
          <w:tblHeader/>
        </w:trPr>
        <w:tc>
          <w:tcPr>
            <w:tcW w:w="195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Baseline</w:t>
            </w:r>
          </w:p>
        </w:tc>
        <w:tc>
          <w:tcPr>
            <w:tcW w:w="626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keepNext/>
            </w:pPr>
            <w:r>
              <w:rPr>
                <w:b/>
              </w:rPr>
              <w:t xml:space="preserve">Establishment and controlled content</w:t>
            </w:r>
          </w:p>
        </w:tc>
      </w:tr>
      <w:tr>
        <w:trPr>
          <w:cantSplit/>
          <w:cantSplit/>
        </w:trPr>
        <w:tc>
          <w:tcPr>
            <w:tcW w:w="195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Functional baseline
FBL</w:t>
            </w:r>
          </w:p>
        </w:tc>
        <w:tc>
          <w:tcPr>
            <w:tcW w:w="626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Established at requirements approval. Contains the accepted SRS, agreed buyer, seller and administrator workflows, non-functional requirements and acceptance criteria.</w:t>
            </w:r>
          </w:p>
        </w:tc>
      </w:tr>
      <w:tr>
        <w:trPr>
          <w:cantSplit/>
          <w:cantSplit/>
        </w:trPr>
        <w:tc>
          <w:tcPr>
            <w:tcW w:w="195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Allocated baseline</w:t>
              <w:br/>
              <w:t xml:space="preserve">ABL</w:t>
            </w:r>
          </w:p>
        </w:tc>
        <w:tc>
          <w:tcPr>
            <w:tcW w:w="626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Established at design approval. Contains the approved architecture, frontend and backend boundaries, Price Predictor API and feature contracts, database and access-control design, and component specifications traced to requirements.</w:t>
            </w:r>
          </w:p>
        </w:tc>
      </w:tr>
      <w:tr>
        <w:trPr>
          <w:cantSplit/>
          <w:cantSplit/>
        </w:trPr>
        <w:tc>
          <w:tcPr>
            <w:tcW w:w="1957"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Product baseline</w:t>
              <w:br/>
              <w:t xml:space="preserve">PBL</w:t>
            </w:r>
          </w:p>
        </w:tc>
        <w:tc>
          <w:tcPr>
            <w:tcW w:w="6264" w:type="dxa"/>
            <w:tcBorders>
              <w:top w:val="single" w:sz="6" w:space="0" w:color="000000"/>
              <w:start w:val="single" w:sz="6" w:space="0" w:color="000000"/>
              <w:bottom w:val="single" w:sz="6" w:space="0" w:color="000000"/>
              <w:end w:val="single" w:sz="6" w:space="0" w:color="000000"/>
            </w:tcBorders>
            <w:tcMar>
              <w:top w:w="45" w:type="dxa"/>
              <w:bottom w:w="45" w:type="dxa"/>
              <w:left w:w="70" w:type="dxa"/>
              <w:right w:w="70" w:type="dxa"/>
            </w:tcMar>
            <w:vAlign w:val="center"/>
          </w:tcPr>
          <w:p>
            <w:pPr>
              <w:pStyle w:val="Normal"/>
              <w:spacing w:after="0" w:line="240" w:lineRule="auto"/>
              <w:keepLines/>
              <w:jc w:val="start"/>
            </w:pPr>
            <w:r>
              <w:t xml:space="preserve">Established at test acceptance before authorised delivery. Contains accepted application and Price Predictor revisions, the compatible model bundle and checksum, migrations, dependency records, deployment and recovery instructions, test evidence, documentation and VDD.</w:t>
            </w:r>
          </w:p>
        </w:tc>
      </w:tr>
    </w:tbl>
    <w:p>
      <w:pPr>
        <w:pStyle w:val="Normal"/>
        <w:spacing w:after="40" w:line="240" w:lineRule="auto"/>
        <w:keepLines/>
      </w:pPr>
      <w:r>
        <w:t xml:space="preserve"/>
      </w:r>
    </w:p>
    <w:p>
      <w:pPr>
        <w:pStyle w:val="Normal"/>
        <w:spacing w:after="120" w:line="240" w:lineRule="auto"/>
        <w:keepLines/>
      </w:pPr>
      <w:r>
        <w:t xml:space="preserve">Once approved, a baseline shall be frozen. Subsequent changes shall follow Section 4 and create a new baseline sequence while preserving the previous one. Demo inputs and research models shall remain clearly labelled. Production acceptance of a Price Predictor model shall require leakage checks, chronological validation, final test evaluation against a suitable baseline, uncertainty assessment and recorded approval. Deploying a research or demo bundle shall not establish production approval.</w:t>
      </w:r>
    </w:p>
    <w:sectPr>
      <w:headerReference w:type="default" r:id="rId6"/>
      <w:footerReference w:type="default" r:id="rId7"/>
      <w:type w:val="nextPage"/>
      <w:pgSz w:w="11906" w:h="16838"/>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auto"/>
    <w:pitch w:val="variable"/>
  </w:font>
  <w:font w:name="Wingdings">
    <w:charset w:val="02"/>
    <w:family w:val="auto"/>
    <w:pitch w:val="variable"/>
  </w:font>
  <w:font w:name="Symbol">
    <w:charset w:val="02"/>
    <w:family w:val="auto"/>
    <w:pitch w:val="variable"/>
  </w:font>
  <w:font w:name="Courier New">
    <w:charset w:val="00"/>
    <w:family w:val="auto"/>
    <w:pitch w:val="variable"/>
  </w:font>
  <w:font w:name="Lucida Grande">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sz w:val="16"/>
      </w:rPr>
    </w:pPr>
    <w:r>
      <w:rPr>
        <w:sz w:val="16"/>
      </w:rPr>
      <w:t>This Template is the property of Cyrille Michaud</w:t>
    </w:r>
  </w:p>
  <w:p>
    <w:pPr>
      <w:pStyle w:val="Normal"/>
      <w:tabs>
        <w:tab w:val="clear" w:pos="708"/>
        <w:tab w:val="center" w:pos="4419" w:leader="none"/>
        <w:tab w:val="left" w:pos="6371" w:leader="none"/>
      </w:tabs>
      <w:jc w:val="center"/>
      <w:rPr/>
    </w:pPr>
    <w:r>
      <w:rPr>
        <w:sz w:val="16"/>
      </w:rPr>
      <w:t xml:space="preserve">License terms : see </w:t>
    </w:r>
    <w:hyperlink r:id="rId1">
      <w:r>
        <w:rPr>
          <w:rStyle w:val="Hyperlink"/>
          <w:sz w:val="16"/>
        </w:rPr>
        <w:t>http://blog.cm-dm.com/post/2011/11/04/License</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start"/>
      <w:tblInd w:w="-214" w:type="dxa"/>
      <w:tblLayout w:type="fixed"/>
      <w:tblCellMar>
        <w:top w:w="0" w:type="dxa"/>
        <w:start w:w="70" w:type="dxa"/>
        <w:bottom w:w="0" w:type="dxa"/>
        <w:end w:w="70" w:type="dxa"/>
      </w:tblCellMar>
    </w:tblPr>
    <w:tblGrid>
      <w:gridCol w:w="3403"/>
      <w:gridCol w:w="3402"/>
      <w:gridCol w:w="2551"/>
    </w:tblGrid>
    <w:tr>
      <w:trPr>
        <w:trHeight w:val="473" w:hRule="atLeast"/>
      </w:trPr>
      <w:tc>
        <w:tcPr>
          <w:tcW w:w="9356" w:type="dxa"/>
          <w:gridSpan w:val="3"/>
          <w:tcBorders>
            <w:top w:val="single" w:sz="4" w:space="0" w:color="000000"/>
            <w:start w:val="single" w:sz="4" w:space="0" w:color="000000"/>
            <w:bottom w:val="single" w:sz="4" w:space="0" w:color="000000"/>
            <w:end w:val="single" w:sz="4" w:space="0" w:color="000000"/>
          </w:tcBorders>
          <w:vAlign w:val="center"/>
        </w:tcPr>
        <w:p>
          <w:pPr>
            <w:pStyle w:val="Title"/>
            <w:jc w:val="center"/>
            <w:rPr>
              <w:b/>
            </w:rPr>
          </w:pPr>
          <w:r>
            <w:rPr>
              <w:b/>
              <w:color w:val="000000"/>
            </w:rPr>
            <w:t>Software Configuration Management Plan of SG Homie</w:t>
          </w:r>
        </w:p>
      </w:tc>
    </w:tr>
    <w:tr>
      <w:trPr>
        <w:trHeight w:val="428" w:hRule="atLeast"/>
      </w:trPr>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jc w:val="start"/>
            <w:rPr>
              <w:b/>
              <w:color w:val="C0C0C0"/>
              <w:szCs w:val="22"/>
            </w:rPr>
          </w:pPr>
          <w:r>
            <w:rPr>
              <w:b/>
              <w:color w:val="000000"/>
            </w:rPr>
            <w:t>SGH_SCM_001_D2</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color w:val="000000"/>
            </w:rPr>
            <w:t>Revision D2</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rPr>
            <w:t xml:space="preserve">Page </w:t>
          </w:r>
          <w:r>
            <w:rPr>
              <w:b/>
            </w:rPr>
            <w:fldChar w:fldCharType="begin"/>
          </w:r>
          <w:r>
            <w:rPr>
              <w:b/>
            </w:rPr>
            <w:instrText xml:space="preserve"> PAGE </w:instrText>
          </w:r>
          <w:r>
            <w:rPr>
              <w:b/>
            </w:rPr>
            <w:fldChar w:fldCharType="separate"/>
          </w:r>
          <w:r>
            <w:rPr>
              <w:b/>
            </w:rPr>
            <w:t>8</w:t>
          </w:r>
          <w:r>
            <w:rPr>
              <w:b/>
            </w:rPr>
            <w:fldChar w:fldCharType="end"/>
          </w:r>
          <w:r>
            <w:rPr>
              <w:b/>
            </w:rPr>
            <w:t xml:space="preserve"> / </w:t>
          </w:r>
          <w:r>
            <w:rPr>
              <w:b/>
            </w:rPr>
            <w:fldChar w:fldCharType="begin"/>
          </w:r>
          <w:r>
            <w:rPr>
              <w:b/>
            </w:rPr>
            <w:instrText xml:space="preserve"> NUMPAGES \* ARABIC </w:instrText>
          </w:r>
          <w:r>
            <w:rPr>
              <w:b/>
            </w:rPr>
            <w:fldChar w:fldCharType="separate"/>
          </w:r>
          <w:r>
            <w:rPr>
              <w:b/>
            </w:rPr>
            <w:t>8</w:t>
          </w:r>
          <w:r>
            <w:rPr>
              <w:b/>
            </w:rPr>
            <w:fldChar w:fldCharType="end"/>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rPr/>
    </w:lvl>
    <w:lvl w:ilvl="1">
      <w:start w:val="1"/>
      <w:numFmt w:val="decimal"/>
      <w:pStyle w:val="Heading2"/>
      <w:lvlText w:val="%1.%2"/>
      <w:lvlJc w:val="start"/>
      <w:pPr>
        <w:tabs>
          <w:tab w:val="num" w:pos="576"/>
        </w:tabs>
        <w:ind w:start="576" w:hanging="576"/>
      </w:pPr>
    </w:lvl>
    <w:lvl w:ilvl="2">
      <w:start w:val="1"/>
      <w:numFmt w:val="decimal"/>
      <w:pStyle w:val="Heading3"/>
      <w:lvlText w:val="%1.%2.%3"/>
      <w:lvlJc w:val="start"/>
      <w:pPr>
        <w:tabs>
          <w:tab w:val="num" w:pos="720"/>
        </w:tabs>
        <w:ind w:start="720" w:hanging="720"/>
      </w:pPr>
    </w:lvl>
    <w:lvl w:ilvl="3">
      <w:start w:val="1"/>
      <w:numFmt w:val="decimal"/>
      <w:pStyle w:val="Heading4"/>
      <w:lvlText w:val="%1.%2.%3.%4"/>
      <w:lvlJc w:val="start"/>
      <w:pPr>
        <w:tabs>
          <w:tab w:val="num" w:pos="864"/>
        </w:tabs>
        <w:ind w:start="864" w:hanging="864"/>
      </w:pPr>
    </w:lvl>
    <w:lvl w:ilvl="4">
      <w:start w:val="1"/>
      <w:numFmt w:val="decimal"/>
      <w:pStyle w:val="Heading5"/>
      <w:lvlText w:val="%1.%2.%3.%4.%5"/>
      <w:lvlJc w:val="start"/>
      <w:pPr>
        <w:tabs>
          <w:tab w:val="num" w:pos="1008"/>
        </w:tabs>
        <w:ind w:start="1008" w:hanging="1008"/>
      </w:pPr>
    </w:lvl>
    <w:lvl w:ilvl="5">
      <w:start w:val="1"/>
      <w:numFmt w:val="decimal"/>
      <w:pStyle w:val="Heading6"/>
      <w:lvlText w:val="%1.%2.%3.%4.%5.%6"/>
      <w:lvlJc w:val="start"/>
      <w:pPr>
        <w:tabs>
          <w:tab w:val="num" w:pos="1152"/>
        </w:tabs>
        <w:ind w:start="1152" w:hanging="1152"/>
      </w:pPr>
    </w:lvl>
    <w:lvl w:ilvl="6">
      <w:start w:val="1"/>
      <w:numFmt w:val="decimal"/>
      <w:pStyle w:val="Heading7"/>
      <w:lvlText w:val="%1.%2.%3.%4.%5.%6.%7"/>
      <w:lvlJc w:val="start"/>
      <w:pPr>
        <w:tabs>
          <w:tab w:val="num" w:pos="1296"/>
        </w:tabs>
        <w:ind w:start="1296" w:hanging="1296"/>
      </w:pPr>
    </w:lvl>
    <w:lvl w:ilvl="7">
      <w:start w:val="1"/>
      <w:numFmt w:val="decimal"/>
      <w:pStyle w:val="Heading8"/>
      <w:lvlText w:val="%1.%2.%3.%4.%5.%6.%7.%8"/>
      <w:lvlJc w:val="start"/>
      <w:pPr>
        <w:tabs>
          <w:tab w:val="num" w:pos="1440"/>
        </w:tabs>
        <w:ind w:start="1440" w:hanging="1440"/>
      </w:pPr>
    </w:lvl>
    <w:lvl w:ilvl="8">
      <w:start w:val="1"/>
      <w:numFmt w:val="decimal"/>
      <w:pStyle w:val="Heading9"/>
      <w:lvlText w:val="%1.%2.%3.%4.%5.%6.%7.%8.%9"/>
      <w:lvlJc w:val="start"/>
      <w:pPr>
        <w:tabs>
          <w:tab w:val="num" w:pos="1584"/>
        </w:tabs>
        <w:ind w:start="1584" w:hanging="1584"/>
      </w:pPr>
    </w:lvl>
  </w:abstractNum>
  <w:abstractNum w:abstractNumId="2">
    <w:lvl w:ilvl="0">
      <w:start w:val="1"/>
      <w:numFmt w:val="bullet"/>
      <w:lvlText w:val="•"/>
      <w:lvlJc w:val="start"/>
      <w:pPr>
        <w:tabs>
          <w:tab w:val="num" w:pos="0"/>
        </w:tabs>
        <w:ind w:start="720" w:hanging="360"/>
      </w:pPr>
      <w:rPr>
        <w:rFonts w:ascii="Arial" w:hAnsi="Arial" w:cs="Aria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Arial" w:hAnsi="Arial" w:cs="Arial" w:hint="default"/>
      </w:rPr>
    </w:lvl>
  </w:abstractNum>
  <w:abstractNum w:abstractNumId="5">
    <w:lvl w:ilvl="0">
      <w:start w:val="1"/>
      <w:numFmt w:val="bullet"/>
      <w:lvlText w:val="•"/>
      <w:lvlJc w:val="start"/>
      <w:pPr>
        <w:tabs>
          <w:tab w:val="num" w:pos="0"/>
        </w:tabs>
        <w:ind w:start="720" w:hanging="360"/>
      </w:pPr>
      <w:rPr>
        <w:rFonts w:ascii="Arial" w:hAnsi="Arial" w:cs="Aria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36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Arial" w:hAnsi="Arial" w:cs="Arial" w:hint="default"/>
      </w:rPr>
    </w:lvl>
  </w:abstractNum>
  <w:abstractNum w:abstractNumId="10">
    <w:lvl w:ilvl="0">
      <w:start w:val="1"/>
      <w:numFmt w:val="bullet"/>
      <w:lvlText w:val=""/>
      <w:lvlJc w:val="start"/>
      <w:pPr>
        <w:tabs>
          <w:tab w:val="num" w:pos="567"/>
        </w:tabs>
        <w:ind w:start="567" w:hanging="283"/>
      </w:pPr>
      <w:rPr>
        <w:rFonts w:ascii="Symbol" w:hAnsi="Symbol" w:cs="Symbol" w:hint="default"/>
        <w:sz w:val="24"/>
        <w:szCs w:val="24"/>
      </w:rPr>
    </w:lvl>
  </w:abstractNum>
  <w:abstractNum w:abstractNumId="11">
    <w:lvl w:ilvl="0">
      <w:start w:val="1"/>
      <w:numFmt w:val="bullet"/>
      <w:lvlText w:val="•"/>
      <w:lvlJc w:val="start"/>
      <w:pPr>
        <w:tabs>
          <w:tab w:val="num" w:pos="0"/>
        </w:tabs>
        <w:ind w:start="720" w:hanging="360"/>
      </w:pPr>
      <w:rPr>
        <w:rFonts w:ascii="Arial" w:hAnsi="Arial" w:cs="Aria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num w:numId="1">
    <w:abstractNumId w:val="1"/>
    <w:lvlOverride w:ilvl="0">
      <w:startOverride w:val="2"/>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5"/>
  <w:defaultTabStop w:val="708"/>
  <w:autoHyphenation w:val="true"/>
  <w:hyphenationZone w:val="0"/>
  <w:compat>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mbria" w:hAnsi="Cambria" w:eastAsia="Times New Roman" w:cs="Cambria"/>
      <w:color w:val="auto"/>
      <w:sz w:val="22"/>
      <w:szCs w:val="20"/>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cs="Arial"/>
      <w:b/>
      <w:bCs/>
      <w:kern w:val="2"/>
      <w:sz w:val="24"/>
      <w:szCs w:val="32"/>
    </w:rPr>
  </w:style>
  <w:style w:type="paragraph" w:styleId="Heading2">
    <w:name w:val="heading 2"/>
    <w:basedOn w:val="Normal"/>
    <w:next w:val="Normal"/>
    <w:qFormat/>
    <w:pPr>
      <w:keepNext w:val="true"/>
      <w:numPr>
        <w:ilvl w:val="1"/>
        <w:numId w:val="1"/>
      </w:numPr>
      <w:spacing w:before="240" w:after="60"/>
      <w:outlineLvl w:val="1"/>
    </w:pPr>
    <w:rPr>
      <w:rFonts w:cs="Arial"/>
      <w:b/>
      <w:bCs/>
      <w:i/>
      <w:iCs/>
      <w:szCs w:val="28"/>
    </w:rPr>
  </w:style>
  <w:style w:type="paragraph" w:styleId="Heading3">
    <w:name w:val="heading 3"/>
    <w:basedOn w:val="Normal"/>
    <w:next w:val="Normal"/>
    <w:qFormat/>
    <w:pPr>
      <w:keepNext w:val="true"/>
      <w:numPr>
        <w:ilvl w:val="2"/>
        <w:numId w:val="1"/>
      </w:numPr>
      <w:spacing w:before="240" w:after="60"/>
      <w:outlineLvl w:val="2"/>
    </w:pPr>
    <w:rPr>
      <w:rFonts w:cs="Arial"/>
      <w:b/>
      <w:bCs/>
      <w:szCs w:val="26"/>
    </w:rPr>
  </w:style>
  <w:style w:type="paragraph" w:styleId="Heading4">
    <w:name w:val="heading 4"/>
    <w:basedOn w:val="Normal"/>
    <w:next w:val="Normal"/>
    <w:qFormat/>
    <w:pPr>
      <w:keepNext w:val="true"/>
      <w:numPr>
        <w:ilvl w:val="3"/>
        <w:numId w:val="1"/>
      </w:numPr>
      <w:spacing w:before="240" w:after="60"/>
      <w:outlineLvl w:val="3"/>
    </w:pPr>
    <w:rPr>
      <w:b/>
      <w:bCs/>
      <w:i/>
      <w:szCs w:val="28"/>
    </w:rPr>
  </w:style>
  <w:style w:type="paragraph" w:styleId="Heading5">
    <w:name w:val="heading 5"/>
    <w:basedOn w:val="Normal"/>
    <w:next w:val="Normal"/>
    <w:qFormat/>
    <w:pPr>
      <w:numPr>
        <w:ilvl w:val="4"/>
        <w:numId w:val="1"/>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rFonts w:ascii="Cambria" w:hAnsi="Cambria" w:cs="Cambria"/>
      <w:b/>
      <w:bCs/>
      <w:szCs w:val="22"/>
    </w:rPr>
  </w:style>
  <w:style w:type="paragraph" w:styleId="Heading7">
    <w:name w:val="heading 7"/>
    <w:basedOn w:val="Normal"/>
    <w:next w:val="Normal"/>
    <w:qFormat/>
    <w:pPr>
      <w:numPr>
        <w:ilvl w:val="6"/>
        <w:numId w:val="1"/>
      </w:numPr>
      <w:spacing w:before="240" w:after="60"/>
      <w:outlineLvl w:val="6"/>
    </w:pPr>
    <w:rPr>
      <w:rFonts w:ascii="Cambria" w:hAnsi="Cambria" w:cs="Cambria"/>
      <w:sz w:val="24"/>
      <w:szCs w:val="24"/>
    </w:rPr>
  </w:style>
  <w:style w:type="paragraph" w:styleId="Heading8">
    <w:name w:val="heading 8"/>
    <w:basedOn w:val="Normal"/>
    <w:next w:val="Normal"/>
    <w:qFormat/>
    <w:pPr>
      <w:numPr>
        <w:ilvl w:val="7"/>
        <w:numId w:val="1"/>
      </w:numPr>
      <w:spacing w:before="240" w:after="60"/>
      <w:outlineLvl w:val="7"/>
    </w:pPr>
    <w:rPr>
      <w:rFonts w:ascii="Cambria" w:hAnsi="Cambria" w:cs="Cambria"/>
      <w:i/>
      <w:iCs/>
      <w:sz w:val="24"/>
      <w:szCs w:val="24"/>
    </w:rPr>
  </w:style>
  <w:style w:type="paragraph" w:styleId="Heading9">
    <w:name w:val="heading 9"/>
    <w:basedOn w:val="Normal"/>
    <w:next w:val="Normal"/>
    <w:qFormat/>
    <w:pPr>
      <w:numPr>
        <w:ilvl w:val="8"/>
        <w:numId w:val="1"/>
      </w:numPr>
      <w:spacing w:before="240" w:after="60"/>
      <w:outlineLvl w:val="8"/>
    </w:pPr>
    <w:rPr>
      <w:rFonts w:ascii="Cambria" w:hAnsi="Cambria" w:cs="Arial"/>
      <w:szCs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Wingdings" w:hAnsi="Wingdings" w:cs="Times New Roman"/>
    </w:rPr>
  </w:style>
  <w:style w:type="character" w:styleId="WW8Num7z0">
    <w:name w:val="WW8Num7z0"/>
    <w:qFormat/>
    <w:rPr>
      <w:rFonts w:ascii="Symbol" w:hAnsi="Symbol" w:cs="Symbol"/>
    </w:rPr>
  </w:style>
  <w:style w:type="character" w:styleId="WW8Num8z0">
    <w:name w:val="WW8Num8z0"/>
    <w:qFormat/>
    <w:rPr>
      <w:rFonts w:ascii="Times New Roman" w:hAnsi="Times New Roman" w:cs="Times New Roman"/>
    </w:rPr>
  </w:style>
  <w:style w:type="character" w:styleId="WW8Num9z0">
    <w:name w:val="WW8Num9z0"/>
    <w:qFormat/>
    <w:rPr/>
  </w:style>
  <w:style w:type="character" w:styleId="WW8Num10z0">
    <w:name w:val="WW8Num10z0"/>
    <w:qFormat/>
    <w:rPr>
      <w:rFonts w:ascii="Arial" w:hAnsi="Arial" w:cs="Aria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Arial" w:hAnsi="Arial" w:cs="Aria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Arial"/>
    </w:rPr>
  </w:style>
  <w:style w:type="character" w:styleId="WW8Num12z2">
    <w:name w:val="WW8Num12z2"/>
    <w:qFormat/>
    <w:rPr>
      <w:rFonts w:ascii="Wingdings" w:hAnsi="Wingdings" w:cs="Wingdings"/>
    </w:rPr>
  </w:style>
  <w:style w:type="character" w:styleId="WW8Num13z0">
    <w:name w:val="WW8Num13z0"/>
    <w:qFormat/>
    <w:rPr>
      <w:rFonts w:ascii="Arial" w:hAnsi="Arial"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Arial" w:hAnsi="Arial"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Arial" w:hAnsi="Arial"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w:hAnsi="Arial"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w:hAnsi="Arial"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Arial" w:hAnsi="Arial"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Arial" w:hAnsi="Arial"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Arial" w:hAnsi="Arial"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Arial"/>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Arial" w:hAnsi="Arial" w:cs="Aria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Arial" w:hAnsi="Arial" w:cs="Ari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Arial" w:hAnsi="Arial" w:cs="Aria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style>
  <w:style w:type="character" w:styleId="WW8Num30z0">
    <w:name w:val="WW8Num30z0"/>
    <w:qFormat/>
    <w:rPr>
      <w:rFonts w:ascii="Symbol" w:hAnsi="Symbol" w:cs="Symbol"/>
      <w:sz w:val="24"/>
      <w:szCs w:val="24"/>
    </w:rPr>
  </w:style>
  <w:style w:type="character" w:styleId="WW8Num30z1">
    <w:name w:val="WW8Num30z1"/>
    <w:qFormat/>
    <w:rPr>
      <w:rFonts w:ascii="Courier New" w:hAnsi="Courier New" w:cs="Arial"/>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Arial" w:hAnsi="Arial"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Arial" w:hAnsi="Arial" w:cs="Aria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Arial"/>
    </w:rPr>
  </w:style>
  <w:style w:type="character" w:styleId="WW8Num33z2">
    <w:name w:val="WW8Num33z2"/>
    <w:qFormat/>
    <w:rPr>
      <w:rFonts w:ascii="Wingdings" w:hAnsi="Wingdings" w:cs="Wingdings"/>
    </w:rPr>
  </w:style>
  <w:style w:type="character" w:styleId="Policepardfaut">
    <w:name w:val="Police par défaut"/>
    <w:qFormat/>
    <w:rPr/>
  </w:style>
  <w:style w:type="character" w:styleId="Titre2Car">
    <w:name w:val="Titre 2 Car"/>
    <w:basedOn w:val="Policepardfaut"/>
    <w:qFormat/>
    <w:rPr>
      <w:rFonts w:ascii="Cambria" w:hAnsi="Cambria" w:cs="Arial"/>
      <w:b/>
      <w:bCs/>
      <w:i/>
      <w:iCs/>
      <w:sz w:val="22"/>
      <w:szCs w:val="28"/>
    </w:rPr>
  </w:style>
  <w:style w:type="character" w:styleId="Titre3Car">
    <w:name w:val="Titre 3 Car"/>
    <w:basedOn w:val="Policepardfaut"/>
    <w:qFormat/>
    <w:rPr>
      <w:rFonts w:ascii="Cambria" w:hAnsi="Cambria" w:cs="Arial"/>
      <w:b/>
      <w:bCs/>
      <w:sz w:val="22"/>
      <w:szCs w:val="26"/>
    </w:rPr>
  </w:style>
  <w:style w:type="character" w:styleId="TitreCar">
    <w:name w:val="Titre Car"/>
    <w:basedOn w:val="Policepardfaut"/>
    <w:qFormat/>
    <w:rPr>
      <w:rFonts w:ascii="Cambria" w:hAnsi="Cambria" w:eastAsia="Cambria" w:cs="Times New Roman"/>
      <w:b/>
      <w:bCs/>
      <w:caps/>
      <w:kern w:val="2"/>
      <w:sz w:val="28"/>
      <w:szCs w:val="28"/>
    </w:rPr>
  </w:style>
  <w:style w:type="character" w:styleId="Hyperlink">
    <w:name w:val="Hyperlink"/>
    <w:basedOn w:val="Policepardfaut"/>
    <w:rPr>
      <w:color w:val="0000FF"/>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ascii="Cambria" w:hAnsi="Cambria" w:eastAsia="Cambria" w:cs="Times New Roman"/>
      <w:b/>
      <w:bCs/>
      <w:caps/>
      <w:kern w:val="2"/>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OC1">
    <w:name w:val="toc 1"/>
    <w:basedOn w:val="Normal"/>
    <w:next w:val="Normal"/>
    <w:pPr>
      <w:tabs>
        <w:tab w:val="clear" w:pos="708"/>
        <w:tab w:val="left" w:pos="440" w:leader="none"/>
        <w:tab w:val="right" w:pos="9054" w:leader="none"/>
      </w:tabs>
      <w:jc w:val="start"/>
    </w:pPr>
    <w:rPr>
      <w:b/>
      <w:bCs/>
      <w:sz w:val="24"/>
    </w:rPr>
  </w:style>
  <w:style w:type="paragraph" w:styleId="TOC2">
    <w:name w:val="toc 2"/>
    <w:basedOn w:val="Normal"/>
    <w:next w:val="Normal"/>
    <w:pPr>
      <w:ind w:hanging="0" w:start="220" w:end="0"/>
      <w:jc w:val="start"/>
    </w:pPr>
    <w:rPr>
      <w:b/>
      <w:i/>
      <w:iCs/>
      <w:sz w:val="20"/>
    </w:rPr>
  </w:style>
  <w:style w:type="paragraph" w:styleId="TOC3">
    <w:name w:val="toc 3"/>
    <w:basedOn w:val="Normal"/>
    <w:next w:val="Normal"/>
    <w:pPr>
      <w:ind w:hanging="0" w:start="440" w:end="0"/>
      <w:jc w:val="start"/>
    </w:pPr>
    <w:rPr>
      <w:sz w:val="20"/>
    </w:rPr>
  </w:style>
  <w:style w:type="paragraph" w:styleId="TOC4">
    <w:name w:val="toc 4"/>
    <w:basedOn w:val="Normal"/>
    <w:next w:val="Normal"/>
    <w:pPr>
      <w:ind w:hanging="0" w:start="660" w:end="0"/>
      <w:jc w:val="start"/>
    </w:pPr>
    <w:rPr>
      <w:sz w:val="20"/>
    </w:rPr>
  </w:style>
  <w:style w:type="paragraph" w:styleId="TOC5">
    <w:name w:val="toc 5"/>
    <w:basedOn w:val="Normal"/>
    <w:next w:val="Normal"/>
    <w:pPr>
      <w:ind w:hanging="0" w:start="880" w:end="0"/>
      <w:jc w:val="start"/>
    </w:pPr>
    <w:rPr>
      <w:sz w:val="20"/>
    </w:rPr>
  </w:style>
  <w:style w:type="paragraph" w:styleId="TOC6">
    <w:name w:val="toc 6"/>
    <w:basedOn w:val="Normal"/>
    <w:next w:val="Normal"/>
    <w:pPr>
      <w:ind w:hanging="0" w:start="1100" w:end="0"/>
      <w:jc w:val="start"/>
    </w:pPr>
    <w:rPr>
      <w:sz w:val="20"/>
    </w:rPr>
  </w:style>
  <w:style w:type="paragraph" w:styleId="TOC7">
    <w:name w:val="toc 7"/>
    <w:basedOn w:val="Normal"/>
    <w:next w:val="Normal"/>
    <w:pPr>
      <w:ind w:hanging="0" w:start="1320" w:end="0"/>
      <w:jc w:val="start"/>
    </w:pPr>
    <w:rPr>
      <w:sz w:val="20"/>
    </w:rPr>
  </w:style>
  <w:style w:type="paragraph" w:styleId="TOC8">
    <w:name w:val="toc 8"/>
    <w:basedOn w:val="Normal"/>
    <w:next w:val="Normal"/>
    <w:pPr>
      <w:ind w:hanging="0" w:start="1540" w:end="0"/>
      <w:jc w:val="start"/>
    </w:pPr>
    <w:rPr>
      <w:sz w:val="20"/>
    </w:rPr>
  </w:style>
  <w:style w:type="paragraph" w:styleId="TOC9">
    <w:name w:val="toc 9"/>
    <w:basedOn w:val="Normal"/>
    <w:next w:val="Normal"/>
    <w:pPr>
      <w:ind w:hanging="0" w:start="1760" w:end="0"/>
      <w:jc w:val="start"/>
    </w:pPr>
    <w:rPr>
      <w:sz w:val="20"/>
    </w:rPr>
  </w:style>
  <w:style w:type="paragraph" w:styleId="IndexHeading">
    <w:name w:val="index heading"/>
    <w:basedOn w:val="Normal"/>
    <w:next w:val="Normal"/>
    <w:pPr>
      <w:jc w:val="start"/>
    </w:pPr>
    <w:rPr>
      <w:rFonts w:ascii="Cambria" w:hAnsi="Cambria" w:eastAsia="Cambria" w:cs="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paragraph" w:styleId="Title">
    <w:name w:val="Title"/>
    <w:basedOn w:val="Normal"/>
    <w:next w:val="Normal"/>
    <w:qFormat/>
    <w:pPr>
      <w:spacing w:before="0" w:after="0"/>
    </w:pPr>
    <w:rPr>
      <w:b/>
      <w:sz w:val="24"/>
      <w:color w:val="00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blog.cm-dm.com/pages/Software-Development-Process-templates" TargetMode="External"/><Relationship Id="rId5" Type="http://schemas.openxmlformats.org/officeDocument/2006/relationships/hyperlink" Target="http://blog.cm-dm.com/pages/Software-Development-Process-templates"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blog.cm-dm.com/post/2011/11/04/License"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2012-03-01T01:04:00Z</dcterms:created>
  <dc:creator>SG Homie Project Team</dc:creator>
  <dc:language>en-US</dc:language>
  <cp:lastPrinted>2010-01-19T19:46:00Z</cp:lastPrinted>
  <dcterms:modified xsi:type="dcterms:W3CDTF">2012-09-05T23:56:00Z</dcterms:modified>
  <cp:revision>14</cp:revision>
  <dc:subject>SCM organisation and configuration identification</dc:subject>
  <dc:title>SG Homie Software Configuration Management Plan Sections 2 and 3</dc:title>
</cp:coreProperties>
</file>