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6840"/>
        <w:gridCol w:w="3000"/>
      </w:tblGrid>
      <w:tr>
        <w:tc>
          <w:tcPr>
            <w:tcW w:type="dxa" w:w="6840"/>
            <w:tcBorders>
              <w:top w:val="none" w:color="FFFFFF" w:sz="0"/>
              <w:left w:val="none" w:color="FFFFFF" w:sz="0"/>
              <w:bottom w:val="none" w:color="FFFFFF" w:sz="0"/>
              <w:right w:val="none" w:color="FFFFFF" w:sz="0"/>
            </w:tcBorders>
            <w:shd w:fill="0D47A1" w:val="clear"/>
            <w:tcMar>
              <w:top w:type="dxa" w:w="280"/>
              <w:left w:type="dxa" w:w="320"/>
              <w:bottom w:type="dxa" w:w="280"/>
              <w:right w:type="dxa" w:w="320"/>
            </w:tcMar>
            <w:vAlign w:val="center"/>
          </w:tcPr>
          <w:p>
            <w:r>
              <w:rPr>
                <w:rFonts w:ascii="Arial" w:cs="Arial" w:eastAsia="Arial" w:hAnsi="Arial"/>
                <w:b/>
                <w:bCs/>
                <w:color w:val="A8C8F8"/>
                <w:sz w:val="18"/>
                <w:szCs w:val="18"/>
              </w:rPr>
              <w:t xml:space="preserve">CASE STUDY</w:t>
            </w:r>
          </w:p>
          <w:p>
            <w:pPr>
              <w:spacing w:before="60"/>
            </w:pPr>
            <w:r>
              <w:rPr>
                <w:rFonts w:ascii="Arial" w:cs="Arial" w:eastAsia="Arial" w:hAnsi="Arial"/>
                <w:b/>
                <w:bCs/>
                <w:color w:val="FFFFFF"/>
                <w:sz w:val="32"/>
                <w:szCs w:val="32"/>
              </w:rPr>
              <w:t xml:space="preserve">Dealer Ledger Statement Automation</w:t>
            </w:r>
          </w:p>
          <w:p>
            <w:pPr>
              <w:spacing w:before="80"/>
            </w:pPr>
            <w:r>
              <w:rPr>
                <w:rFonts w:ascii="Arial" w:cs="Arial" w:eastAsia="Arial" w:hAnsi="Arial"/>
                <w:color w:val="A8C8F8"/>
                <w:sz w:val="18"/>
                <w:szCs w:val="18"/>
              </w:rPr>
              <w:t xml:space="preserve">Finance Operations · Medical Devices · ₹130 Cr Company · Coloplast India</w:t>
            </w:r>
          </w:p>
        </w:tc>
        <w:tc>
          <w:tcPr>
            <w:tcW w:type="dxa" w:w="3000"/>
            <w:tcBorders>
              <w:top w:val="none" w:color="FFFFFF" w:sz="0"/>
              <w:left w:val="none" w:color="FFFFFF" w:sz="0"/>
              <w:bottom w:val="none" w:color="FFFFFF" w:sz="0"/>
              <w:right w:val="none" w:color="FFFFFF" w:sz="0"/>
            </w:tcBorders>
            <w:shd w:fill="F4A100" w:val="clear"/>
            <w:tcMar>
              <w:top w:type="dxa" w:w="200"/>
              <w:left w:type="dxa" w:w="200"/>
              <w:bottom w:type="dxa" w:w="200"/>
              <w:right w:type="dxa" w:w="200"/>
            </w:tcMar>
            <w:vAlign w:val="center"/>
          </w:tcPr>
          <w:p>
            <w:pPr>
              <w:jc w:val="center"/>
            </w:pPr>
            <w:r>
              <w:rPr>
                <w:rFonts w:ascii="Arial" w:cs="Arial" w:eastAsia="Arial" w:hAnsi="Arial"/>
                <w:b/>
                <w:bCs/>
                <w:color w:val="FFFFFF"/>
                <w:sz w:val="36"/>
                <w:szCs w:val="36"/>
              </w:rPr>
              <w:t xml:space="preserve">3–4 hrs/day</w:t>
            </w:r>
          </w:p>
          <w:p>
            <w:pPr>
              <w:jc w:val="center"/>
            </w:pPr>
            <w:r>
              <w:rPr>
                <w:rFonts w:ascii="Arial" w:cs="Arial" w:eastAsia="Arial" w:hAnsi="Arial"/>
                <w:color w:val="FFFFFF"/>
                <w:sz w:val="18"/>
                <w:szCs w:val="18"/>
              </w:rPr>
              <w:t xml:space="preserve">manual effort</w:t>
            </w:r>
          </w:p>
          <w:p>
            <w:pPr>
              <w:spacing w:before="80"/>
              <w:jc w:val="center"/>
            </w:pPr>
            <w:r>
              <w:rPr>
                <w:rFonts w:ascii="Arial" w:cs="Arial" w:eastAsia="Arial" w:hAnsi="Arial"/>
                <w:b/>
                <w:bCs/>
                <w:color w:val="0D47A1"/>
                <w:sz w:val="20"/>
                <w:szCs w:val="20"/>
              </w:rPr>
              <w:t xml:space="preserve">5 minutes</w:t>
            </w:r>
          </w:p>
        </w:tc>
      </w:tr>
    </w:tbl>
    <w:p>
      <w:pPr>
        <w:spacing w:after="280" w:before="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60"/>
        <w:gridCol w:w="2460"/>
        <w:gridCol w:w="2460"/>
        <w:gridCol w:w="2460"/>
      </w:tblGrid>
      <w:tr>
        <w:tc>
          <w:tcPr>
            <w:tcW w:type="dxa" w:w="2460"/>
            <w:tcBorders>
              <w:top w:val="none" w:color="FFFFFF" w:sz="0"/>
              <w:left w:val="none" w:color="FFFFFF" w:sz="0"/>
              <w:bottom w:val="none" w:color="FFFFFF" w:sz="0"/>
              <w:right w:val="none" w:color="FFFFFF" w:sz="0"/>
            </w:tcBorders>
            <w:shd w:fill="EBF3FD" w:val="clear"/>
            <w:tcMar>
              <w:top w:type="dxa" w:w="180"/>
              <w:left w:type="dxa" w:w="200"/>
              <w:bottom w:type="dxa" w:w="180"/>
              <w:right w:type="dxa" w:w="200"/>
            </w:tcMar>
            <w:vAlign w:val="center"/>
          </w:tcPr>
          <w:p>
            <w:pPr>
              <w:jc w:val="center"/>
            </w:pPr>
            <w:r>
              <w:rPr>
                <w:rFonts w:ascii="Arial" w:cs="Arial" w:eastAsia="Arial" w:hAnsi="Arial"/>
                <w:b/>
                <w:bCs/>
                <w:color w:val="1A73E8"/>
                <w:sz w:val="40"/>
                <w:szCs w:val="40"/>
              </w:rPr>
              <w:t xml:space="preserve">3–4 hrs</w:t>
            </w:r>
          </w:p>
          <w:p>
            <w:pPr>
              <w:jc w:val="center"/>
            </w:pPr>
            <w:r>
              <w:rPr>
                <w:rFonts w:ascii="Arial" w:cs="Arial" w:eastAsia="Arial" w:hAnsi="Arial"/>
                <w:color w:val="555555"/>
                <w:sz w:val="17"/>
                <w:szCs w:val="17"/>
              </w:rPr>
              <w:t xml:space="preserve">Time Saved Daily</w:t>
            </w:r>
          </w:p>
          <w:p>
            <w:pPr>
              <w:jc w:val="center"/>
            </w:pPr>
            <w:r>
              <w:rPr>
                <w:rFonts w:ascii="Arial" w:cs="Arial" w:eastAsia="Arial" w:hAnsi="Arial"/>
                <w:b/>
                <w:bCs/>
                <w:color w:val="F4A100"/>
                <w:sz w:val="16"/>
                <w:szCs w:val="16"/>
              </w:rPr>
              <w:t xml:space="preserve">per finance exec</w:t>
            </w:r>
          </w:p>
        </w:tc>
        <w:tc>
          <w:tcPr>
            <w:tcW w:type="dxa" w:w="2460"/>
            <w:tcBorders>
              <w:top w:val="none" w:color="FFFFFF" w:sz="0"/>
              <w:left w:val="none" w:color="FFFFFF" w:sz="0"/>
              <w:bottom w:val="none" w:color="FFFFFF" w:sz="0"/>
              <w:right w:val="none" w:color="FFFFFF" w:sz="0"/>
            </w:tcBorders>
            <w:shd w:fill="EBF3FD" w:val="clear"/>
            <w:tcMar>
              <w:top w:type="dxa" w:w="180"/>
              <w:left w:type="dxa" w:w="200"/>
              <w:bottom w:type="dxa" w:w="180"/>
              <w:right w:type="dxa" w:w="200"/>
            </w:tcMar>
            <w:vAlign w:val="center"/>
          </w:tcPr>
          <w:p>
            <w:pPr>
              <w:jc w:val="center"/>
            </w:pPr>
            <w:r>
              <w:rPr>
                <w:rFonts w:ascii="Arial" w:cs="Arial" w:eastAsia="Arial" w:hAnsi="Arial"/>
                <w:b/>
                <w:bCs/>
                <w:color w:val="1A73E8"/>
                <w:sz w:val="40"/>
                <w:szCs w:val="40"/>
              </w:rPr>
              <w:t xml:space="preserve">20–30</w:t>
            </w:r>
          </w:p>
          <w:p>
            <w:pPr>
              <w:jc w:val="center"/>
            </w:pPr>
            <w:r>
              <w:rPr>
                <w:rFonts w:ascii="Arial" w:cs="Arial" w:eastAsia="Arial" w:hAnsi="Arial"/>
                <w:color w:val="555555"/>
                <w:sz w:val="17"/>
                <w:szCs w:val="17"/>
              </w:rPr>
              <w:t xml:space="preserve">Statements/Day</w:t>
            </w:r>
          </w:p>
          <w:p>
            <w:pPr>
              <w:jc w:val="center"/>
            </w:pPr>
            <w:r>
              <w:rPr>
                <w:rFonts w:ascii="Arial" w:cs="Arial" w:eastAsia="Arial" w:hAnsi="Arial"/>
                <w:b/>
                <w:bCs/>
                <w:color w:val="F4A100"/>
                <w:sz w:val="16"/>
                <w:szCs w:val="16"/>
              </w:rPr>
              <w:t xml:space="preserve">fully automated</w:t>
            </w:r>
          </w:p>
        </w:tc>
        <w:tc>
          <w:tcPr>
            <w:tcW w:type="dxa" w:w="2460"/>
            <w:tcBorders>
              <w:top w:val="none" w:color="FFFFFF" w:sz="0"/>
              <w:left w:val="none" w:color="FFFFFF" w:sz="0"/>
              <w:bottom w:val="none" w:color="FFFFFF" w:sz="0"/>
              <w:right w:val="none" w:color="FFFFFF" w:sz="0"/>
            </w:tcBorders>
            <w:shd w:fill="EBF3FD" w:val="clear"/>
            <w:tcMar>
              <w:top w:type="dxa" w:w="180"/>
              <w:left w:type="dxa" w:w="200"/>
              <w:bottom w:type="dxa" w:w="180"/>
              <w:right w:type="dxa" w:w="200"/>
            </w:tcMar>
            <w:vAlign w:val="center"/>
          </w:tcPr>
          <w:p>
            <w:pPr>
              <w:jc w:val="center"/>
            </w:pPr>
            <w:r>
              <w:rPr>
                <w:rFonts w:ascii="Arial" w:cs="Arial" w:eastAsia="Arial" w:hAnsi="Arial"/>
                <w:b/>
                <w:bCs/>
                <w:color w:val="1A73E8"/>
                <w:sz w:val="40"/>
                <w:szCs w:val="40"/>
              </w:rPr>
              <w:t xml:space="preserve">~900 hrs</w:t>
            </w:r>
          </w:p>
          <w:p>
            <w:pPr>
              <w:jc w:val="center"/>
            </w:pPr>
            <w:r>
              <w:rPr>
                <w:rFonts w:ascii="Arial" w:cs="Arial" w:eastAsia="Arial" w:hAnsi="Arial"/>
                <w:color w:val="555555"/>
                <w:sz w:val="17"/>
                <w:szCs w:val="17"/>
              </w:rPr>
              <w:t xml:space="preserve">Annual Hours</w:t>
            </w:r>
          </w:p>
          <w:p>
            <w:pPr>
              <w:jc w:val="center"/>
            </w:pPr>
            <w:r>
              <w:rPr>
                <w:rFonts w:ascii="Arial" w:cs="Arial" w:eastAsia="Arial" w:hAnsi="Arial"/>
                <w:b/>
                <w:bCs/>
                <w:color w:val="F4A100"/>
                <w:sz w:val="16"/>
                <w:szCs w:val="16"/>
              </w:rPr>
              <w:t xml:space="preserve">recovered</w:t>
            </w:r>
          </w:p>
        </w:tc>
        <w:tc>
          <w:tcPr>
            <w:tcW w:type="dxa" w:w="2460"/>
            <w:tcBorders>
              <w:top w:val="none" w:color="FFFFFF" w:sz="0"/>
              <w:left w:val="none" w:color="FFFFFF" w:sz="0"/>
              <w:bottom w:val="none" w:color="FFFFFF" w:sz="0"/>
              <w:right w:val="none" w:color="FFFFFF" w:sz="0"/>
            </w:tcBorders>
            <w:shd w:fill="EBF3FD" w:val="clear"/>
            <w:tcMar>
              <w:top w:type="dxa" w:w="180"/>
              <w:left w:type="dxa" w:w="200"/>
              <w:bottom w:type="dxa" w:w="180"/>
              <w:right w:type="dxa" w:w="200"/>
            </w:tcMar>
            <w:vAlign w:val="center"/>
          </w:tcPr>
          <w:p>
            <w:pPr>
              <w:jc w:val="center"/>
            </w:pPr>
            <w:r>
              <w:rPr>
                <w:rFonts w:ascii="Arial" w:cs="Arial" w:eastAsia="Arial" w:hAnsi="Arial"/>
                <w:b/>
                <w:bCs/>
                <w:color w:val="1A73E8"/>
                <w:sz w:val="40"/>
                <w:szCs w:val="40"/>
              </w:rPr>
              <w:t xml:space="preserve">₹0</w:t>
            </w:r>
          </w:p>
          <w:p>
            <w:pPr>
              <w:jc w:val="center"/>
            </w:pPr>
            <w:r>
              <w:rPr>
                <w:rFonts w:ascii="Arial" w:cs="Arial" w:eastAsia="Arial" w:hAnsi="Arial"/>
                <w:color w:val="555555"/>
                <w:sz w:val="17"/>
                <w:szCs w:val="17"/>
              </w:rPr>
              <w:t xml:space="preserve">Cost to Build</w:t>
            </w:r>
          </w:p>
          <w:p>
            <w:pPr>
              <w:jc w:val="center"/>
            </w:pPr>
            <w:r>
              <w:rPr>
                <w:rFonts w:ascii="Arial" w:cs="Arial" w:eastAsia="Arial" w:hAnsi="Arial"/>
                <w:b/>
                <w:bCs/>
                <w:color w:val="F4A100"/>
                <w:sz w:val="16"/>
                <w:szCs w:val="16"/>
              </w:rPr>
              <w:t xml:space="preserve">existing Excel stack</w:t>
            </w:r>
          </w:p>
        </w:tc>
      </w:tr>
    </w:tbl>
    <w:p>
      <w:pPr>
        <w:spacing w:after="300" w:before="0"/>
      </w:pPr>
    </w:p>
    <w:p>
      <w:pPr>
        <w:pBdr>
          <w:bottom w:val="single" w:color="1A73E8" w:sz="4" w:space="6"/>
        </w:pBdr>
        <w:spacing w:after="160" w:before="320"/>
      </w:pPr>
      <w:r>
        <w:rPr>
          <w:rFonts w:ascii="Arial" w:cs="Arial" w:eastAsia="Arial" w:hAnsi="Arial"/>
          <w:b/>
          <w:bCs/>
          <w:color w:val="0D47A1"/>
          <w:sz w:val="26"/>
          <w:szCs w:val="26"/>
        </w:rPr>
        <w:t xml:space="preserve">01  THE PROBLEM</w:t>
      </w:r>
    </w:p>
    <w:p>
      <w:pPr>
        <w:spacing w:after="60" w:before="0"/>
      </w:pPr>
    </w:p>
    <w:p>
      <w:pPr>
        <w:spacing w:after="100" w:before="60"/>
      </w:pPr>
      <w:r>
        <w:rPr>
          <w:rFonts w:ascii="Arial" w:cs="Arial" w:eastAsia="Arial" w:hAnsi="Arial"/>
          <w:i w:val="false"/>
          <w:iCs w:val="false"/>
          <w:color w:val="222222"/>
          <w:sz w:val="22"/>
          <w:szCs w:val="22"/>
        </w:rPr>
        <w:t xml:space="preserve">A ₹130 Cr annual turnover medical devices company had a single credit control executive manually sending ledger statements to 20–30 dealers every day. The ERP system had no automated email dispatch capability.</w:t>
      </w:r>
    </w:p>
    <w:p>
      <w:pPr>
        <w:spacing w:after="100" w:before="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color="FFFFFF" w:sz="0"/>
              <w:left w:val="none" w:color="FFFFFF" w:sz="0"/>
              <w:bottom w:val="none" w:color="FFFFFF" w:sz="0"/>
              <w:right w:val="none" w:color="FFFFFF" w:sz="0"/>
            </w:tcBorders>
            <w:shd w:fill="FFF3E0" w:val="clear"/>
            <w:tcMar>
              <w:top w:type="dxa" w:w="160"/>
              <w:left w:type="dxa" w:w="280"/>
              <w:bottom w:type="dxa" w:w="160"/>
              <w:right w:type="dxa" w:w="280"/>
            </w:tcMar>
          </w:tcPr>
          <w:p>
            <w:r>
              <w:rPr>
                <w:rFonts w:ascii="Arial" w:cs="Arial" w:eastAsia="Arial" w:hAnsi="Arial"/>
                <w:b/>
                <w:bCs/>
                <w:color w:val="C0392B"/>
                <w:sz w:val="22"/>
                <w:szCs w:val="22"/>
              </w:rPr>
              <w:t xml:space="preserve">Manual Process Per Dealer (Repeated 20–30x Daily)</w:t>
            </w:r>
          </w:p>
          <w:p>
            <w:pPr>
              <w:spacing w:before="60"/>
            </w:pPr>
            <w:r>
              <w:rPr>
                <w:rFonts w:ascii="Arial" w:cs="Arial" w:eastAsia="Arial" w:hAnsi="Arial"/>
                <w:color w:val="333333"/>
                <w:sz w:val="20"/>
                <w:szCs w:val="20"/>
              </w:rPr>
              <w:t xml:space="preserve">1.  Open ERP → pull individual dealer ledger report</w:t>
            </w:r>
          </w:p>
          <w:p>
            <w:pPr>
              <w:spacing w:before="60"/>
            </w:pPr>
            <w:r>
              <w:rPr>
                <w:rFonts w:ascii="Arial" w:cs="Arial" w:eastAsia="Arial" w:hAnsi="Arial"/>
                <w:color w:val="333333"/>
                <w:sz w:val="20"/>
                <w:szCs w:val="20"/>
              </w:rPr>
              <w:t xml:space="preserve">2.  Save/export the report</w:t>
            </w:r>
          </w:p>
          <w:p>
            <w:pPr>
              <w:spacing w:before="60"/>
            </w:pPr>
            <w:r>
              <w:rPr>
                <w:rFonts w:ascii="Arial" w:cs="Arial" w:eastAsia="Arial" w:hAnsi="Arial"/>
                <w:color w:val="333333"/>
                <w:sz w:val="20"/>
                <w:szCs w:val="20"/>
              </w:rPr>
              <w:t xml:space="preserve">3.  Open Outlook → manually type dealer email address</w:t>
            </w:r>
          </w:p>
          <w:p>
            <w:pPr>
              <w:spacing w:before="60"/>
            </w:pPr>
            <w:r>
              <w:rPr>
                <w:rFonts w:ascii="Arial" w:cs="Arial" w:eastAsia="Arial" w:hAnsi="Arial"/>
                <w:color w:val="333333"/>
                <w:sz w:val="20"/>
                <w:szCs w:val="20"/>
              </w:rPr>
              <w:t xml:space="preserve">4.  Attach file, write subject and body, send</w:t>
            </w:r>
          </w:p>
          <w:p>
            <w:pPr>
              <w:spacing w:before="60"/>
            </w:pPr>
            <w:r>
              <w:rPr>
                <w:rFonts w:ascii="Arial" w:cs="Arial" w:eastAsia="Arial" w:hAnsi="Arial"/>
                <w:color w:val="333333"/>
                <w:sz w:val="20"/>
                <w:szCs w:val="20"/>
              </w:rPr>
              <w:t xml:space="preserve">5.  Repeat for every dealer — 20 to 30 times</w:t>
            </w:r>
          </w:p>
          <w:p>
            <w:pPr>
              <w:spacing w:before="60"/>
            </w:pPr>
            <w:r>
              <w:rPr>
                <w:rFonts w:ascii="Arial" w:cs="Arial" w:eastAsia="Arial" w:hAnsi="Arial"/>
                <w:color w:val="333333"/>
                <w:sz w:val="20"/>
                <w:szCs w:val="20"/>
              </w:rPr>
              <w:t xml:space="preserve">6.  ~10–20 minutes per dealer — entire morning gone</w:t>
            </w:r>
          </w:p>
        </w:tc>
      </w:tr>
    </w:tbl>
    <w:p>
      <w:pPr>
        <w:spacing w:after="280" w:before="0"/>
      </w:pPr>
    </w:p>
    <w:p>
      <w:pPr>
        <w:pBdr>
          <w:bottom w:val="single" w:color="1A73E8" w:sz="4" w:space="6"/>
        </w:pBdr>
        <w:spacing w:after="160" w:before="320"/>
      </w:pPr>
      <w:r>
        <w:rPr>
          <w:rFonts w:ascii="Arial" w:cs="Arial" w:eastAsia="Arial" w:hAnsi="Arial"/>
          <w:b/>
          <w:bCs/>
          <w:color w:val="0D47A1"/>
          <w:sz w:val="26"/>
          <w:szCs w:val="26"/>
        </w:rPr>
        <w:t xml:space="preserve">02  THE SOLUTION</w:t>
      </w:r>
    </w:p>
    <w:p>
      <w:pPr>
        <w:spacing w:after="60" w:before="0"/>
      </w:pPr>
    </w:p>
    <w:p>
      <w:pPr>
        <w:spacing w:after="100" w:before="60"/>
      </w:pPr>
      <w:r>
        <w:rPr>
          <w:rFonts w:ascii="Arial" w:cs="Arial" w:eastAsia="Arial" w:hAnsi="Arial"/>
          <w:i w:val="false"/>
          <w:iCs w:val="false"/>
          <w:color w:val="222222"/>
          <w:sz w:val="22"/>
          <w:szCs w:val="22"/>
        </w:rPr>
        <w:t xml:space="preserve">Built an Excel VBA macro that merged dealer email data from the company master database into the finance team's working file. The credit control exec now runs the entire process with one keyboard shortcut: Alt + 8.</w:t>
      </w:r>
    </w:p>
    <w:p>
      <w:pPr>
        <w:spacing w:after="120" w:before="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800"/>
        <w:gridCol w:w="5040"/>
      </w:tblGrid>
      <w:tr>
        <w:tc>
          <w:tcPr>
            <w:tcW w:type="dxa" w:w="4800"/>
            <w:tcBorders>
              <w:top w:val="none" w:color="FFFFFF" w:sz="0"/>
              <w:left w:val="none" w:color="FFFFFF" w:sz="0"/>
              <w:bottom w:val="none" w:color="FFFFFF" w:sz="0"/>
              <w:right w:val="none" w:color="FFFFFF" w:sz="0"/>
            </w:tcBorders>
            <w:shd w:fill="EBF3FD" w:val="clear"/>
            <w:tcMar>
              <w:top w:type="dxa" w:w="180"/>
              <w:left w:type="dxa" w:w="240"/>
              <w:bottom w:type="dxa" w:w="180"/>
              <w:right w:type="dxa" w:w="200"/>
            </w:tcMar>
          </w:tcPr>
          <w:p>
            <w:r>
              <w:rPr>
                <w:rFonts w:ascii="Arial" w:cs="Arial" w:eastAsia="Arial" w:hAnsi="Arial"/>
                <w:b/>
                <w:bCs/>
                <w:color w:val="0D47A1"/>
                <w:sz w:val="22"/>
                <w:szCs w:val="22"/>
              </w:rPr>
              <w:t xml:space="preserve">Design Constraints Respected</w:t>
            </w:r>
          </w:p>
          <w:p>
            <w:pPr>
              <w:spacing w:before="80"/>
            </w:pPr>
            <w:r>
              <w:rPr>
                <w:rFonts w:ascii="Arial" w:cs="Arial" w:eastAsia="Arial" w:hAnsi="Arial"/>
                <w:color w:val="333333"/>
                <w:sz w:val="20"/>
                <w:szCs w:val="20"/>
              </w:rPr>
              <w:t xml:space="preserve">•  Non-technical user — zero training needed</w:t>
            </w:r>
          </w:p>
          <w:p>
            <w:pPr>
              <w:spacing w:before="80"/>
            </w:pPr>
            <w:r>
              <w:rPr>
                <w:rFonts w:ascii="Arial" w:cs="Arial" w:eastAsia="Arial" w:hAnsi="Arial"/>
                <w:color w:val="333333"/>
                <w:sz w:val="20"/>
                <w:szCs w:val="20"/>
              </w:rPr>
              <w:t xml:space="preserve">•  No new software installation</w:t>
            </w:r>
          </w:p>
          <w:p>
            <w:pPr>
              <w:spacing w:before="80"/>
            </w:pPr>
            <w:r>
              <w:rPr>
                <w:rFonts w:ascii="Arial" w:cs="Arial" w:eastAsia="Arial" w:hAnsi="Arial"/>
                <w:color w:val="333333"/>
                <w:sz w:val="20"/>
                <w:szCs w:val="20"/>
              </w:rPr>
              <w:t xml:space="preserve">•  No IT dependency</w:t>
            </w:r>
          </w:p>
          <w:p>
            <w:pPr>
              <w:spacing w:before="80"/>
            </w:pPr>
            <w:r>
              <w:rPr>
                <w:rFonts w:ascii="Arial" w:cs="Arial" w:eastAsia="Arial" w:hAnsi="Arial"/>
                <w:color w:val="333333"/>
                <w:sz w:val="20"/>
                <w:szCs w:val="20"/>
              </w:rPr>
              <w:t xml:space="preserve">•  Works inside existing Excel environment</w:t>
            </w:r>
          </w:p>
          <w:p>
            <w:pPr>
              <w:spacing w:before="80"/>
            </w:pPr>
            <w:r>
              <w:rPr>
                <w:rFonts w:ascii="Arial" w:cs="Arial" w:eastAsia="Arial" w:hAnsi="Arial"/>
                <w:color w:val="333333"/>
                <w:sz w:val="20"/>
                <w:szCs w:val="20"/>
              </w:rPr>
              <w:t xml:space="preserve">•  Single command: Alt + 8</w:t>
            </w:r>
          </w:p>
        </w:tc>
        <w:tc>
          <w:tcPr>
            <w:tcW w:type="dxa" w:w="5040"/>
            <w:tcBorders>
              <w:top w:val="none" w:color="FFFFFF" w:sz="0"/>
              <w:left w:val="none" w:color="FFFFFF" w:sz="0"/>
              <w:bottom w:val="none" w:color="FFFFFF" w:sz="0"/>
              <w:right w:val="none" w:color="FFFFFF" w:sz="0"/>
            </w:tcBorders>
            <w:shd w:fill="EBF3FD" w:val="clear"/>
            <w:tcMar>
              <w:top w:type="dxa" w:w="180"/>
              <w:left w:type="dxa" w:w="240"/>
              <w:bottom w:type="dxa" w:w="180"/>
              <w:right w:type="dxa" w:w="240"/>
            </w:tcMar>
          </w:tcPr>
          <w:p>
            <w:r>
              <w:rPr>
                <w:rFonts w:ascii="Arial" w:cs="Arial" w:eastAsia="Arial" w:hAnsi="Arial"/>
                <w:b/>
                <w:bCs/>
                <w:color w:val="0D47A1"/>
                <w:sz w:val="22"/>
                <w:szCs w:val="22"/>
              </w:rPr>
              <w:t xml:space="preserve">What the Macro Does</w:t>
            </w:r>
          </w:p>
          <w:p>
            <w:pPr>
              <w:spacing w:before="80"/>
            </w:pPr>
            <w:r>
              <w:rPr>
                <w:rFonts w:ascii="Arial" w:cs="Arial" w:eastAsia="Arial" w:hAnsi="Arial"/>
                <w:color w:val="333333"/>
                <w:sz w:val="20"/>
                <w:szCs w:val="20"/>
              </w:rPr>
              <w:t xml:space="preserve">•  Pulls dealer emails from company master data</w:t>
            </w:r>
          </w:p>
          <w:p>
            <w:pPr>
              <w:spacing w:before="80"/>
            </w:pPr>
            <w:r>
              <w:rPr>
                <w:rFonts w:ascii="Arial" w:cs="Arial" w:eastAsia="Arial" w:hAnsi="Arial"/>
                <w:color w:val="333333"/>
                <w:sz w:val="20"/>
                <w:szCs w:val="20"/>
              </w:rPr>
              <w:t xml:space="preserve">•  Merges into finance exec’s working file</w:t>
            </w:r>
          </w:p>
          <w:p>
            <w:pPr>
              <w:spacing w:before="80"/>
            </w:pPr>
            <w:r>
              <w:rPr>
                <w:rFonts w:ascii="Arial" w:cs="Arial" w:eastAsia="Arial" w:hAnsi="Arial"/>
                <w:color w:val="333333"/>
                <w:sz w:val="20"/>
                <w:szCs w:val="20"/>
              </w:rPr>
              <w:t xml:space="preserve">•  Generates individual email per dealer</w:t>
            </w:r>
          </w:p>
          <w:p>
            <w:pPr>
              <w:spacing w:before="80"/>
            </w:pPr>
            <w:r>
              <w:rPr>
                <w:rFonts w:ascii="Arial" w:cs="Arial" w:eastAsia="Arial" w:hAnsi="Arial"/>
                <w:color w:val="333333"/>
                <w:sz w:val="20"/>
                <w:szCs w:val="20"/>
              </w:rPr>
              <w:t xml:space="preserve">•  Attaches correct ledger per dealer</w:t>
            </w:r>
          </w:p>
          <w:p>
            <w:pPr>
              <w:spacing w:before="80"/>
            </w:pPr>
            <w:r>
              <w:rPr>
                <w:rFonts w:ascii="Arial" w:cs="Arial" w:eastAsia="Arial" w:hAnsi="Arial"/>
                <w:color w:val="333333"/>
                <w:sz w:val="20"/>
                <w:szCs w:val="20"/>
              </w:rPr>
              <w:t xml:space="preserve">•  Dispatches all 20–30 emails in one run</w:t>
            </w:r>
          </w:p>
        </w:tc>
      </w:tr>
    </w:tbl>
    <w:p>
      <w:pPr>
        <w:spacing w:after="280" w:before="0"/>
      </w:pPr>
    </w:p>
    <w:p>
      <w:pPr>
        <w:pBdr>
          <w:bottom w:val="single" w:color="1A73E8" w:sz="4" w:space="6"/>
        </w:pBdr>
        <w:spacing w:after="160" w:before="320"/>
      </w:pPr>
      <w:r>
        <w:rPr>
          <w:rFonts w:ascii="Arial" w:cs="Arial" w:eastAsia="Arial" w:hAnsi="Arial"/>
          <w:b/>
          <w:bCs/>
          <w:color w:val="0D47A1"/>
          <w:sz w:val="26"/>
          <w:szCs w:val="26"/>
        </w:rPr>
        <w:t xml:space="preserve">03  RESULTS &amp; IMPACT</w:t>
      </w:r>
    </w:p>
    <w:p>
      <w:pPr>
        <w:spacing w:after="100" w:before="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300"/>
        <w:gridCol w:w="5540"/>
      </w:tblGrid>
      <w:tr>
        <w:tc>
          <w:tcPr>
            <w:tcW w:type="dxa" w:w="4300"/>
            <w:tcBorders>
              <w:top w:val="single" w:color="DDEAF8" w:sz="1"/>
              <w:left w:val="single" w:color="DDEAF8" w:sz="1"/>
              <w:bottom w:val="single" w:color="DDEAF8" w:sz="1"/>
              <w:right w:val="single" w:color="DDEAF8" w:sz="1"/>
            </w:tcBorders>
            <w:shd w:fill="0D47A1" w:val="clear"/>
            <w:tcMar>
              <w:top w:type="dxa" w:w="100"/>
              <w:left w:type="dxa" w:w="160"/>
              <w:bottom w:type="dxa" w:w="100"/>
              <w:right w:type="dxa" w:w="160"/>
            </w:tcMar>
          </w:tcPr>
          <w:p>
            <w:r>
              <w:rPr>
                <w:rFonts w:ascii="Arial" w:cs="Arial" w:eastAsia="Arial" w:hAnsi="Arial"/>
                <w:b/>
                <w:bCs/>
                <w:color w:val="FFFFFF"/>
                <w:sz w:val="20"/>
                <w:szCs w:val="20"/>
              </w:rPr>
              <w:t xml:space="preserve">Metric</w:t>
            </w:r>
          </w:p>
        </w:tc>
        <w:tc>
          <w:tcPr>
            <w:tcW w:type="dxa" w:w="5540"/>
            <w:tcBorders>
              <w:top w:val="single" w:color="DDEAF8" w:sz="1"/>
              <w:left w:val="single" w:color="DDEAF8" w:sz="1"/>
              <w:bottom w:val="single" w:color="DDEAF8" w:sz="1"/>
              <w:right w:val="single" w:color="DDEAF8" w:sz="1"/>
            </w:tcBorders>
            <w:shd w:fill="0D47A1" w:val="clear"/>
            <w:tcMar>
              <w:top w:type="dxa" w:w="100"/>
              <w:left w:type="dxa" w:w="160"/>
              <w:bottom w:type="dxa" w:w="100"/>
              <w:right w:type="dxa" w:w="160"/>
            </w:tcMar>
          </w:tcPr>
          <w:p>
            <w:r>
              <w:rPr>
                <w:rFonts w:ascii="Arial" w:cs="Arial" w:eastAsia="Arial" w:hAnsi="Arial"/>
                <w:b/>
                <w:bCs/>
                <w:color w:val="FFFFFF"/>
                <w:sz w:val="20"/>
                <w:szCs w:val="20"/>
              </w:rPr>
              <w:t xml:space="preserve">Impact</w:t>
            </w:r>
          </w:p>
        </w:tc>
      </w:tr>
      <w:tr>
        <w:tc>
          <w:tcPr>
            <w:tcW w:type="dxa" w:w="4300"/>
            <w:tcBorders>
              <w:top w:val="single" w:color="DDEAF8" w:sz="1"/>
              <w:left w:val="single" w:color="DDEAF8" w:sz="1"/>
              <w:bottom w:val="single" w:color="DDEAF8" w:sz="1"/>
              <w:right w:val="single" w:color="DDEAF8"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Daily processing time</w:t>
            </w:r>
          </w:p>
        </w:tc>
        <w:tc>
          <w:tcPr>
            <w:tcW w:type="dxa" w:w="5540"/>
            <w:tcBorders>
              <w:top w:val="single" w:color="DDEAF8" w:sz="1"/>
              <w:left w:val="single" w:color="DDEAF8" w:sz="1"/>
              <w:bottom w:val="single" w:color="DDEAF8" w:sz="1"/>
              <w:right w:val="single" w:color="DDEAF8"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3–4 hours → under 5 minutes</w:t>
            </w:r>
          </w:p>
        </w:tc>
      </w:tr>
      <w:tr>
        <w:tc>
          <w:tcPr>
            <w:tcW w:type="dxa" w:w="4300"/>
            <w:tcBorders>
              <w:top w:val="single" w:color="DDEAF8" w:sz="1"/>
              <w:left w:val="single" w:color="DDEAF8" w:sz="1"/>
              <w:bottom w:val="single" w:color="DDEAF8" w:sz="1"/>
              <w:right w:val="single" w:color="DDEAF8"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Statements automated</w:t>
            </w:r>
          </w:p>
        </w:tc>
        <w:tc>
          <w:tcPr>
            <w:tcW w:type="dxa" w:w="5540"/>
            <w:tcBorders>
              <w:top w:val="single" w:color="DDEAF8" w:sz="1"/>
              <w:left w:val="single" w:color="DDEAF8" w:sz="1"/>
              <w:bottom w:val="single" w:color="DDEAF8" w:sz="1"/>
              <w:right w:val="single" w:color="DDEAF8"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20–30 dealers, every day</w:t>
            </w:r>
          </w:p>
        </w:tc>
      </w:tr>
      <w:tr>
        <w:tc>
          <w:tcPr>
            <w:tcW w:type="dxa" w:w="4300"/>
            <w:tcBorders>
              <w:top w:val="single" w:color="DDEAF8" w:sz="1"/>
              <w:left w:val="single" w:color="DDEAF8" w:sz="1"/>
              <w:bottom w:val="single" w:color="DDEAF8" w:sz="1"/>
              <w:right w:val="single" w:color="DDEAF8"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Manual errors</w:t>
            </w:r>
          </w:p>
        </w:tc>
        <w:tc>
          <w:tcPr>
            <w:tcW w:type="dxa" w:w="5540"/>
            <w:tcBorders>
              <w:top w:val="single" w:color="DDEAF8" w:sz="1"/>
              <w:left w:val="single" w:color="DDEAF8" w:sz="1"/>
              <w:bottom w:val="single" w:color="DDEAF8" w:sz="1"/>
              <w:right w:val="single" w:color="DDEAF8"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Near zero — copy-paste eliminated</w:t>
            </w:r>
          </w:p>
        </w:tc>
      </w:tr>
      <w:tr>
        <w:tc>
          <w:tcPr>
            <w:tcW w:type="dxa" w:w="4300"/>
            <w:tcBorders>
              <w:top w:val="single" w:color="DDEAF8" w:sz="1"/>
              <w:left w:val="single" w:color="DDEAF8" w:sz="1"/>
              <w:bottom w:val="single" w:color="DDEAF8" w:sz="1"/>
              <w:right w:val="single" w:color="DDEAF8"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Annual hours recovered</w:t>
            </w:r>
          </w:p>
        </w:tc>
        <w:tc>
          <w:tcPr>
            <w:tcW w:type="dxa" w:w="5540"/>
            <w:tcBorders>
              <w:top w:val="single" w:color="DDEAF8" w:sz="1"/>
              <w:left w:val="single" w:color="DDEAF8" w:sz="1"/>
              <w:bottom w:val="single" w:color="DDEAF8" w:sz="1"/>
              <w:right w:val="single" w:color="DDEAF8"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~900 hours per year, one person</w:t>
            </w:r>
          </w:p>
        </w:tc>
      </w:tr>
      <w:tr>
        <w:tc>
          <w:tcPr>
            <w:tcW w:type="dxa" w:w="4300"/>
            <w:tcBorders>
              <w:top w:val="single" w:color="DDEAF8" w:sz="1"/>
              <w:left w:val="single" w:color="DDEAF8" w:sz="1"/>
              <w:bottom w:val="single" w:color="DDEAF8" w:sz="1"/>
              <w:right w:val="single" w:color="DDEAF8"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Tech skill required</w:t>
            </w:r>
          </w:p>
        </w:tc>
        <w:tc>
          <w:tcPr>
            <w:tcW w:type="dxa" w:w="5540"/>
            <w:tcBorders>
              <w:top w:val="single" w:color="DDEAF8" w:sz="1"/>
              <w:left w:val="single" w:color="DDEAF8" w:sz="1"/>
              <w:bottom w:val="single" w:color="DDEAF8" w:sz="1"/>
              <w:right w:val="single" w:color="DDEAF8"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Press Alt + 8 — nothing else</w:t>
            </w:r>
          </w:p>
        </w:tc>
      </w:tr>
      <w:tr>
        <w:tc>
          <w:tcPr>
            <w:tcW w:type="dxa" w:w="4300"/>
            <w:tcBorders>
              <w:top w:val="single" w:color="DDEAF8" w:sz="1"/>
              <w:left w:val="single" w:color="DDEAF8" w:sz="1"/>
              <w:bottom w:val="single" w:color="DDEAF8" w:sz="1"/>
              <w:right w:val="single" w:color="DDEAF8"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Software cost</w:t>
            </w:r>
          </w:p>
        </w:tc>
        <w:tc>
          <w:tcPr>
            <w:tcW w:type="dxa" w:w="5540"/>
            <w:tcBorders>
              <w:top w:val="single" w:color="DDEAF8" w:sz="1"/>
              <w:left w:val="single" w:color="DDEAF8" w:sz="1"/>
              <w:bottom w:val="single" w:color="DDEAF8" w:sz="1"/>
              <w:right w:val="single" w:color="DDEAF8"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₹0 — built on existing Excel</w:t>
            </w:r>
          </w:p>
        </w:tc>
      </w:tr>
      <w:tr>
        <w:tc>
          <w:tcPr>
            <w:tcW w:type="dxa" w:w="4300"/>
            <w:tcBorders>
              <w:top w:val="single" w:color="DDEAF8" w:sz="1"/>
              <w:left w:val="single" w:color="DDEAF8" w:sz="1"/>
              <w:bottom w:val="single" w:color="DDEAF8" w:sz="1"/>
              <w:right w:val="single" w:color="DDEAF8"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In production</w:t>
            </w:r>
          </w:p>
        </w:tc>
        <w:tc>
          <w:tcPr>
            <w:tcW w:type="dxa" w:w="5540"/>
            <w:tcBorders>
              <w:top w:val="single" w:color="DDEAF8" w:sz="1"/>
              <w:left w:val="single" w:color="DDEAF8" w:sz="1"/>
              <w:bottom w:val="single" w:color="DDEAF8" w:sz="1"/>
              <w:right w:val="single" w:color="DDEAF8"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Daily use, 4+ months</w:t>
            </w:r>
          </w:p>
        </w:tc>
      </w:tr>
    </w:tbl>
    <w:p>
      <w:pPr>
        <w:spacing w:after="280" w:before="0"/>
      </w:pPr>
    </w:p>
    <w:p>
      <w:pPr>
        <w:pBdr>
          <w:bottom w:val="single" w:color="1A73E8" w:sz="4" w:space="6"/>
        </w:pBdr>
        <w:spacing w:after="160" w:before="320"/>
      </w:pPr>
      <w:r>
        <w:rPr>
          <w:rFonts w:ascii="Arial" w:cs="Arial" w:eastAsia="Arial" w:hAnsi="Arial"/>
          <w:b/>
          <w:bCs/>
          <w:color w:val="0D47A1"/>
          <w:sz w:val="26"/>
          <w:szCs w:val="26"/>
        </w:rPr>
        <w:t xml:space="preserve">04  BUSINESS VALUE</w:t>
      </w:r>
    </w:p>
    <w:p>
      <w:pPr>
        <w:spacing w:after="80" w:before="0"/>
      </w:pPr>
    </w:p>
    <w:p>
      <w:pPr>
        <w:spacing w:after="100" w:before="60"/>
      </w:pPr>
      <w:r>
        <w:rPr>
          <w:rFonts w:ascii="Arial" w:cs="Arial" w:eastAsia="Arial" w:hAnsi="Arial"/>
          <w:i w:val="false"/>
          <w:iCs w:val="false"/>
          <w:color w:val="222222"/>
          <w:sz w:val="22"/>
          <w:szCs w:val="22"/>
        </w:rPr>
        <w:t xml:space="preserve">At ₹500/hour internal cost, ~₹4.5 lakh in productive time recovered per year — from a single workflow, at zero cost. Credit control exec time redirected to actual credit analysis, overdue follow-ups, and collections — work that directly impacts cash flow.</w:t>
      </w:r>
    </w:p>
    <w:p>
      <w:pPr>
        <w:spacing w:after="280" w:before="0"/>
      </w:pPr>
    </w:p>
    <w:p>
      <w:pPr>
        <w:pBdr>
          <w:bottom w:val="single" w:color="1A73E8" w:sz="4" w:space="6"/>
        </w:pBdr>
        <w:spacing w:after="160" w:before="320"/>
      </w:pPr>
      <w:r>
        <w:rPr>
          <w:rFonts w:ascii="Arial" w:cs="Arial" w:eastAsia="Arial" w:hAnsi="Arial"/>
          <w:b/>
          <w:bCs/>
          <w:color w:val="0D47A1"/>
          <w:sz w:val="26"/>
          <w:szCs w:val="26"/>
        </w:rPr>
        <w:t xml:space="preserve">05  WHERE THIS APPLIES</w:t>
      </w:r>
    </w:p>
    <w:p>
      <w:pPr>
        <w:spacing w:after="80" w:before="0"/>
      </w:pPr>
    </w:p>
    <w:p>
      <w:pPr>
        <w:spacing w:after="100" w:before="60"/>
      </w:pPr>
      <w:r>
        <w:rPr>
          <w:rFonts w:ascii="Arial" w:cs="Arial" w:eastAsia="Arial" w:hAnsi="Arial"/>
          <w:i w:val="false"/>
          <w:iCs w:val="false"/>
          <w:color w:val="222222"/>
          <w:sz w:val="22"/>
          <w:szCs w:val="22"/>
        </w:rPr>
        <w:t xml:space="preserve">Any mid-size company (50–500 people) where:</w:t>
      </w:r>
    </w:p>
    <w:p>
      <w:pPr>
        <w:pStyle w:val="ListParagraph"/>
        <w:numPr>
          <w:ilvl w:val="0"/>
          <w:numId w:val="2"/>
        </w:numPr>
        <w:spacing w:after="60" w:before="60"/>
      </w:pPr>
      <w:r>
        <w:rPr>
          <w:rFonts w:ascii="Arial" w:cs="Arial" w:eastAsia="Arial" w:hAnsi="Arial"/>
          <w:color w:val="222222"/>
          <w:sz w:val="22"/>
          <w:szCs w:val="22"/>
        </w:rPr>
        <w:t xml:space="preserve">Finance or ops team sends repetitive, data-driven emails manually</w:t>
      </w:r>
    </w:p>
    <w:p>
      <w:pPr>
        <w:pStyle w:val="ListParagraph"/>
        <w:numPr>
          <w:ilvl w:val="0"/>
          <w:numId w:val="2"/>
        </w:numPr>
        <w:spacing w:after="60" w:before="60"/>
      </w:pPr>
      <w:r>
        <w:rPr>
          <w:rFonts w:ascii="Arial" w:cs="Arial" w:eastAsia="Arial" w:hAnsi="Arial"/>
          <w:color w:val="222222"/>
          <w:sz w:val="22"/>
          <w:szCs w:val="22"/>
        </w:rPr>
        <w:t xml:space="preserve">ERP system lacks automated email dispatch</w:t>
      </w:r>
    </w:p>
    <w:p>
      <w:pPr>
        <w:pStyle w:val="ListParagraph"/>
        <w:numPr>
          <w:ilvl w:val="0"/>
          <w:numId w:val="2"/>
        </w:numPr>
        <w:spacing w:after="60" w:before="60"/>
      </w:pPr>
      <w:r>
        <w:rPr>
          <w:rFonts w:ascii="Arial" w:cs="Arial" w:eastAsia="Arial" w:hAnsi="Arial"/>
          <w:color w:val="222222"/>
          <w:sz w:val="22"/>
          <w:szCs w:val="22"/>
        </w:rPr>
        <w:t xml:space="preserve">Staff are non-technical — solution must require no training</w:t>
      </w:r>
    </w:p>
    <w:p>
      <w:pPr>
        <w:pStyle w:val="ListParagraph"/>
        <w:numPr>
          <w:ilvl w:val="0"/>
          <w:numId w:val="2"/>
        </w:numPr>
        <w:spacing w:after="60" w:before="60"/>
      </w:pPr>
      <w:r>
        <w:rPr>
          <w:rFonts w:ascii="Arial" w:cs="Arial" w:eastAsia="Arial" w:hAnsi="Arial"/>
          <w:color w:val="222222"/>
          <w:sz w:val="22"/>
          <w:szCs w:val="22"/>
        </w:rPr>
        <w:t xml:space="preserve">Volume is 10–100 emails/day with structured, consistent data</w:t>
      </w:r>
    </w:p>
    <w:p>
      <w:pPr>
        <w:spacing w:after="100" w:before="0"/>
      </w:pPr>
    </w:p>
    <w:p>
      <w:pPr>
        <w:spacing w:after="100" w:before="60"/>
      </w:pPr>
      <w:r>
        <w:rPr>
          <w:rFonts w:ascii="Arial" w:cs="Arial" w:eastAsia="Arial" w:hAnsi="Arial"/>
          <w:i w:val="false"/>
          <w:iCs w:val="false"/>
          <w:color w:val="555555"/>
          <w:sz w:val="22"/>
          <w:szCs w:val="22"/>
        </w:rPr>
        <w:t xml:space="preserve">Industries: Medical devices, pharma distribution, FMCG, industrial goods — any business with dealer/distributor networks.</w:t>
      </w:r>
    </w:p>
    <w:p>
      <w:pPr>
        <w:spacing w:after="200" w:before="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1E8449" w:sz="6"/>
              <w:left w:val="none" w:color="FFFFFF" w:sz="0"/>
              <w:bottom w:val="none" w:color="FFFFFF" w:sz="0"/>
              <w:right w:val="none" w:color="FFFFFF" w:sz="0"/>
            </w:tcBorders>
            <w:shd w:fill="F0FFF4" w:val="clear"/>
            <w:tcMar>
              <w:top w:type="dxa" w:w="160"/>
              <w:left w:type="dxa" w:w="280"/>
              <w:bottom w:type="dxa" w:w="160"/>
              <w:right w:type="dxa" w:w="280"/>
            </w:tcMar>
          </w:tcPr>
          <w:p>
            <w:r>
              <w:rPr>
                <w:rFonts w:ascii="Arial" w:cs="Arial" w:eastAsia="Arial" w:hAnsi="Arial"/>
                <w:b/>
                <w:bCs/>
                <w:color w:val="1E8449"/>
                <w:sz w:val="22"/>
                <w:szCs w:val="22"/>
              </w:rPr>
              <w:t xml:space="preserve">Enterprise / Data-Sensitive Environments</w:t>
            </w:r>
          </w:p>
          <w:p>
            <w:pPr>
              <w:spacing w:before="80"/>
            </w:pPr>
            <w:r>
              <w:rPr>
                <w:rFonts w:ascii="Arial" w:cs="Arial" w:eastAsia="Arial" w:hAnsi="Arial"/>
                <w:color w:val="333333"/>
                <w:sz w:val="20"/>
                <w:szCs w:val="20"/>
              </w:rPr>
              <w:t xml:space="preserve">Available as a </w:t>
            </w:r>
            <w:r>
              <w:rPr>
                <w:rFonts w:ascii="Arial" w:cs="Arial" w:eastAsia="Arial" w:hAnsi="Arial"/>
                <w:b/>
                <w:bCs/>
                <w:color w:val="0D47A1"/>
                <w:sz w:val="20"/>
                <w:szCs w:val="20"/>
              </w:rPr>
              <w:t xml:space="preserve">self-hosted deployment</w:t>
            </w:r>
            <w:r>
              <w:rPr>
                <w:rFonts w:ascii="Arial" w:cs="Arial" w:eastAsia="Arial" w:hAnsi="Arial"/>
                <w:color w:val="333333"/>
                <w:sz w:val="20"/>
                <w:szCs w:val="20"/>
              </w:rPr>
              <w:t xml:space="preserve"> for organisations where cloud AI is restricted by IT or data policy. Runs on-premise via Ollama + open-source models, or within your Azure tenant via Azure OpenAI. </w:t>
            </w:r>
            <w:r>
              <w:rPr>
                <w:rFonts w:ascii="Arial" w:cs="Arial" w:eastAsia="Arial" w:hAnsi="Arial"/>
                <w:b/>
                <w:bCs/>
                <w:color w:val="1E8449"/>
                <w:sz w:val="20"/>
                <w:szCs w:val="20"/>
              </w:rPr>
              <w:t xml:space="preserve">Zero data leaves your network. </w:t>
            </w:r>
            <w:r>
              <w:rPr>
                <w:rFonts w:ascii="Arial" w:cs="Arial" w:eastAsia="Arial" w:hAnsi="Arial"/>
                <w:i/>
                <w:iCs/>
                <w:color w:val="555555"/>
                <w:sz w:val="20"/>
                <w:szCs w:val="20"/>
              </w:rPr>
              <w:t xml:space="preserve">See Enterprise Deployment Guide.</w:t>
            </w:r>
          </w:p>
        </w:tc>
      </w:tr>
    </w:tbl>
    <w:p>
      <w:pPr>
        <w:spacing w:after="280" w:before="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6840"/>
        <w:gridCol w:w="3000"/>
      </w:tblGrid>
      <w:tr>
        <w:tc>
          <w:tcPr>
            <w:tcW w:type="dxa" w:w="6840"/>
            <w:tcBorders>
              <w:top w:val="none" w:color="FFFFFF" w:sz="0"/>
              <w:left w:val="none" w:color="FFFFFF" w:sz="0"/>
              <w:bottom w:val="none" w:color="FFFFFF" w:sz="0"/>
              <w:right w:val="none" w:color="FFFFFF" w:sz="0"/>
            </w:tcBorders>
            <w:shd w:fill="0D47A1" w:val="clear"/>
            <w:tcMar>
              <w:top w:type="dxa" w:w="200"/>
              <w:left w:type="dxa" w:w="280"/>
              <w:bottom w:type="dxa" w:w="200"/>
              <w:right w:type="dxa" w:w="280"/>
            </w:tcMar>
            <w:vAlign w:val="center"/>
          </w:tcPr>
          <w:p>
            <w:r>
              <w:rPr>
                <w:rFonts w:ascii="Arial" w:cs="Arial" w:eastAsia="Arial" w:hAnsi="Arial"/>
                <w:b/>
                <w:bCs/>
                <w:color w:val="FFFFFF"/>
                <w:sz w:val="24"/>
                <w:szCs w:val="24"/>
              </w:rPr>
              <w:t xml:space="preserve">Niteesh Gupta</w:t>
            </w:r>
          </w:p>
          <w:p>
            <w:r>
              <w:rPr>
                <w:rFonts w:ascii="Arial" w:cs="Arial" w:eastAsia="Arial" w:hAnsi="Arial"/>
                <w:color w:val="A8C8F8"/>
                <w:sz w:val="18"/>
                <w:szCs w:val="18"/>
              </w:rPr>
              <w:t xml:space="preserve">Systems Builder · Commercial Operations · Process Automation</w:t>
            </w:r>
          </w:p>
          <w:p>
            <w:pPr>
              <w:spacing w:before="60"/>
            </w:pPr>
            <w:r>
              <w:rPr>
                <w:rFonts w:ascii="Arial" w:cs="Arial" w:eastAsia="Arial" w:hAnsi="Arial"/>
                <w:i/>
                <w:iCs/>
                <w:color w:val="CCDDEE"/>
                <w:sz w:val="18"/>
                <w:szCs w:val="18"/>
              </w:rPr>
              <w:t xml:space="preserve">Building workflow systems that do actual work — for industry, not just one company.</w:t>
            </w:r>
          </w:p>
        </w:tc>
        <w:tc>
          <w:tcPr>
            <w:tcW w:type="dxa" w:w="3000"/>
            <w:tcBorders>
              <w:top w:val="none" w:color="FFFFFF" w:sz="0"/>
              <w:left w:val="none" w:color="FFFFFF" w:sz="0"/>
              <w:bottom w:val="none" w:color="FFFFFF" w:sz="0"/>
              <w:right w:val="none" w:color="FFFFFF" w:sz="0"/>
            </w:tcBorders>
            <w:shd w:fill="1A73E8" w:val="clear"/>
            <w:tcMar>
              <w:top w:type="dxa" w:w="200"/>
              <w:left w:type="dxa" w:w="240"/>
              <w:bottom w:type="dxa" w:w="200"/>
              <w:right w:type="dxa" w:w="240"/>
            </w:tcMar>
            <w:vAlign w:val="center"/>
          </w:tcPr>
          <w:p>
            <w:pPr>
              <w:jc w:val="center"/>
            </w:pPr>
            <w:r>
              <w:rPr>
                <w:rFonts w:ascii="Arial" w:cs="Arial" w:eastAsia="Arial" w:hAnsi="Arial"/>
                <w:color w:val="FFFFFF"/>
                <w:sz w:val="20"/>
                <w:szCs w:val="20"/>
              </w:rPr>
              <w:t xml:space="preserve">Have a similar problem?</w:t>
            </w:r>
          </w:p>
          <w:p>
            <w:pPr>
              <w:spacing w:before="80"/>
              <w:jc w:val="center"/>
            </w:pPr>
            <w:r>
              <w:rPr>
                <w:rFonts w:ascii="Arial" w:cs="Arial" w:eastAsia="Arial" w:hAnsi="Arial"/>
                <w:b/>
                <w:bCs/>
                <w:color w:val="FFFFFF"/>
                <w:sz w:val="26"/>
                <w:szCs w:val="26"/>
              </w:rPr>
              <w:t xml:space="preserve">Let’s talk.</w:t>
            </w:r>
          </w:p>
        </w:tc>
      </w:tr>
    </w:tbl>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2026-04-19T05:17:06.742Z</dcterms:created>
  <dcterms:modified xsi:type="dcterms:W3CDTF">2026-04-19T05:17:06.743Z</dcterms:modified>
</cp:coreProperties>
</file>

<file path=docProps/custom.xml><?xml version="1.0" encoding="utf-8"?>
<Properties xmlns="http://schemas.openxmlformats.org/officeDocument/2006/custom-properties" xmlns:vt="http://schemas.openxmlformats.org/officeDocument/2006/docPropsVTypes"/>
</file>