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40"/>
        <w:gridCol w:w="3000"/>
      </w:tblGrid>
      <w:tr>
        <w:tc>
          <w:tcPr>
            <w:tcW w:type="dxa" w:w="6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47A1" w:val="clear"/>
            <w:tcMar>
              <w:top w:type="dxa" w:w="280"/>
              <w:left w:type="dxa" w:w="320"/>
              <w:bottom w:type="dxa" w:w="280"/>
              <w:right w:type="dxa" w:w="3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A8C8F8"/>
                <w:sz w:val="18"/>
                <w:szCs w:val="18"/>
              </w:rPr>
              <w:t xml:space="preserve">CASE STUDY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Dealer Credit Note Validation Automation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A8C8F8"/>
                <w:sz w:val="18"/>
                <w:szCs w:val="18"/>
              </w:rPr>
              <w:t xml:space="preserve">Finance Ops · Commercial Excellence · Live April 2025 · Power Query (M Code) · Near-Zero Errors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A100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2–4 hrs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per 500–800 line batch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↓ minutes</w:t>
            </w:r>
          </w:p>
        </w:tc>
      </w:tr>
    </w:tbl>
    <w:p>
      <w:pPr>
        <w:spacing w:after="280" w:before="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60"/>
        <w:gridCol w:w="2460"/>
        <w:gridCol w:w="2460"/>
        <w:gridCol w:w="2460"/>
      </w:tblGrid>
      <w:tr>
        <w:tc>
          <w:tcPr>
            <w:tcW w:type="dxa" w:w="2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D" w:val="clear"/>
            <w:tcMar>
              <w:top w:type="dxa" w:w="180"/>
              <w:left w:type="dxa" w:w="200"/>
              <w:bottom w:type="dxa" w:w="1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3E8"/>
                <w:sz w:val="40"/>
                <w:szCs w:val="40"/>
              </w:rPr>
              <w:t xml:space="preserve">500–800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Lines/Batch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4A100"/>
                <w:sz w:val="16"/>
                <w:szCs w:val="16"/>
              </w:rPr>
              <w:t xml:space="preserve">SKU-level validation</w:t>
            </w:r>
          </w:p>
        </w:tc>
        <w:tc>
          <w:tcPr>
            <w:tcW w:type="dxa" w:w="2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D" w:val="clear"/>
            <w:tcMar>
              <w:top w:type="dxa" w:w="180"/>
              <w:left w:type="dxa" w:w="200"/>
              <w:bottom w:type="dxa" w:w="1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3E8"/>
                <w:sz w:val="40"/>
                <w:szCs w:val="40"/>
              </w:rPr>
              <w:t xml:space="preserve">5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Logic Layers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4A100"/>
                <w:sz w:val="16"/>
                <w:szCs w:val="16"/>
              </w:rPr>
              <w:t xml:space="preserve">rules automated</w:t>
            </w:r>
          </w:p>
        </w:tc>
        <w:tc>
          <w:tcPr>
            <w:tcW w:type="dxa" w:w="2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D" w:val="clear"/>
            <w:tcMar>
              <w:top w:type="dxa" w:w="180"/>
              <w:left w:type="dxa" w:w="200"/>
              <w:bottom w:type="dxa" w:w="1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3E8"/>
                <w:sz w:val="40"/>
                <w:szCs w:val="40"/>
              </w:rPr>
              <w:t xml:space="preserve">1+ Year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In Production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4A100"/>
                <w:sz w:val="16"/>
                <w:szCs w:val="16"/>
              </w:rPr>
              <w:t xml:space="preserve">April 2025 onwards</w:t>
            </w:r>
          </w:p>
        </w:tc>
        <w:tc>
          <w:tcPr>
            <w:tcW w:type="dxa" w:w="2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D" w:val="clear"/>
            <w:tcMar>
              <w:top w:type="dxa" w:w="180"/>
              <w:left w:type="dxa" w:w="200"/>
              <w:bottom w:type="dxa" w:w="1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3E8"/>
                <w:sz w:val="40"/>
                <w:szCs w:val="40"/>
              </w:rPr>
              <w:t xml:space="preserve">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Active Users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4A100"/>
                <w:sz w:val="16"/>
                <w:szCs w:val="16"/>
              </w:rPr>
              <w:t xml:space="preserve">near-zero errors</w:t>
            </w:r>
          </w:p>
        </w:tc>
      </w:tr>
    </w:tbl>
    <w:p>
      <w:pPr>
        <w:spacing w:after="300" w:before="0"/>
      </w:pPr>
    </w:p>
    <w:p>
      <w:pPr>
        <w:pBdr>
          <w:bottom w:val="single" w:color="1A73E8" w:sz="4" w:space="6"/>
        </w:pBdr>
        <w:spacing w:after="160" w:before="32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01  BUSINESS CONTEXT</w:t>
      </w:r>
    </w:p>
    <w:p>
      <w:pPr>
        <w:spacing w:after="60" w:before="0"/>
      </w:pPr>
    </w:p>
    <w:p>
      <w:pPr>
        <w:spacing w:after="100" w:before="60"/>
      </w:pPr>
      <w:r>
        <w:rPr>
          <w:rFonts w:ascii="Arial" w:cs="Arial" w:eastAsia="Arial" w:hAnsi="Arial"/>
          <w:i w:val="false"/>
          <w:iCs w:val="false"/>
          <w:color w:val="222222"/>
          <w:sz w:val="22"/>
          <w:szCs w:val="22"/>
        </w:rPr>
        <w:t xml:space="preserve">In medical devices distribution, dealers purchase goods at full dealer price (DP) and supply to hospitals/institutions at company-approved discounted rates. They claim the difference as a credit note — a structured reimbursement validated against actual purchase data before approval.</w:t>
      </w:r>
    </w:p>
    <w:p>
      <w:pPr>
        <w:spacing w:after="80" w:before="0"/>
      </w:pPr>
    </w:p>
    <w:p>
      <w:pPr>
        <w:spacing w:after="100" w:before="60"/>
      </w:pPr>
      <w:r>
        <w:rPr>
          <w:rFonts w:ascii="Arial" w:cs="Arial" w:eastAsia="Arial" w:hAnsi="Arial"/>
          <w:i w:val="false"/>
          <w:iCs w:val="false"/>
          <w:color w:val="222222"/>
          <w:sz w:val="22"/>
          <w:szCs w:val="22"/>
        </w:rPr>
        <w:t xml:space="preserve">Three types of invalid claims were common: quantities not actually purchased, rates higher than actual purchase price, and claims submitted beyond the 60-day eligibility window. Each passed claim = real revenue leakage.</w:t>
      </w:r>
    </w:p>
    <w:p>
      <w:pPr>
        <w:spacing w:after="280" w:before="0"/>
      </w:pPr>
    </w:p>
    <w:p>
      <w:pPr>
        <w:pBdr>
          <w:bottom w:val="single" w:color="1A73E8" w:sz="4" w:space="6"/>
        </w:pBdr>
        <w:spacing w:after="160" w:before="32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02  THE PROBLEM</w:t>
      </w:r>
    </w:p>
    <w:p>
      <w:pPr>
        <w:spacing w:after="60" w:before="0"/>
      </w:pPr>
    </w:p>
    <w:p>
      <w:pPr>
        <w:spacing w:after="100" w:before="60"/>
      </w:pPr>
      <w:r>
        <w:rPr>
          <w:rFonts w:ascii="Arial" w:cs="Arial" w:eastAsia="Arial" w:hAnsi="Arial"/>
          <w:i w:val="false"/>
          <w:iCs w:val="false"/>
          <w:color w:val="222222"/>
          <w:sz w:val="22"/>
          <w:szCs w:val="22"/>
        </w:rPr>
        <w:t xml:space="preserve">Each dealer credit note submission: 500–800 line items, each requiring cross-validation against primary sales data across 5 dimensions. Manually. Row by row.</w:t>
      </w:r>
    </w:p>
    <w:p>
      <w:pPr>
        <w:spacing w:after="100" w:before="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40"/>
      </w:tblGrid>
      <w:tr>
        <w:tc>
          <w:tcPr>
            <w:tcW w:type="dxa" w:w="9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5 Manual Checks Per Line Item (500–800 Lines Per Batch)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  SKU match — does this product exist in purchase data for this dealer?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2.  Quantity check — is claimed qty within actual purchased qty?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3.  Purchase rate verification — does claimed purchase price match actual invoice?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4.  Supply rate check — is claimed supply price at an approved discounted rate?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5.  60-day timeline — was claim submitted within the eligibility window?</w:t>
            </w:r>
          </w:p>
          <w:p>
            <w:pPr>
              <w:spacing w:before="10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2–4 hours per batch. Done manually. Human error risk on every line. Revenue leakage on every incorrect approval.</w:t>
            </w:r>
          </w:p>
        </w:tc>
      </w:tr>
    </w:tbl>
    <w:p>
      <w:pPr>
        <w:spacing w:after="280" w:before="0"/>
      </w:pPr>
    </w:p>
    <w:p>
      <w:pPr>
        <w:pBdr>
          <w:bottom w:val="single" w:color="1A73E8" w:sz="4" w:space="6"/>
        </w:pBdr>
        <w:spacing w:after="160" w:before="32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03  THE SOLUTION</w:t>
      </w:r>
    </w:p>
    <w:p>
      <w:pPr>
        <w:spacing w:after="60" w:before="0"/>
      </w:pPr>
    </w:p>
    <w:p>
      <w:pPr>
        <w:spacing w:after="100" w:before="60"/>
      </w:pPr>
      <w:r>
        <w:rPr>
          <w:rFonts w:ascii="Arial" w:cs="Arial" w:eastAsia="Arial" w:hAnsi="Arial"/>
          <w:i w:val="false"/>
          <w:iCs w:val="false"/>
          <w:color w:val="222222"/>
          <w:sz w:val="22"/>
          <w:szCs w:val="22"/>
        </w:rPr>
        <w:t xml:space="preserve">Built a Power Query automation using M Code in Excel. Finance team pastes credit note data in Sheet 1 and dealer purchase data in Sheet 2. Run the query. Output: line-wise result with automated status per claim.</w:t>
      </w:r>
    </w:p>
    <w:p>
      <w:pPr>
        <w:spacing w:after="120" w:before="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5040"/>
      </w:tblGrid>
      <w:tr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D" w:val="clear"/>
            <w:tcMar>
              <w:top w:type="dxa" w:w="180"/>
              <w:left w:type="dxa" w:w="240"/>
              <w:bottom w:type="dxa" w:w="1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22"/>
                <w:szCs w:val="22"/>
              </w:rPr>
              <w:t xml:space="preserve">M Code Logic Applied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 Table.Group — group by Dealer, Product, Batch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 Table.NestedJoin — merge CN vs Purchase data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 Sum CN Qty vs Total Purchase Qty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 Compare CN Rate vs Max Purchase Rate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 Duration.Days — 60-day cutoff check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 Approved_Qty calculated (null-safe)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 Final_Status: Pass / Partial Pass / Fail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 Submission_Status: ✓ Within 60 Days / ✗ Exceeded</w:t>
            </w: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D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22"/>
                <w:szCs w:val="22"/>
              </w:rPr>
              <w:t xml:space="preserve">Output Per Line</w:t>
            </w:r>
          </w:p>
          <w:p>
            <w:pPr>
              <w:spacing w:before="100"/>
            </w:pPr>
            <w:r>
              <w:rPr>
                <w:rFonts w:ascii="Arial" w:cs="Arial" w:eastAsia="Arial" w:hAnsi="Arial"/>
                <w:color w:val="1E8449"/>
                <w:sz w:val="20"/>
                <w:szCs w:val="20"/>
              </w:rPr>
              <w:t xml:space="preserve">✓  PASS — all 5 checks cleared</w:t>
            </w:r>
          </w:p>
          <w:p>
            <w:r>
              <w:rPr>
                <w:rFonts w:ascii="Arial" w:cs="Arial" w:eastAsia="Arial" w:hAnsi="Arial"/>
                <w:color w:val="E67E22"/>
                <w:sz w:val="20"/>
                <w:szCs w:val="20"/>
              </w:rPr>
              <w:t xml:space="preserve">⚠  PARTIAL PASS — approved qty less than claimed</w:t>
            </w:r>
          </w:p>
          <w:p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✗  FAIL — qty or rate mismatch</w:t>
            </w:r>
          </w:p>
          <w:p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⏰  REJECT (LATE) — beyond 60-day window</w:t>
            </w:r>
          </w:p>
          <w:p>
            <w:pPr>
              <w:spacing w:before="120"/>
            </w:pPr>
            <w:r>
              <w:rPr>
                <w:rFonts w:ascii="Arial" w:cs="Arial" w:eastAsia="Arial" w:hAnsi="Arial"/>
                <w:i/>
                <w:iCs/>
                <w:color w:val="333333"/>
                <w:sz w:val="20"/>
                <w:szCs w:val="20"/>
              </w:rPr>
              <w:t xml:space="preserve">Finance reviews exceptions only — not every line.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Tested on 6 real dealers including ESMART (1000+ lines), DHARA, KALKI, MEDISEVA, PARIJAT, AISHANI.</w:t>
            </w:r>
          </w:p>
        </w:tc>
      </w:tr>
    </w:tbl>
    <w:p>
      <w:pPr>
        <w:spacing w:after="280" w:before="0"/>
      </w:pPr>
    </w:p>
    <w:p>
      <w:pPr>
        <w:pBdr>
          <w:bottom w:val="single" w:color="1A73E8" w:sz="4" w:space="6"/>
        </w:pBdr>
        <w:spacing w:after="160" w:before="32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04  RESULTS &amp; IMPACT</w:t>
      </w:r>
    </w:p>
    <w:p>
      <w:pPr>
        <w:spacing w:after="100" w:before="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5540"/>
      </w:tblGrid>
      <w:tr>
        <w:tc>
          <w:tcPr>
            <w:tcW w:type="dxa" w:w="4300"/>
            <w:tcBorders>
              <w:top w:val="single" w:color="DDEAF8" w:sz="1"/>
              <w:left w:val="single" w:color="DDEAF8" w:sz="1"/>
              <w:bottom w:val="single" w:color="DDEAF8" w:sz="1"/>
              <w:right w:val="single" w:color="DDEAF8" w:sz="1"/>
            </w:tcBorders>
            <w:shd w:fill="0D47A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5540"/>
            <w:tcBorders>
              <w:top w:val="single" w:color="DDEAF8" w:sz="1"/>
              <w:left w:val="single" w:color="DDEAF8" w:sz="1"/>
              <w:bottom w:val="single" w:color="DDEAF8" w:sz="1"/>
              <w:right w:val="single" w:color="DDEAF8" w:sz="1"/>
            </w:tcBorders>
            <w:shd w:fill="0D47A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</w:tr>
      <w:tr>
        <w:tc>
          <w:tcPr>
            <w:tcW w:type="dxa" w:w="4300"/>
            <w:tcBorders>
              <w:top w:val="single" w:color="DDEAF8" w:sz="1"/>
              <w:left w:val="single" w:color="DDEAF8" w:sz="1"/>
              <w:bottom w:val="single" w:color="DDEAF8" w:sz="1"/>
              <w:right w:val="single" w:color="DDEAF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Processing time</w:t>
            </w:r>
          </w:p>
        </w:tc>
        <w:tc>
          <w:tcPr>
            <w:tcW w:type="dxa" w:w="5540"/>
            <w:tcBorders>
              <w:top w:val="single" w:color="DDEAF8" w:sz="1"/>
              <w:left w:val="single" w:color="DDEAF8" w:sz="1"/>
              <w:bottom w:val="single" w:color="DDEAF8" w:sz="1"/>
              <w:right w:val="single" w:color="DDEAF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2–4 hours → minutes per batch</w:t>
            </w:r>
          </w:p>
        </w:tc>
      </w:tr>
      <w:tr>
        <w:tc>
          <w:tcPr>
            <w:tcW w:type="dxa" w:w="4300"/>
            <w:tcBorders>
              <w:top w:val="single" w:color="DDEAF8" w:sz="1"/>
              <w:left w:val="single" w:color="DDEAF8" w:sz="1"/>
              <w:bottom w:val="single" w:color="DDEAF8" w:sz="1"/>
              <w:right w:val="single" w:color="DDEAF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Lines validated</w:t>
            </w:r>
          </w:p>
        </w:tc>
        <w:tc>
          <w:tcPr>
            <w:tcW w:type="dxa" w:w="5540"/>
            <w:tcBorders>
              <w:top w:val="single" w:color="DDEAF8" w:sz="1"/>
              <w:left w:val="single" w:color="DDEAF8" w:sz="1"/>
              <w:bottom w:val="single" w:color="DDEAF8" w:sz="1"/>
              <w:right w:val="single" w:color="DDEAF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500–1000+ SKU-level per run</w:t>
            </w:r>
          </w:p>
        </w:tc>
      </w:tr>
      <w:tr>
        <w:tc>
          <w:tcPr>
            <w:tcW w:type="dxa" w:w="4300"/>
            <w:tcBorders>
              <w:top w:val="single" w:color="DDEAF8" w:sz="1"/>
              <w:left w:val="single" w:color="DDEAF8" w:sz="1"/>
              <w:bottom w:val="single" w:color="DDEAF8" w:sz="1"/>
              <w:right w:val="single" w:color="DDEAF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Validation accuracy</w:t>
            </w:r>
          </w:p>
        </w:tc>
        <w:tc>
          <w:tcPr>
            <w:tcW w:type="dxa" w:w="5540"/>
            <w:tcBorders>
              <w:top w:val="single" w:color="DDEAF8" w:sz="1"/>
              <w:left w:val="single" w:color="DDEAF8" w:sz="1"/>
              <w:bottom w:val="single" w:color="DDEAF8" w:sz="1"/>
              <w:right w:val="single" w:color="DDEAF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Near-zero errors (manual risk eliminated)</w:t>
            </w:r>
          </w:p>
        </w:tc>
      </w:tr>
      <w:tr>
        <w:tc>
          <w:tcPr>
            <w:tcW w:type="dxa" w:w="4300"/>
            <w:tcBorders>
              <w:top w:val="single" w:color="DDEAF8" w:sz="1"/>
              <w:left w:val="single" w:color="DDEAF8" w:sz="1"/>
              <w:bottom w:val="single" w:color="DDEAF8" w:sz="1"/>
              <w:right w:val="single" w:color="DDEAF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In production</w:t>
            </w:r>
          </w:p>
        </w:tc>
        <w:tc>
          <w:tcPr>
            <w:tcW w:type="dxa" w:w="5540"/>
            <w:tcBorders>
              <w:top w:val="single" w:color="DDEAF8" w:sz="1"/>
              <w:left w:val="single" w:color="DDEAF8" w:sz="1"/>
              <w:bottom w:val="single" w:color="DDEAF8" w:sz="1"/>
              <w:right w:val="single" w:color="DDEAF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April 2025 — 1+ year continuous use</w:t>
            </w:r>
          </w:p>
        </w:tc>
      </w:tr>
      <w:tr>
        <w:tc>
          <w:tcPr>
            <w:tcW w:type="dxa" w:w="4300"/>
            <w:tcBorders>
              <w:top w:val="single" w:color="DDEAF8" w:sz="1"/>
              <w:left w:val="single" w:color="DDEAF8" w:sz="1"/>
              <w:bottom w:val="single" w:color="DDEAF8" w:sz="1"/>
              <w:right w:val="single" w:color="DDEAF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Active users</w:t>
            </w:r>
          </w:p>
        </w:tc>
        <w:tc>
          <w:tcPr>
            <w:tcW w:type="dxa" w:w="5540"/>
            <w:tcBorders>
              <w:top w:val="single" w:color="DDEAF8" w:sz="1"/>
              <w:left w:val="single" w:color="DDEAF8" w:sz="1"/>
              <w:bottom w:val="single" w:color="DDEAF8" w:sz="1"/>
              <w:right w:val="single" w:color="DDEAF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 finance/commercial team members</w:t>
            </w:r>
          </w:p>
        </w:tc>
      </w:tr>
      <w:tr>
        <w:tc>
          <w:tcPr>
            <w:tcW w:type="dxa" w:w="4300"/>
            <w:tcBorders>
              <w:top w:val="single" w:color="DDEAF8" w:sz="1"/>
              <w:left w:val="single" w:color="DDEAF8" w:sz="1"/>
              <w:bottom w:val="single" w:color="DDEAF8" w:sz="1"/>
              <w:right w:val="single" w:color="DDEAF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Revenue protection</w:t>
            </w:r>
          </w:p>
        </w:tc>
        <w:tc>
          <w:tcPr>
            <w:tcW w:type="dxa" w:w="5540"/>
            <w:tcBorders>
              <w:top w:val="single" w:color="DDEAF8" w:sz="1"/>
              <w:left w:val="single" w:color="DDEAF8" w:sz="1"/>
              <w:bottom w:val="single" w:color="DDEAF8" w:sz="1"/>
              <w:right w:val="single" w:color="DDEAF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Incorrect approvals and overdue claims eliminated</w:t>
            </w:r>
          </w:p>
        </w:tc>
      </w:tr>
      <w:tr>
        <w:tc>
          <w:tcPr>
            <w:tcW w:type="dxa" w:w="4300"/>
            <w:tcBorders>
              <w:top w:val="single" w:color="DDEAF8" w:sz="1"/>
              <w:left w:val="single" w:color="DDEAF8" w:sz="1"/>
              <w:bottom w:val="single" w:color="DDEAF8" w:sz="1"/>
              <w:right w:val="single" w:color="DDEAF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Finance team focus</w:t>
            </w:r>
          </w:p>
        </w:tc>
        <w:tc>
          <w:tcPr>
            <w:tcW w:type="dxa" w:w="5540"/>
            <w:tcBorders>
              <w:top w:val="single" w:color="DDEAF8" w:sz="1"/>
              <w:left w:val="single" w:color="DDEAF8" w:sz="1"/>
              <w:bottom w:val="single" w:color="DDEAF8" w:sz="1"/>
              <w:right w:val="single" w:color="DDEAF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Reviews exceptions only, not every line</w:t>
            </w:r>
          </w:p>
        </w:tc>
      </w:tr>
      <w:tr>
        <w:tc>
          <w:tcPr>
            <w:tcW w:type="dxa" w:w="4300"/>
            <w:tcBorders>
              <w:top w:val="single" w:color="DDEAF8" w:sz="1"/>
              <w:left w:val="single" w:color="DDEAF8" w:sz="1"/>
              <w:bottom w:val="single" w:color="DDEAF8" w:sz="1"/>
              <w:right w:val="single" w:color="DDEAF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Scalability</w:t>
            </w:r>
          </w:p>
        </w:tc>
        <w:tc>
          <w:tcPr>
            <w:tcW w:type="dxa" w:w="5540"/>
            <w:tcBorders>
              <w:top w:val="single" w:color="DDEAF8" w:sz="1"/>
              <w:left w:val="single" w:color="DDEAF8" w:sz="1"/>
              <w:bottom w:val="single" w:color="DDEAF8" w:sz="1"/>
              <w:right w:val="single" w:color="DDEAF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Plug-and-play monthly reuse — no rebuild needed</w:t>
            </w:r>
          </w:p>
        </w:tc>
      </w:tr>
    </w:tbl>
    <w:p>
      <w:pPr>
        <w:spacing w:after="200" w:before="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40"/>
      </w:tblGrid>
      <w:tr>
        <w:tc>
          <w:tcPr>
            <w:tcW w:type="dxa" w:w="9840"/>
            <w:tcBorders>
              <w:top w:val="none" w:color="FFFFFF" w:sz="0"/>
              <w:left w:val="single" w:color="F4A100" w:sz="12"/>
              <w:bottom w:val="none" w:color="FFFFFF" w:sz="0"/>
              <w:right w:val="none" w:color="FFFFFF" w:sz="0"/>
            </w:tcBorders>
            <w:shd w:fill="FFFBF0" w:val="clear"/>
            <w:tcMar>
              <w:top w:type="dxa" w:w="140"/>
              <w:left w:type="dxa" w:w="280"/>
              <w:bottom w:type="dxa" w:w="140"/>
              <w:right w:type="dxa" w:w="280"/>
            </w:tcMar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21"/>
                <w:szCs w:val="21"/>
              </w:rPr>
              <w:t xml:space="preserve">“This tool will make the CN workload a smooth process full of excitement and learning. What efforts are vested into this — SPLENDID. This is the reason why you outshine always.”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b/>
                <w:bCs/>
                <w:color w:val="555555"/>
                <w:sz w:val="19"/>
                <w:szCs w:val="19"/>
              </w:rPr>
              <w:t xml:space="preserve">— Nisha Gaur, Sr. Supply Chain Manager, Coloplast India</w:t>
            </w:r>
          </w:p>
        </w:tc>
      </w:tr>
    </w:tbl>
    <w:p>
      <w:pPr>
        <w:spacing w:after="280" w:before="0"/>
      </w:pPr>
    </w:p>
    <w:p>
      <w:pPr>
        <w:pBdr>
          <w:bottom w:val="single" w:color="1A73E8" w:sz="4" w:space="6"/>
        </w:pBdr>
        <w:spacing w:after="160" w:before="32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05  UPCOMING ENHANCEMENT</w:t>
      </w:r>
    </w:p>
    <w:p>
      <w:pPr>
        <w:spacing w:after="80" w:before="0"/>
      </w:pPr>
    </w:p>
    <w:p>
      <w:pPr>
        <w:spacing w:after="100" w:before="60"/>
      </w:pPr>
      <w:r>
        <w:rPr>
          <w:rFonts w:ascii="Arial" w:cs="Arial" w:eastAsia="Arial" w:hAnsi="Arial"/>
          <w:i w:val="false"/>
          <w:iCs w:val="false"/>
          <w:color w:val="222222"/>
          <w:sz w:val="22"/>
          <w:szCs w:val="22"/>
        </w:rPr>
        <w:t xml:space="preserve">A QC check layer is being added: an additional validation pass catching data entry inconsistencies before the main query runs. Will further reduce exception rate and make output audit-ready for finance sign-off.</w:t>
      </w:r>
    </w:p>
    <w:p>
      <w:pPr>
        <w:spacing w:after="80" w:before="0"/>
      </w:pPr>
    </w:p>
    <w:p>
      <w:pPr>
        <w:spacing w:after="100" w:before="60"/>
      </w:pPr>
      <w:r>
        <w:rPr>
          <w:rFonts w:ascii="Arial" w:cs="Arial" w:eastAsia="Arial" w:hAnsi="Arial"/>
          <w:i w:val="false"/>
          <w:iCs w:val="false"/>
          <w:color w:val="222222"/>
          <w:sz w:val="22"/>
          <w:szCs w:val="22"/>
        </w:rPr>
        <w:t xml:space="preserve">Future enhancements scoped: dashboard for rejected claims, email triggers for dealers on claim status, dynamic 30/60/90-day logic configuration.</w:t>
      </w:r>
    </w:p>
    <w:p>
      <w:pPr>
        <w:spacing w:after="280" w:before="0"/>
      </w:pPr>
    </w:p>
    <w:p>
      <w:pPr>
        <w:pBdr>
          <w:bottom w:val="single" w:color="1A73E8" w:sz="4" w:space="6"/>
        </w:pBdr>
        <w:spacing w:after="160" w:before="32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06  WHERE THIS APPLIES</w:t>
      </w:r>
    </w:p>
    <w:p>
      <w:pPr>
        <w:spacing w:after="80" w:before="0"/>
      </w:pPr>
    </w:p>
    <w:p>
      <w:pPr>
        <w:spacing w:after="100" w:before="60"/>
      </w:pPr>
      <w:r>
        <w:rPr>
          <w:rFonts w:ascii="Arial" w:cs="Arial" w:eastAsia="Arial" w:hAnsi="Arial"/>
          <w:i w:val="false"/>
          <w:iCs w:val="false"/>
          <w:color w:val="222222"/>
          <w:sz w:val="22"/>
          <w:szCs w:val="22"/>
        </w:rPr>
        <w:t xml:space="preserve">Any company where: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Channel partners submit structured reimbursement or incentive claims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Claims must be validated against internal sales or invoice data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Claim volumes make manual line-by-line checking impractical (100+ lines)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Financial risk of incorrect approvals is significant</w:t>
      </w:r>
    </w:p>
    <w:p>
      <w:pPr>
        <w:spacing w:after="100" w:before="0"/>
      </w:pPr>
    </w:p>
    <w:p>
      <w:pPr>
        <w:spacing w:after="100" w:before="60"/>
      </w:pPr>
      <w:r>
        <w:rPr>
          <w:rFonts w:ascii="Arial" w:cs="Arial" w:eastAsia="Arial" w:hAnsi="Arial"/>
          <w:i w:val="false"/>
          <w:iCs w:val="false"/>
          <w:color w:val="555555"/>
          <w:sz w:val="22"/>
          <w:szCs w:val="22"/>
        </w:rPr>
        <w:t xml:space="preserve">Industries: Medical devices, pharma, FMCG, consumer goods, telecom — any business with channel incentives, scheme settlements, or trade discount claims.</w:t>
      </w:r>
    </w:p>
    <w:p>
      <w:pPr>
        <w:spacing w:after="200" w:before="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40"/>
      </w:tblGrid>
      <w:tr>
        <w:tc>
          <w:tcPr>
            <w:tcW w:type="dxa" w:w="9840"/>
            <w:tcBorders>
              <w:top w:val="single" w:color="1E8449" w:sz="6"/>
              <w:left w:val="none" w:color="FFFFFF" w:sz="0"/>
              <w:bottom w:val="none" w:color="FFFFFF" w:sz="0"/>
              <w:right w:val="none" w:color="FFFFFF" w:sz="0"/>
            </w:tcBorders>
            <w:shd w:fill="F0FFF4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Enterprise / Data-Sensitive Environments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Available as a </w:t>
            </w:r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self-hosted deployment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for organisations where cloud AI is restricted by IT or data policy. Runs on-premise via Ollama + open-source models, or within your Azure tenant via Azure OpenAI. </w:t>
            </w: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Zero data leaves your network. </w:t>
            </w: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See Enterprise Deployment Guide.</w:t>
            </w:r>
          </w:p>
        </w:tc>
      </w:tr>
    </w:tbl>
    <w:p>
      <w:pPr>
        <w:spacing w:after="280" w:before="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40"/>
        <w:gridCol w:w="3000"/>
      </w:tblGrid>
      <w:tr>
        <w:tc>
          <w:tcPr>
            <w:tcW w:type="dxa" w:w="6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47A1" w:val="clear"/>
            <w:tcMar>
              <w:top w:type="dxa" w:w="200"/>
              <w:left w:type="dxa" w:w="280"/>
              <w:bottom w:type="dxa" w:w="200"/>
              <w:right w:type="dxa" w:w="2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Niteesh Gupta</w:t>
            </w:r>
          </w:p>
          <w:p>
            <w:r>
              <w:rPr>
                <w:rFonts w:ascii="Arial" w:cs="Arial" w:eastAsia="Arial" w:hAnsi="Arial"/>
                <w:color w:val="A8C8F8"/>
                <w:sz w:val="18"/>
                <w:szCs w:val="18"/>
              </w:rPr>
              <w:t xml:space="preserve">Systems Builder · Commercial Operations · Process Automation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CCDDEE"/>
                <w:sz w:val="18"/>
                <w:szCs w:val="18"/>
              </w:rPr>
              <w:t xml:space="preserve">Building workflow systems that do actual work — for industry, not just one company.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3E8" w:val="clear"/>
            <w:tcMar>
              <w:top w:type="dxa" w:w="200"/>
              <w:left w:type="dxa" w:w="240"/>
              <w:bottom w:type="dxa" w:w="200"/>
              <w:right w:type="dxa" w:w="2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Have a similar problem?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Let’s talk.</w:t>
            </w:r>
          </w:p>
        </w:tc>
      </w:tr>
    </w:tbl>
    <w:sectPr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2026-04-19T05:17:07.012Z</dcterms:created>
  <dcterms:modified xsi:type="dcterms:W3CDTF">2026-04-19T05:17:07.012Z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