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Stakeholder Summary</w:t>
      </w:r>
    </w:p>
    <w:p>
      <w:pPr>
        <w:jc w:val="center"/>
      </w:pPr>
      <w:r>
        <w:rPr>
          <w:b/>
          <w:color w:val="5A5A5A"/>
          <w:sz w:val="24"/>
        </w:rPr>
        <w:t>Nassau Candy Distributor - Product Line Profitability &amp; Margin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Sales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Gross Profit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Gross Margin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Profit / Unit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$141,784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$93,443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65.9%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$2.42</w:t>
            </w:r>
          </w:p>
        </w:tc>
      </w:tr>
    </w:tbl>
    <w:p>
      <w:pPr>
        <w:pStyle w:val="Heading1"/>
      </w:pPr>
      <w:r>
        <w:t>Decision Message</w:t>
      </w:r>
    </w:p>
    <w:p>
      <w:r>
        <w:t>The portfolio is profitable overall, but financial performance is highly concentrated. Chocolate produces 95.1% of gross profit, and only five of fifteen products are needed to exceed 80% of total profit. Management should protect the core chocolate profit pool while using targeted corrective actions on margin-poor peripheral products.</w:t>
      </w:r>
    </w:p>
    <w:p>
      <w:pPr>
        <w:pStyle w:val="Heading1"/>
      </w:pPr>
      <w:r>
        <w:t>Priority Findings</w:t>
      </w:r>
    </w:p>
    <w:p>
      <w:pPr>
        <w:pStyle w:val="ListBullet"/>
      </w:pPr>
      <w:r>
        <w:t>Top profit product: Wonka Bar - Scrumdiddlyumptious - $19,358 gross profit at 69.4% margin.</w:t>
      </w:r>
    </w:p>
    <w:p>
      <w:pPr>
        <w:pStyle w:val="ListBullet"/>
      </w:pPr>
      <w:r>
        <w:t>Primary margin risk: Kazookles - 7.7% margin and only $0.25 profit per unit.</w:t>
      </w:r>
    </w:p>
    <w:p>
      <w:pPr>
        <w:pStyle w:val="ListBullet"/>
      </w:pPr>
      <w:r>
        <w:t>Other division efficiency gap: 6.8% of revenue versus 4.6% of profit.</w:t>
      </w:r>
    </w:p>
    <w:p>
      <w:pPr>
        <w:pStyle w:val="ListBullet"/>
      </w:pPr>
      <w:r>
        <w:t>Sugar division is small (0.30% of sales) but not structurally margin-poor (66.6% margin).</w:t>
      </w:r>
    </w:p>
    <w:p>
      <w:pPr>
        <w:pStyle w:val="ListBullet"/>
      </w:pPr>
      <w:r>
        <w:t>No major high-sales/low-margin SKU was found among the five dominant chocolate products.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Urgently review Kazookles pricing, cost base and portfolio fit.</w:t>
      </w:r>
    </w:p>
    <w:p>
      <w:pPr>
        <w:pStyle w:val="ListBullet"/>
      </w:pPr>
      <w:r>
        <w:t>Test price/cost improvement for Lickable Wallpaper before considering rationalization.</w:t>
      </w:r>
    </w:p>
    <w:p>
      <w:pPr>
        <w:pStyle w:val="ListBullet"/>
      </w:pPr>
      <w:r>
        <w:t>Protect supply and commercial availability for the five core chocolate products.</w:t>
      </w:r>
    </w:p>
    <w:p>
      <w:pPr>
        <w:pStyle w:val="ListBullet"/>
      </w:pPr>
      <w:r>
        <w:t>Add contribution-margin inputs such as freight, warehousing, discounts and returns.</w:t>
      </w:r>
    </w:p>
    <w:p>
      <w:pPr>
        <w:pStyle w:val="ListBullet"/>
      </w:pPr>
      <w:r>
        <w:t>Use the Streamlit dashboard as a monthly SKU margin governance tool.</w:t>
      </w:r>
    </w:p>
    <w:p>
      <w:pPr>
        <w:pStyle w:val="Heading1"/>
      </w:pPr>
      <w:r>
        <w:t>Governance / Data Caveat</w:t>
      </w:r>
    </w:p>
    <w:p>
      <w:r>
        <w:t>The supplied Ship Date values are inconsistent with the Order Date period, so shipping-duration or route-performance conclusions are excluded. The analysis is restricted to validated financial fields and product/division structures.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