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120"/>
        <w:jc w:val="center"/>
      </w:pPr>
      <w:r>
        <w:rPr>
          <w:rFonts w:ascii="Calibri" w:cs="Calibri" w:eastAsia="Calibri" w:hAnsi="Calibri"/>
          <w:b/>
          <w:bCs/>
          <w:color w:val="0B6E8F"/>
          <w:sz w:val="52"/>
          <w:szCs w:val="52"/>
        </w:rPr>
        <w:t xml:space="preserve">CVBW-DeepFit</w:t>
      </w:r>
    </w:p>
    <w:p>
      <w:pPr>
        <w:pBdr>
          <w:bottom w:val="single" w:color="C2410C" w:sz="12"/>
        </w:pBdr>
        <w:spacing w:after="300"/>
        <w:jc w:val="center"/>
      </w:pPr>
      <w:r>
        <w:rPr>
          <w:rFonts w:ascii="Calibri" w:cs="Calibri" w:eastAsia="Calibri" w:hAnsi="Calibri"/>
          <w:sz w:val="4"/>
          <w:szCs w:val="4"/>
        </w:rPr>
        <w:t xml:space="preserve"/>
      </w:r>
    </w:p>
    <w:p>
      <w:pPr>
        <w:spacing w:after="340"/>
        <w:jc w:val="center"/>
      </w:pPr>
      <w:r>
        <w:rPr>
          <w:rFonts w:ascii="Calibri" w:cs="Calibri" w:eastAsia="Calibri" w:hAnsi="Calibri"/>
          <w:b/>
          <w:bCs/>
          <w:color w:val="1A1A2E"/>
          <w:sz w:val="30"/>
          <w:szCs w:val="30"/>
        </w:rPr>
        <w:t xml:space="preserve">Audiogram-Conditioned Deep Denoising Fused with a Differentiable Continuously Variable Bandwidth Filter Bank for Sub-5 ms, Hardware-Efficient Hearing Aid Processing</w:t>
      </w:r>
    </w:p>
    <w:p>
      <w:pPr>
        <w:spacing w:after="80"/>
        <w:jc w:val="center"/>
      </w:pPr>
      <w:r>
        <w:rPr>
          <w:rFonts w:ascii="Calibri" w:cs="Calibri" w:eastAsia="Calibri" w:hAnsi="Calibri"/>
          <w:i/>
          <w:iCs/>
          <w:color w:val="666666"/>
          <w:sz w:val="22"/>
          <w:szCs w:val="22"/>
        </w:rPr>
        <w:t xml:space="preserve">A Q1-Journal Research Manuscript Outline</w:t>
      </w:r>
    </w:p>
    <w:p>
      <w:pPr>
        <w:spacing w:after="500"/>
        <w:jc w:val="center"/>
      </w:pPr>
      <w:r>
        <w:rPr>
          <w:rFonts w:ascii="Calibri" w:cs="Calibri" w:eastAsia="Calibri" w:hAnsi="Calibri"/>
          <w:color w:val="888888"/>
          <w:sz w:val="18"/>
          <w:szCs w:val="18"/>
        </w:rPr>
        <w:t xml:space="preserve">Domain: Biomedical Deep Learning · Hearing Aids · Continuously Variable Bandwidth Filters</w:t>
      </w:r>
    </w:p>
    <w:p>
      <w:pPr>
        <w:spacing w:after="60"/>
        <w:jc w:val="center"/>
      </w:pPr>
      <w:r>
        <w:rPr>
          <w:rFonts w:ascii="Calibri" w:cs="Calibri" w:eastAsia="Calibri" w:hAnsi="Calibri"/>
          <w:b/>
          <w:bCs/>
          <w:sz w:val="18"/>
          <w:szCs w:val="18"/>
        </w:rPr>
        <w:t xml:space="preserve">Target venues: </w:t>
      </w:r>
      <w:r>
        <w:rPr>
          <w:rFonts w:ascii="Calibri" w:cs="Calibri" w:eastAsia="Calibri" w:hAnsi="Calibri"/>
          <w:color w:val="555555"/>
          <w:sz w:val="18"/>
          <w:szCs w:val="18"/>
        </w:rPr>
        <w:t xml:space="preserve">IEEE Trans. Biomedical Circuits and Systems · IEEE/ACM TASLP · Trends in Hearing · AEÜ</w:t>
      </w:r>
    </w:p>
    <w:p>
      <w:r>
        <w:br w:type="page"/>
      </w:r>
    </w:p>
    <w:p>
      <w:pPr>
        <w:pStyle w:val="Heading1"/>
        <w:spacing w:after="140" w:before="300"/>
      </w:pPr>
      <w:r>
        <w:rPr>
          <w:rFonts w:ascii="Calibri" w:cs="Calibri" w:eastAsia="Calibri" w:hAnsi="Calibri"/>
          <w:b/>
          <w:bCs/>
          <w:color w:val="0B6E8F"/>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0B6E8F"/>
          <w:sz w:val="30"/>
          <w:szCs w:val="30"/>
        </w:rPr>
        <w:t xml:space="preserve">1. Title and Framing</w:t>
      </w:r>
    </w:p>
    <w:p>
      <w:pPr>
        <w:spacing w:after="140" w:line="276"/>
        <w:jc w:val="both"/>
      </w:pPr>
      <w:r>
        <w:rPr>
          <w:rFonts w:ascii="Calibri" w:cs="Calibri" w:eastAsia="Calibri" w:hAnsi="Calibri"/>
          <w:b/>
          <w:bCs/>
        </w:rPr>
        <w:t xml:space="preserve">Primary title. </w:t>
      </w:r>
      <w:r>
        <w:rPr>
          <w:rFonts w:ascii="Calibri" w:cs="Calibri" w:eastAsia="Calibri" w:hAnsi="Calibri"/>
        </w:rPr>
        <w:t xml:space="preserve">CVBW-DeepFit: Audiogram-Conditioned Deep Denoising Fused with a Differentiable Continuously Variable Bandwidth Filter Bank for Sub-5 ms, Hardware-Efficient Hearing Aid Processing.</w:t>
      </w:r>
    </w:p>
    <w:p>
      <w:pPr>
        <w:spacing w:after="140" w:line="276"/>
        <w:jc w:val="both"/>
      </w:pPr>
      <w:r>
        <w:rPr>
          <w:rFonts w:ascii="Calibri" w:cs="Calibri" w:eastAsia="Calibri" w:hAnsi="Calibri"/>
        </w:rPr>
        <w:t xml:space="preserve">The manuscript unifies two historically separate research silos. Deep-learning denoising work optimizes what the signal should sound like but treats the hearing aid's own fitting and amplification stage as an untouched downstream black box, and reports either infeasible latency or listener-dependent harm. Variable-bandwidth filter work optimizes how the device reshapes the spectrum for a given audiogram but assumes a clean input. This paper argues that these are the same filter-bank problem solved twice, and that collapsing them into a single differentiable structure produces simultaneous gains in latency, hardware cost, and personalized intelligibility.</w:t>
      </w:r>
    </w:p>
    <w:p>
      <w:pPr>
        <w:pStyle w:val="Heading3"/>
        <w:spacing w:after="80" w:before="160"/>
      </w:pPr>
      <w:r>
        <w:rPr>
          <w:rFonts w:ascii="Calibri" w:cs="Calibri" w:eastAsia="Calibri" w:hAnsi="Calibri"/>
          <w:b/>
          <w:bCs/>
          <w:i/>
          <w:iCs/>
          <w:color w:val="C2410C"/>
          <w:sz w:val="22"/>
          <w:szCs w:val="22"/>
        </w:rPr>
        <w:t xml:space="preserve">Alternative titles (same core work, different emphasis)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6800"/>
      </w:tblGrid>
      <w:tr>
        <w:trPr>
          <w:tblHeader/>
        </w:trPr>
        <w:tc>
          <w:tcPr>
            <w:tcW w:type="dxa" w:w="22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Emphasis</w:t>
            </w:r>
          </w:p>
        </w:tc>
        <w:tc>
          <w:tcPr>
            <w:tcW w:type="dxa" w:w="68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Title</w:t>
            </w:r>
          </w:p>
        </w:tc>
      </w:tr>
      <w:tr>
        <w:tc>
          <w:tcPr>
            <w:tcW w:type="dxa" w:w="22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Systems / co-design</w:t>
            </w:r>
          </w:p>
        </w:tc>
        <w:tc>
          <w:tcPr>
            <w:tcW w:type="dxa" w:w="68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Unifying Noise Reduction and Audiogram Matching: A Farrow-Structure Differentiable Filter Bank Front-End for Low-Latency Deep Hearing Aids</w:t>
            </w:r>
          </w:p>
        </w:tc>
      </w:tr>
      <w:tr>
        <w:tc>
          <w:tcPr>
            <w:tcW w:type="dxa" w:w="22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Personalization</w:t>
            </w:r>
          </w:p>
        </w:tc>
        <w:tc>
          <w:tcPr>
            <w:tcW w:type="dxa" w:w="68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Listener-Adaptive Speech Enhancement: Conditioning Deep Denoisers on the Audiogram to Eliminate the Normal-Hearing Penalty</w:t>
            </w:r>
          </w:p>
        </w:tc>
      </w:tr>
      <w:tr>
        <w:tc>
          <w:tcPr>
            <w:tcW w:type="dxa" w:w="22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Hardware</w:t>
            </w:r>
          </w:p>
        </w:tc>
        <w:tc>
          <w:tcPr>
            <w:tcW w:type="dxa" w:w="68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From FLOPs to Adders: A Multi-Objective Co-Optimized DNN + CVBW Filter Architecture for On-Device Hearing Aid Speech Enhancement</w:t>
            </w:r>
          </w:p>
        </w:tc>
      </w:tr>
    </w:tbl>
    <w:p>
      <w:pPr>
        <w:pStyle w:val="Heading1"/>
        <w:spacing w:after="140" w:before="300"/>
      </w:pPr>
      <w:r>
        <w:rPr>
          <w:rFonts w:ascii="Calibri" w:cs="Calibri" w:eastAsia="Calibri" w:hAnsi="Calibri"/>
          <w:b/>
          <w:bCs/>
          <w:color w:val="0B6E8F"/>
          <w:sz w:val="30"/>
          <w:szCs w:val="30"/>
        </w:rPr>
        <w:t xml:space="preserve">2. Abstract</w:t>
      </w:r>
    </w:p>
    <w:p>
      <w:pPr>
        <w:spacing w:after="140" w:line="276"/>
        <w:jc w:val="both"/>
      </w:pPr>
      <w:r>
        <w:rPr>
          <w:rFonts w:ascii="Calibri" w:cs="Calibri" w:eastAsia="Calibri" w:hAnsi="Calibri"/>
        </w:rPr>
        <w:t xml:space="preserve">Deep neural network (DNN) noise reduction now improves speech reception thresholds (SRTs) for hearing-impaired (HI) listeners and cochlear implant (CI) users, but three barriers block clinical deployment: algorithmic latency incompatible with open-fit hearing aids, computational cost far exceeding hearing-aid silicon, and listener-agnostic processing that degrades performance for listeners with better residual hearing. Separately, the digital-filter community has produced continuously variable bandwidth (CVBW) Farrow structures that match arbitrary audiograms with sub-decibel error using tens of multipliers. These two lines of work have never been unified.</w:t>
      </w:r>
    </w:p>
    <w:p>
      <w:pPr>
        <w:spacing w:after="140" w:line="276"/>
        <w:jc w:val="both"/>
      </w:pPr>
      <w:r>
        <w:rPr>
          <w:rFonts w:ascii="Calibri" w:cs="Calibri" w:eastAsia="Calibri" w:hAnsi="Calibri"/>
        </w:rPr>
        <w:t xml:space="preserve">We present CVBW-DeepFit, a single-channel hearing-aid processing pipeline in which a Farrow-differentiator-based CVBW filter bank serves simultaneously as (i) the learnable analysis front-end of a causal denoising network and (ii) the audiogram-matching synthesis stage, eliminating one full analysis-synthesis latency budget. The bandwidth factor and sub-band gains are made differentiable and trained end-to-end alongside a compact temporal-convolutional mask estimator conditioned on the listener's four-frequency pure-tone thresholds via feature-wise linear modulation, allowing suppression aggressiveness to scale with individual need. Training is driven by a multi-objective loss coupling a hearing-impaired mean-opinion-score estimator, HASPI, audiogram matching error, and a differentiable proxy for adder count; the resulting coefficients are quantized by multi-objective artificial bee colony optimization and modified shift-inclusive-differential common-subexpression elimination for multiplier-less FPGA realization. We evaluate on matrix sentence tests in three languages across normal-hearing, HI, and CI listeners, with objective metrics, adaptive SRT measurement, listening-effort pupillometry, and full FPGA resource characterization. We hypothesize equal or better SRT benefit than 23 ms spectral-domain baselines at under 5 ms total algorithmic latency and an order-of-magnitude reduction in arithmetic complexity.</w:t>
      </w:r>
    </w:p>
    <w:p>
      <w:pPr>
        <w:spacing w:after="140" w:line="276"/>
        <w:jc w:val="both"/>
      </w:pPr>
      <w:r>
        <w:rPr>
          <w:rFonts w:ascii="Calibri" w:cs="Calibri" w:eastAsia="Calibri" w:hAnsi="Calibri"/>
          <w:b/>
          <w:bCs/>
        </w:rPr>
        <w:t xml:space="preserve">Keywords: </w:t>
      </w:r>
      <w:r>
        <w:rPr>
          <w:rFonts w:ascii="Calibri" w:cs="Calibri" w:eastAsia="Calibri" w:hAnsi="Calibri"/>
          <w:i/>
          <w:iCs/>
        </w:rPr>
        <w:t xml:space="preserve">hearing aids; cochlear implants; deep neural networks; single-channel speech enhancement; continuously variable bandwidth filter; Farrow structure; audiogram matching; low latency; hardware co-design.</w:t>
      </w:r>
    </w:p>
    <w:p>
      <w:pPr>
        <w:pStyle w:val="Heading1"/>
        <w:spacing w:after="140" w:before="300"/>
      </w:pPr>
      <w:r>
        <w:rPr>
          <w:rFonts w:ascii="Calibri" w:cs="Calibri" w:eastAsia="Calibri" w:hAnsi="Calibri"/>
          <w:b/>
          <w:bCs/>
          <w:color w:val="0B6E8F"/>
          <w:sz w:val="30"/>
          <w:szCs w:val="30"/>
        </w:rPr>
        <w:t xml:space="preserve">3. Research Gaps</w:t>
      </w:r>
    </w:p>
    <w:p>
      <w:pPr>
        <w:spacing w:after="140" w:line="276"/>
        <w:jc w:val="both"/>
      </w:pPr>
      <w:r>
        <w:rPr>
          <w:rFonts w:ascii="Calibri" w:cs="Calibri" w:eastAsia="Calibri" w:hAnsi="Calibri"/>
        </w:rPr>
        <w:t xml:space="preserve">Seven gaps in the current literature jointly motivate the proposed work. Each is tied to specific evidence drawn from the reference studies.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700"/>
        <w:gridCol w:w="4300"/>
        <w:gridCol w:w="4000"/>
      </w:tblGrid>
      <w:tr>
        <w:trPr>
          <w:tblHeader/>
        </w:trPr>
        <w:tc>
          <w:tcPr>
            <w:tcW w:type="dxa" w:w="7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w:t>
            </w:r>
          </w:p>
        </w:tc>
        <w:tc>
          <w:tcPr>
            <w:tcW w:type="dxa" w:w="43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Gap</w:t>
            </w:r>
          </w:p>
        </w:tc>
        <w:tc>
          <w:tcPr>
            <w:tcW w:type="dxa" w:w="40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Supporting evidence</w:t>
            </w:r>
          </w:p>
        </w:tc>
      </w:tr>
      <w:tr>
        <w:tc>
          <w:tcPr>
            <w:tcW w:type="dxa" w:w="7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G1</w:t>
            </w:r>
          </w:p>
        </w:tc>
        <w:tc>
          <w:tcPr>
            <w:tcW w:type="dxa" w:w="4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Architectural duplication. Denoising and audiogram matching each run their own analysis-synthesis filter bank, paying latency and multipliers twice.</w:t>
            </w:r>
          </w:p>
        </w:tc>
        <w:tc>
          <w:tcPr>
            <w:tcW w:type="dxa" w:w="4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Spectral denoisers use a 512-point STFT purely for denoising; CVBW banks are used purely for fitting. Neither cites the other's stage.</w:t>
            </w:r>
          </w:p>
        </w:tc>
      </w:tr>
      <w:tr>
        <w:tc>
          <w:tcPr>
            <w:tcW w:type="dxa" w:w="7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G2</w:t>
            </w:r>
          </w:p>
        </w:tc>
        <w:tc>
          <w:tcPr>
            <w:tcW w:type="dxa" w:w="43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Listener-agnostic enhancement. Identical suppression for every user, so benefit is inversely proportional to baseline ability and can be negative.</w:t>
            </w:r>
          </w:p>
        </w:tc>
        <w:tc>
          <w:tcPr>
            <w:tcW w:type="dxa" w:w="4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NH listeners lost 0.9 dB SRT; HI gained only 0.8 dB; CI gained 5.7 dB. Benefit-vs-baseline slopes of -0.57 to -0.73 dB/dB. No audiogram enters any model.</w:t>
            </w:r>
          </w:p>
        </w:tc>
      </w:tr>
      <w:tr>
        <w:tc>
          <w:tcPr>
            <w:tcW w:type="dxa" w:w="7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G3</w:t>
            </w:r>
          </w:p>
        </w:tc>
        <w:tc>
          <w:tcPr>
            <w:tcW w:type="dxa" w:w="4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Latency-resolution-artifact trilemma. Spectral methods buy resolution with 23-32 ms delay; time-domain methods buy 1 ms delay with fine-structure distortion.</w:t>
            </w:r>
          </w:p>
        </w:tc>
        <w:tc>
          <w:tcPr>
            <w:tcW w:type="dxa" w:w="4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23 ms spectral vs 1 ms Conv-TasNet; NH degradation attributed to aggressive suppression and TFS distortion. Open-fit limit is 5-6 ms.</w:t>
            </w:r>
          </w:p>
        </w:tc>
      </w:tr>
      <w:tr>
        <w:tc>
          <w:tcPr>
            <w:tcW w:type="dxa" w:w="7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G4</w:t>
            </w:r>
          </w:p>
        </w:tc>
        <w:tc>
          <w:tcPr>
            <w:tcW w:type="dxa" w:w="43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Incommensurable complexity reporting. Enhancement papers report parameters/FLOPs; filter papers report multipliers, adders, LUTs, mW. No common currency.</w:t>
            </w:r>
          </w:p>
        </w:tc>
        <w:tc>
          <w:tcPr>
            <w:tcW w:type="dxa" w:w="4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One line reports ~4 M parameters and 'runs on a laptop'; the other reports 36 multipliers, 239 slice LUTs, 231 mW.</w:t>
            </w:r>
          </w:p>
        </w:tc>
      </w:tr>
      <w:tr>
        <w:tc>
          <w:tcPr>
            <w:tcW w:type="dxa" w:w="7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G5</w:t>
            </w:r>
          </w:p>
        </w:tc>
        <w:tc>
          <w:tcPr>
            <w:tcW w:type="dxa" w:w="4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Metrics validated on the wrong ears. STOI, PESQ and MOS estimators are tuned on normal-hearing perception and misestimate HI/CI outcomes.</w:t>
            </w:r>
          </w:p>
        </w:tc>
        <w:tc>
          <w:tcPr>
            <w:tcW w:type="dxa" w:w="4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Computational metrics conflicted with human MOS on Valentini; STOI over-predicted SRT benefit by 2-3 dB for HI/NH listeners.</w:t>
            </w:r>
          </w:p>
        </w:tc>
      </w:tr>
      <w:tr>
        <w:tc>
          <w:tcPr>
            <w:tcW w:type="dxa" w:w="7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G6</w:t>
            </w:r>
          </w:p>
        </w:tc>
        <w:tc>
          <w:tcPr>
            <w:tcW w:type="dxa" w:w="43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Fitting is static; denoising is dynamic. Matching is fixed at fitting time, but optimal suppression depends on instantaneous SNR and environment.</w:t>
            </w:r>
          </w:p>
        </w:tc>
        <w:tc>
          <w:tcPr>
            <w:tcW w:type="dxa" w:w="4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Bandwidth factor and sub-band gains are fixed post-fit; a fixed 90/10 denoised/original blend is the only proposed user control.</w:t>
            </w:r>
          </w:p>
        </w:tc>
      </w:tr>
      <w:tr>
        <w:tc>
          <w:tcPr>
            <w:tcW w:type="dxa" w:w="7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G7</w:t>
            </w:r>
          </w:p>
        </w:tc>
        <w:tc>
          <w:tcPr>
            <w:tcW w:type="dxa" w:w="4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Weak cross-population and cross-lingual evidence. Studies test one language, one noise family, one device class.</w:t>
            </w:r>
          </w:p>
        </w:tc>
        <w:tc>
          <w:tcPr>
            <w:tcW w:type="dxa" w:w="4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German OLSA only in one study; English-trained model applied to German OLSA in another, explicitly flagged as a limitation.</w:t>
            </w:r>
          </w:p>
        </w:tc>
      </w:tr>
    </w:tbl>
    <w:p>
      <w:pPr>
        <w:pStyle w:val="Heading1"/>
        <w:spacing w:after="140" w:before="300"/>
      </w:pPr>
      <w:r>
        <w:rPr>
          <w:rFonts w:ascii="Calibri" w:cs="Calibri" w:eastAsia="Calibri" w:hAnsi="Calibri"/>
          <w:b/>
          <w:bCs/>
          <w:color w:val="0B6E8F"/>
          <w:sz w:val="30"/>
          <w:szCs w:val="30"/>
        </w:rPr>
        <w:t xml:space="preserve">4. Research Questions</w:t>
      </w:r>
    </w:p>
    <w:p>
      <w:pPr>
        <w:pStyle w:val="ListParagraph"/>
        <w:numPr>
          <w:ilvl w:val="0"/>
          <w:numId w:val="2"/>
        </w:numPr>
        <w:spacing w:after="70" w:line="268"/>
        <w:jc w:val="both"/>
      </w:pPr>
      <w:r>
        <w:rPr>
          <w:rFonts w:ascii="Calibri" w:cs="Calibri" w:eastAsia="Calibri" w:hAnsi="Calibri"/>
          <w:b/>
          <w:bCs/>
        </w:rPr>
        <w:t xml:space="preserve">RQ1 (Architectural): </w:t>
      </w:r>
      <w:r>
        <w:rPr>
          <w:rFonts w:ascii="Calibri" w:cs="Calibri" w:eastAsia="Calibri" w:hAnsi="Calibri"/>
        </w:rPr>
        <w:t xml:space="preserve">Can a Farrow-structure CVBW filter bank replace the STFT/learned-encoder front-end of a causal denoiser without loss of enhancement quality, while performing audiogram matching within the plus-or-minus 3 dB clinical tolerance?</w:t>
      </w:r>
    </w:p>
    <w:p>
      <w:pPr>
        <w:pStyle w:val="ListParagraph"/>
        <w:numPr>
          <w:ilvl w:val="0"/>
          <w:numId w:val="2"/>
        </w:numPr>
        <w:spacing w:after="70" w:line="268"/>
        <w:jc w:val="both"/>
      </w:pPr>
      <w:r>
        <w:rPr>
          <w:rFonts w:ascii="Calibri" w:cs="Calibri" w:eastAsia="Calibri" w:hAnsi="Calibri"/>
          <w:b/>
          <w:bCs/>
        </w:rPr>
        <w:t xml:space="preserve">RQ2 (Latency): </w:t>
      </w:r>
      <w:r>
        <w:rPr>
          <w:rFonts w:ascii="Calibri" w:cs="Calibri" w:eastAsia="Calibri" w:hAnsi="Calibri"/>
        </w:rPr>
        <w:t xml:space="preserve">What is the minimum achievable total algorithmic latency of the fused pipeline, and does it satisfy the 5-6 ms open-fit and 20 ms closed-fit constraints while retaining the spectral selectivity of 23 ms systems?</w:t>
      </w:r>
    </w:p>
    <w:p>
      <w:pPr>
        <w:pStyle w:val="ListParagraph"/>
        <w:numPr>
          <w:ilvl w:val="0"/>
          <w:numId w:val="2"/>
        </w:numPr>
        <w:spacing w:after="70" w:line="268"/>
        <w:jc w:val="both"/>
      </w:pPr>
      <w:r>
        <w:rPr>
          <w:rFonts w:ascii="Calibri" w:cs="Calibri" w:eastAsia="Calibri" w:hAnsi="Calibri"/>
          <w:b/>
          <w:bCs/>
        </w:rPr>
        <w:t xml:space="preserve">RQ3 (Personalization): </w:t>
      </w:r>
      <w:r>
        <w:rPr>
          <w:rFonts w:ascii="Calibri" w:cs="Calibri" w:eastAsia="Calibri" w:hAnsi="Calibri"/>
        </w:rPr>
        <w:t xml:space="preserve">Does conditioning the mask estimator on the audiogram eliminate the normal-hearing SRT penalty and flatten the steep benefit-vs-baseline slope by delivering appropriate benefit across the ability spectrum?</w:t>
      </w:r>
    </w:p>
    <w:p>
      <w:pPr>
        <w:pStyle w:val="ListParagraph"/>
        <w:numPr>
          <w:ilvl w:val="0"/>
          <w:numId w:val="2"/>
        </w:numPr>
        <w:spacing w:after="70" w:line="268"/>
        <w:jc w:val="both"/>
      </w:pPr>
      <w:r>
        <w:rPr>
          <w:rFonts w:ascii="Calibri" w:cs="Calibri" w:eastAsia="Calibri" w:hAnsi="Calibri"/>
          <w:b/>
          <w:bCs/>
        </w:rPr>
        <w:t xml:space="preserve">RQ4 (Hardware): </w:t>
      </w:r>
      <w:r>
        <w:rPr>
          <w:rFonts w:ascii="Calibri" w:cs="Calibri" w:eastAsia="Calibri" w:hAnsi="Calibri"/>
        </w:rPr>
        <w:t xml:space="preserve">After quantization and subexpression elimination, what are the adder count, LUT/register utilization, and dynamic power of the joint structure versus DVBW, CMFB, and MDFT banks plus a separate DNN denoiser?</w:t>
      </w:r>
    </w:p>
    <w:p>
      <w:pPr>
        <w:pStyle w:val="ListParagraph"/>
        <w:numPr>
          <w:ilvl w:val="0"/>
          <w:numId w:val="2"/>
        </w:numPr>
        <w:spacing w:after="70" w:line="268"/>
        <w:jc w:val="both"/>
      </w:pPr>
      <w:r>
        <w:rPr>
          <w:rFonts w:ascii="Calibri" w:cs="Calibri" w:eastAsia="Calibri" w:hAnsi="Calibri"/>
          <w:b/>
          <w:bCs/>
        </w:rPr>
        <w:t xml:space="preserve">RQ5 (Metrics): </w:t>
      </w:r>
      <w:r>
        <w:rPr>
          <w:rFonts w:ascii="Calibri" w:cs="Calibri" w:eastAsia="Calibri" w:hAnsi="Calibri"/>
        </w:rPr>
        <w:t xml:space="preserve">Does a hearing-impaired-trained perceptual estimator predict measured SRT benefit with lower bias than STOI, PESQ, and NH-trained MOS estimators across NH, HI, and CI groups?</w:t>
      </w:r>
    </w:p>
    <w:p>
      <w:pPr>
        <w:pStyle w:val="ListParagraph"/>
        <w:numPr>
          <w:ilvl w:val="0"/>
          <w:numId w:val="2"/>
        </w:numPr>
        <w:spacing w:after="70" w:line="268"/>
        <w:jc w:val="both"/>
      </w:pPr>
      <w:r>
        <w:rPr>
          <w:rFonts w:ascii="Calibri" w:cs="Calibri" w:eastAsia="Calibri" w:hAnsi="Calibri"/>
          <w:b/>
          <w:bCs/>
        </w:rPr>
        <w:t xml:space="preserve">RQ6 (Generalization): </w:t>
      </w:r>
      <w:r>
        <w:rPr>
          <w:rFonts w:ascii="Calibri" w:cs="Calibri" w:eastAsia="Calibri" w:hAnsi="Calibri"/>
        </w:rPr>
        <w:t xml:space="preserve">Does end-to-end joint training generalize across languages, noise classes, and device classes (HA vs CI streaming)?</w:t>
      </w:r>
    </w:p>
    <w:p>
      <w:pPr>
        <w:pStyle w:val="ListParagraph"/>
        <w:numPr>
          <w:ilvl w:val="0"/>
          <w:numId w:val="2"/>
        </w:numPr>
        <w:spacing w:after="70" w:line="268"/>
        <w:jc w:val="both"/>
      </w:pPr>
      <w:r>
        <w:rPr>
          <w:rFonts w:ascii="Calibri" w:cs="Calibri" w:eastAsia="Calibri" w:hAnsi="Calibri"/>
          <w:b/>
          <w:bCs/>
        </w:rPr>
        <w:t xml:space="preserve">RQ7 (Ecological validity): </w:t>
      </w:r>
      <w:r>
        <w:rPr>
          <w:rFonts w:ascii="Calibri" w:cs="Calibri" w:eastAsia="Calibri" w:hAnsi="Calibri"/>
        </w:rPr>
        <w:t xml:space="preserve">Does measured SRT benefit translate into reduced listening effort and improved subjective quality, and is it retained when the output is blended with the unprocessed signal for environmental awareness?</w:t>
      </w:r>
    </w:p>
    <w:p>
      <w:pPr>
        <w:pStyle w:val="Heading1"/>
        <w:spacing w:after="140" w:before="300"/>
      </w:pPr>
      <w:r>
        <w:rPr>
          <w:rFonts w:ascii="Calibri" w:cs="Calibri" w:eastAsia="Calibri" w:hAnsi="Calibri"/>
          <w:b/>
          <w:bCs/>
          <w:color w:val="0B6E8F"/>
          <w:sz w:val="30"/>
          <w:szCs w:val="30"/>
        </w:rPr>
        <w:t xml:space="preserve">5. Key Novelty Contributions</w:t>
      </w:r>
    </w:p>
    <w:p>
      <w:pPr>
        <w:pStyle w:val="ListParagraph"/>
        <w:numPr>
          <w:ilvl w:val="0"/>
          <w:numId w:val="3"/>
        </w:numPr>
        <w:spacing w:after="70" w:line="268"/>
        <w:jc w:val="both"/>
      </w:pPr>
      <w:r>
        <w:rPr>
          <w:rFonts w:ascii="Calibri" w:cs="Calibri" w:eastAsia="Calibri" w:hAnsi="Calibri"/>
          <w:b/>
          <w:bCs/>
        </w:rPr>
        <w:t xml:space="preserve">Filter-bank fusion (primary architectural novelty). </w:t>
      </w:r>
      <w:r>
        <w:rPr>
          <w:rFonts w:ascii="Calibri" w:cs="Calibri" w:eastAsia="Calibri" w:hAnsi="Calibri"/>
        </w:rPr>
        <w:t xml:space="preserve">First system in which the audiogram-matching filter bank is the denoiser's analysis stage. Interpolators and the fixed prototype filter are reused, so the system pays one analysis-synthesis latency instead of two, and sub-band gains are applied to already-masked sub-bands.</w:t>
      </w:r>
    </w:p>
    <w:p>
      <w:pPr>
        <w:pStyle w:val="ListParagraph"/>
        <w:numPr>
          <w:ilvl w:val="0"/>
          <w:numId w:val="3"/>
        </w:numPr>
        <w:spacing w:after="70" w:line="268"/>
        <w:jc w:val="both"/>
      </w:pPr>
      <w:r>
        <w:rPr>
          <w:rFonts w:ascii="Calibri" w:cs="Calibri" w:eastAsia="Calibri" w:hAnsi="Calibri"/>
          <w:b/>
          <w:bCs/>
        </w:rPr>
        <w:t xml:space="preserve">Differentiable Farrow parameterization. </w:t>
      </w:r>
      <w:r>
        <w:rPr>
          <w:rFonts w:ascii="Calibri" w:cs="Calibri" w:eastAsia="Calibri" w:hAnsi="Calibri"/>
        </w:rPr>
        <w:t xml:space="preserve">The bandwidth factor, previously hand-tuned or grid-searched, is reformulated as a continuous differentiable parameter through the Taylor/Lagrangian sub-filter coefficients, permitting gradient descent over bandwidth. Gradient-based optimization of a Farrow CVBW structure has not been reported.</w:t>
      </w:r>
    </w:p>
    <w:p>
      <w:pPr>
        <w:pStyle w:val="ListParagraph"/>
        <w:numPr>
          <w:ilvl w:val="0"/>
          <w:numId w:val="3"/>
        </w:numPr>
        <w:spacing w:after="70" w:line="268"/>
        <w:jc w:val="both"/>
      </w:pPr>
      <w:r>
        <w:rPr>
          <w:rFonts w:ascii="Calibri" w:cs="Calibri" w:eastAsia="Calibri" w:hAnsi="Calibri"/>
          <w:b/>
          <w:bCs/>
        </w:rPr>
        <w:t xml:space="preserve">Audiogram-conditioned suppression via FiLM. </w:t>
      </w:r>
      <w:r>
        <w:rPr>
          <w:rFonts w:ascii="Calibri" w:cs="Calibri" w:eastAsia="Calibri" w:hAnsi="Calibri"/>
        </w:rPr>
        <w:t xml:space="preserve">An embedding of pure-tone thresholds modulates every residual block, yielding a single trained model whose aggressiveness adapts from conservative (NH) to maximal (CI), directly targeting the reported sign-flip in benefit.</w:t>
      </w:r>
    </w:p>
    <w:p>
      <w:pPr>
        <w:pStyle w:val="ListParagraph"/>
        <w:numPr>
          <w:ilvl w:val="0"/>
          <w:numId w:val="3"/>
        </w:numPr>
        <w:spacing w:after="70" w:line="268"/>
        <w:jc w:val="both"/>
      </w:pPr>
      <w:r>
        <w:rPr>
          <w:rFonts w:ascii="Calibri" w:cs="Calibri" w:eastAsia="Calibri" w:hAnsi="Calibri"/>
          <w:b/>
          <w:bCs/>
        </w:rPr>
        <w:t xml:space="preserve">Hearing-impaired perceptual objective (HI-pMOS). </w:t>
      </w:r>
      <w:r>
        <w:rPr>
          <w:rFonts w:ascii="Calibri" w:cs="Calibri" w:eastAsia="Calibri" w:hAnsi="Calibri"/>
        </w:rPr>
        <w:t xml:space="preserve">The MOS estimator is trained on ratings collected from HI and CI listeners, not only crowdworkers, and jointly on HASPI/HASQI targets, then used both as a training loss and as the fitness function for architecture search.</w:t>
      </w:r>
    </w:p>
    <w:p>
      <w:pPr>
        <w:pStyle w:val="ListParagraph"/>
        <w:numPr>
          <w:ilvl w:val="0"/>
          <w:numId w:val="3"/>
        </w:numPr>
        <w:spacing w:after="70" w:line="268"/>
        <w:jc w:val="both"/>
      </w:pPr>
      <w:r>
        <w:rPr>
          <w:rFonts w:ascii="Calibri" w:cs="Calibri" w:eastAsia="Calibri" w:hAnsi="Calibri"/>
          <w:b/>
          <w:bCs/>
        </w:rPr>
        <w:t xml:space="preserve">Unified multi-objective optimization across the software/hardware boundary. </w:t>
      </w:r>
      <w:r>
        <w:rPr>
          <w:rFonts w:ascii="Calibri" w:cs="Calibri" w:eastAsia="Calibri" w:hAnsi="Calibri"/>
        </w:rPr>
        <w:t xml:space="preserve">A single Pareto search jointly optimizes network architecture, bandwidth factor, sub-band gains, coefficient word length, term count, and adder count, combining evolutionary NAS with MOABC and modified SID-CSE. Prior work optimizes either the network or the filter, never both against one front.</w:t>
      </w:r>
    </w:p>
    <w:p>
      <w:pPr>
        <w:pStyle w:val="ListParagraph"/>
        <w:numPr>
          <w:ilvl w:val="0"/>
          <w:numId w:val="3"/>
        </w:numPr>
        <w:spacing w:after="70" w:line="268"/>
        <w:jc w:val="both"/>
      </w:pPr>
      <w:r>
        <w:rPr>
          <w:rFonts w:ascii="Calibri" w:cs="Calibri" w:eastAsia="Calibri" w:hAnsi="Calibri"/>
          <w:b/>
          <w:bCs/>
        </w:rPr>
        <w:t xml:space="preserve">Common-currency complexity benchmark. </w:t>
      </w:r>
      <w:r>
        <w:rPr>
          <w:rFonts w:ascii="Calibri" w:cs="Calibri" w:eastAsia="Calibri" w:hAnsi="Calibri"/>
        </w:rPr>
        <w:t xml:space="preserve">The first benchmark reporting a deep speech enhancer in the same units used by the hearing-aid filter-design literature (multipliers/band, adders, LUTs, registers, mW at a stated FPGA and clock), enabling direct comparison with CMFB, MDFTFB, DVBW, and CVBW baselines.</w:t>
      </w:r>
    </w:p>
    <w:p>
      <w:pPr>
        <w:pStyle w:val="ListParagraph"/>
        <w:numPr>
          <w:ilvl w:val="0"/>
          <w:numId w:val="3"/>
        </w:numPr>
        <w:spacing w:after="70" w:line="268"/>
        <w:jc w:val="both"/>
      </w:pPr>
      <w:r>
        <w:rPr>
          <w:rFonts w:ascii="Calibri" w:cs="Calibri" w:eastAsia="Calibri" w:hAnsi="Calibri"/>
          <w:b/>
          <w:bCs/>
        </w:rPr>
        <w:t xml:space="preserve">Tri-population, tri-lingual validation with effort measurement. </w:t>
      </w:r>
      <w:r>
        <w:rPr>
          <w:rFonts w:ascii="Calibri" w:cs="Calibri" w:eastAsia="Calibri" w:hAnsi="Calibri"/>
        </w:rPr>
        <w:t xml:space="preserve">NH + HI + CI, three languages, four noise types, adaptive SRT plus pupillometry plus subjective MOS, a scope exceeding any single prior study.</w:t>
      </w:r>
    </w:p>
    <w:p>
      <w:r>
        <w:br w:type="page"/>
      </w:r>
    </w:p>
    <w:p>
      <w:pPr>
        <w:pStyle w:val="Heading1"/>
        <w:spacing w:after="140" w:before="300"/>
      </w:pPr>
      <w:r>
        <w:rPr>
          <w:rFonts w:ascii="Calibri" w:cs="Calibri" w:eastAsia="Calibri" w:hAnsi="Calibri"/>
          <w:b/>
          <w:bCs/>
          <w:color w:val="0B6E8F"/>
          <w:sz w:val="30"/>
          <w:szCs w:val="30"/>
        </w:rPr>
        <w:t xml:space="preserve">6. Methodology - Full Structure</w:t>
      </w:r>
    </w:p>
    <w:p>
      <w:pPr>
        <w:pStyle w:val="Heading2"/>
        <w:spacing w:after="100" w:before="220"/>
      </w:pPr>
      <w:r>
        <w:rPr>
          <w:rFonts w:ascii="Calibri" w:cs="Calibri" w:eastAsia="Calibri" w:hAnsi="Calibri"/>
          <w:b/>
          <w:bCs/>
          <w:color w:val="1A1A2E"/>
          <w:sz w:val="25"/>
          <w:szCs w:val="25"/>
        </w:rPr>
        <w:t xml:space="preserve">6.1 System overview</w:t>
      </w:r>
    </w:p>
    <w:p>
      <w:pPr>
        <w:spacing w:after="140" w:line="276"/>
        <w:jc w:val="both"/>
      </w:pPr>
      <w:r>
        <w:rPr>
          <w:rFonts w:ascii="Calibri" w:cs="Calibri" w:eastAsia="Calibri" w:hAnsi="Calibri"/>
        </w:rPr>
        <w:t xml:space="preserve">The core design principle is that the denoising mask and the audiogram-matching gain are applied in the same sub-band domain and merged multiplicatively before a single synthesis pass. The pipeline is: input waveform to CVBW analysis bank producing B sub-band features; a causal mask estimator conditioned on the audiogram embedding; multiplicative fusion of the estimated mask with the per-band fitting gains; and a single CVBW synthesis pass back to the waveform.</w:t>
      </w:r>
    </w:p>
    <w:p>
      <w:pPr>
        <w:pStyle w:val="Heading2"/>
        <w:spacing w:after="100" w:before="220"/>
      </w:pPr>
      <w:r>
        <w:rPr>
          <w:rFonts w:ascii="Calibri" w:cs="Calibri" w:eastAsia="Calibri" w:hAnsi="Calibri"/>
          <w:b/>
          <w:bCs/>
          <w:color w:val="1A1A2E"/>
          <w:sz w:val="25"/>
          <w:szCs w:val="25"/>
        </w:rPr>
        <w:t xml:space="preserve">6.2 Phase 1 - Differentiable CVBW front-end</w:t>
      </w:r>
    </w:p>
    <w:p>
      <w:pPr>
        <w:pStyle w:val="ListParagraph"/>
        <w:numPr>
          <w:ilvl w:val="0"/>
          <w:numId w:val="2"/>
        </w:numPr>
        <w:spacing w:after="70" w:line="268"/>
        <w:jc w:val="both"/>
      </w:pPr>
      <w:r>
        <w:rPr>
          <w:rFonts w:ascii="Calibri" w:cs="Calibri" w:eastAsia="Calibri" w:hAnsi="Calibri"/>
        </w:rPr>
        <w:t xml:space="preserve">Realize the analysis bank with two Farrow-based sample-rate converters (order N = 4 differentiators, degrees k = 0..4) sandwiching a fixed linear-phase prototype filter (Parks-McClellan; passband ripple 0.05 dB, stopband attenuation 80 dB, normalized transition width 0.1625).</w:t>
      </w:r>
    </w:p>
    <w:p>
      <w:pPr>
        <w:pStyle w:val="ListParagraph"/>
        <w:numPr>
          <w:ilvl w:val="0"/>
          <w:numId w:val="2"/>
        </w:numPr>
        <w:spacing w:after="70" w:line="268"/>
        <w:jc w:val="both"/>
      </w:pPr>
      <w:r>
        <w:rPr>
          <w:rFonts w:ascii="Calibri" w:cs="Calibri" w:eastAsia="Calibri" w:hAnsi="Calibri"/>
        </w:rPr>
        <w:t xml:space="preserve">Express the Lagrangian fractional-delay impulse response and its k-th derivatives analytically so that the derivative of the output with respect to the bandwidth factor is available in closed form; implement as a custom autograd operator.</w:t>
      </w:r>
    </w:p>
    <w:p>
      <w:pPr>
        <w:pStyle w:val="ListParagraph"/>
        <w:numPr>
          <w:ilvl w:val="0"/>
          <w:numId w:val="2"/>
        </w:numPr>
        <w:spacing w:after="70" w:line="268"/>
        <w:jc w:val="both"/>
      </w:pPr>
      <w:r>
        <w:rPr>
          <w:rFonts w:ascii="Calibri" w:cs="Calibri" w:eastAsia="Calibri" w:hAnsi="Calibri"/>
        </w:rPr>
        <w:t xml:space="preserve">Sweep band count B in {4, 6, 8, 10}; obtain center frequencies by frequency translation of the replicated CVBW response.</w:t>
      </w:r>
    </w:p>
    <w:p>
      <w:pPr>
        <w:pStyle w:val="ListParagraph"/>
        <w:numPr>
          <w:ilvl w:val="0"/>
          <w:numId w:val="2"/>
        </w:numPr>
        <w:spacing w:after="70" w:line="268"/>
        <w:jc w:val="both"/>
      </w:pPr>
      <w:r>
        <w:rPr>
          <w:rFonts w:ascii="Calibri" w:cs="Calibri" w:eastAsia="Calibri" w:hAnsi="Calibri"/>
          <w:b/>
          <w:bCs/>
        </w:rPr>
        <w:t xml:space="preserve">Ablation A1: </w:t>
      </w:r>
      <w:r>
        <w:rPr>
          <w:rFonts w:ascii="Calibri" w:cs="Calibri" w:eastAsia="Calibri" w:hAnsi="Calibri"/>
        </w:rPr>
        <w:t xml:space="preserve">CVBW front-end vs STFT (512/128, Hann) vs a learned Conv-TasNet encoder (512 filters, kernel 16, stride 8), matched for parameter count.</w:t>
      </w:r>
    </w:p>
    <w:p>
      <w:pPr>
        <w:pStyle w:val="Heading2"/>
        <w:spacing w:after="100" w:before="220"/>
      </w:pPr>
      <w:r>
        <w:rPr>
          <w:rFonts w:ascii="Calibri" w:cs="Calibri" w:eastAsia="Calibri" w:hAnsi="Calibri"/>
          <w:b/>
          <w:bCs/>
          <w:color w:val="1A1A2E"/>
          <w:sz w:val="25"/>
          <w:szCs w:val="25"/>
        </w:rPr>
        <w:t xml:space="preserve">6.3 Phase 2 - Conditioned mask estimator</w:t>
      </w:r>
    </w:p>
    <w:p>
      <w:pPr>
        <w:pStyle w:val="ListParagraph"/>
        <w:numPr>
          <w:ilvl w:val="0"/>
          <w:numId w:val="2"/>
        </w:numPr>
        <w:spacing w:after="70" w:line="268"/>
        <w:jc w:val="both"/>
      </w:pPr>
      <w:r>
        <w:rPr>
          <w:rFonts w:ascii="Calibri" w:cs="Calibri" w:eastAsia="Calibri" w:hAnsi="Calibri"/>
        </w:rPr>
        <w:t xml:space="preserve">Backbone: causal, dilated temporal convolutional network with depthwise-separable, spatially separable, and time-first/frequency-first convolutions, residual connections, ReLU throughout, and a linear output layer.</w:t>
      </w:r>
    </w:p>
    <w:p>
      <w:pPr>
        <w:pStyle w:val="ListParagraph"/>
        <w:numPr>
          <w:ilvl w:val="0"/>
          <w:numId w:val="2"/>
        </w:numPr>
        <w:spacing w:after="70" w:line="268"/>
        <w:jc w:val="both"/>
      </w:pPr>
      <w:r>
        <w:rPr>
          <w:rFonts w:ascii="Calibri" w:cs="Calibri" w:eastAsia="Calibri" w:hAnsi="Calibri"/>
        </w:rPr>
        <w:t xml:space="preserve">Output: a complex-valued ideal ratio mask per sub-band, retaining phase to address the temporal-fine-structure-distortion critique.</w:t>
      </w:r>
    </w:p>
    <w:p>
      <w:pPr>
        <w:pStyle w:val="ListParagraph"/>
        <w:numPr>
          <w:ilvl w:val="0"/>
          <w:numId w:val="2"/>
        </w:numPr>
        <w:spacing w:after="70" w:line="268"/>
        <w:jc w:val="both"/>
      </w:pPr>
      <w:r>
        <w:rPr>
          <w:rFonts w:ascii="Calibri" w:cs="Calibri" w:eastAsia="Calibri" w:hAnsi="Calibri"/>
        </w:rPr>
        <w:t xml:space="preserve">Conditioning: FiLM parameters are produced by an MLP from the audiogram vector (pure-tone thresholds at 0.5/1/2/4 kHz per ear, device-class one-hot, aided/unaided flag) and applied to each residual block. Random audiograms are sampled during training so the model interpolates across the loss spectrum.</w:t>
      </w:r>
    </w:p>
    <w:p>
      <w:pPr>
        <w:pStyle w:val="ListParagraph"/>
        <w:numPr>
          <w:ilvl w:val="0"/>
          <w:numId w:val="2"/>
        </w:numPr>
        <w:spacing w:after="70" w:line="268"/>
        <w:jc w:val="both"/>
      </w:pPr>
      <w:r>
        <w:rPr>
          <w:rFonts w:ascii="Calibri" w:cs="Calibri" w:eastAsia="Calibri" w:hAnsi="Calibri"/>
        </w:rPr>
        <w:t xml:space="preserve">Parameter budget target: at most 250k parameters, enforced as a hard NAS constraint (versus roughly 4M in prior spectral denoisers).</w:t>
      </w:r>
    </w:p>
    <w:p>
      <w:pPr>
        <w:pStyle w:val="Heading2"/>
        <w:spacing w:after="100" w:before="220"/>
      </w:pPr>
      <w:r>
        <w:rPr>
          <w:rFonts w:ascii="Calibri" w:cs="Calibri" w:eastAsia="Calibri" w:hAnsi="Calibri"/>
          <w:b/>
          <w:bCs/>
          <w:color w:val="1A1A2E"/>
          <w:sz w:val="25"/>
          <w:szCs w:val="25"/>
        </w:rPr>
        <w:t xml:space="preserve">6.4 Phase 3 - Loss function</w:t>
      </w:r>
    </w:p>
    <w:p>
      <w:pPr>
        <w:spacing w:after="140" w:line="276"/>
        <w:jc w:val="both"/>
      </w:pPr>
      <w:r>
        <w:rPr>
          <w:rFonts w:ascii="Calibri" w:cs="Calibri" w:eastAsia="Calibri" w:hAnsi="Calibri"/>
        </w:rPr>
        <w:t xml:space="preserve">The composite training objective couples six terms with weights selected on the Pareto front rather than hand-tuned:</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400"/>
      </w:tblGrid>
      <w:tr>
        <w:trPr>
          <w:tblHeader/>
        </w:trPr>
        <w:tc>
          <w:tcPr>
            <w:tcW w:type="dxa" w:w="26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Term</w:t>
            </w:r>
          </w:p>
        </w:tc>
        <w:tc>
          <w:tcPr>
            <w:tcW w:type="dxa" w:w="64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Purpose</w:t>
            </w:r>
          </w:p>
        </w:tc>
      </w:tr>
      <w:tr>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L_cIRM-MSE</w:t>
            </w:r>
          </w:p>
        </w:tc>
        <w:tc>
          <w:tcPr>
            <w:tcW w:type="dxa" w:w="6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Mean-squared error on the complex ideal ratio mask - the base enhancement target.</w:t>
            </w:r>
          </w:p>
        </w:tc>
      </w:tr>
      <w:tr>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L_HI-pMOS</w:t>
            </w:r>
          </w:p>
        </w:tc>
        <w:tc>
          <w:tcPr>
            <w:tcW w:type="dxa" w:w="64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Hearing-impaired perceptual mean-opinion-score estimator, differentiable proxy for HI/CI quality.</w:t>
            </w:r>
          </w:p>
        </w:tc>
      </w:tr>
      <w:tr>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L_HASPI</w:t>
            </w:r>
          </w:p>
        </w:tc>
        <w:tc>
          <w:tcPr>
            <w:tcW w:type="dxa" w:w="6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Hearing-aid speech perception index, an intelligibility-oriented objective.</w:t>
            </w:r>
          </w:p>
        </w:tc>
      </w:tr>
      <w:tr>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L_match</w:t>
            </w:r>
          </w:p>
        </w:tc>
        <w:tc>
          <w:tcPr>
            <w:tcW w:type="dxa" w:w="64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Least-squares audiogram matching error over 512 sampled points, constrained so max error is at most 3 dB.</w:t>
            </w:r>
          </w:p>
        </w:tc>
      </w:tr>
      <w:tr>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L_hw</w:t>
            </w:r>
          </w:p>
        </w:tc>
        <w:tc>
          <w:tcPr>
            <w:tcW w:type="dxa" w:w="6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Differentiable surrogate for signed-power-of-two term count via a soft-quantization relaxation.</w:t>
            </w:r>
          </w:p>
        </w:tc>
      </w:tr>
      <w:tr>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L_TFS</w:t>
            </w:r>
          </w:p>
        </w:tc>
        <w:tc>
          <w:tcPr>
            <w:tcW w:type="dxa" w:w="64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Phase-coherence penalty suppressing fine-structure distortion implicated in NH degradation.</w:t>
            </w:r>
          </w:p>
        </w:tc>
      </w:tr>
    </w:tbl>
    <w:p>
      <w:pPr>
        <w:pStyle w:val="Heading2"/>
        <w:spacing w:after="100" w:before="220"/>
      </w:pPr>
      <w:r>
        <w:rPr>
          <w:rFonts w:ascii="Calibri" w:cs="Calibri" w:eastAsia="Calibri" w:hAnsi="Calibri"/>
          <w:b/>
          <w:bCs/>
          <w:color w:val="1A1A2E"/>
          <w:sz w:val="25"/>
          <w:szCs w:val="25"/>
        </w:rPr>
        <w:t xml:space="preserve">6.5 Phase 4 - HI-pMOS estimator construction</w:t>
      </w:r>
    </w:p>
    <w:p>
      <w:pPr>
        <w:pStyle w:val="ListParagraph"/>
        <w:numPr>
          <w:ilvl w:val="0"/>
          <w:numId w:val="4"/>
        </w:numPr>
        <w:spacing w:after="70" w:line="268"/>
        <w:jc w:val="both"/>
      </w:pPr>
      <w:r>
        <w:rPr>
          <w:rFonts w:ascii="Calibri" w:cs="Calibri" w:eastAsia="Calibri" w:hAnsi="Calibri"/>
        </w:rPr>
        <w:t xml:space="preserve">Collect roughly 60k to 100k quality ratings on processed/unprocessed pairs; stratify raters into normal-hearing crowdworkers (with attention-check baseline samples that must be rated correctly) plus a smaller in-clinic HI/CI cohort.</w:t>
      </w:r>
    </w:p>
    <w:p>
      <w:pPr>
        <w:pStyle w:val="ListParagraph"/>
        <w:numPr>
          <w:ilvl w:val="0"/>
          <w:numId w:val="4"/>
        </w:numPr>
        <w:spacing w:after="70" w:line="268"/>
        <w:jc w:val="both"/>
      </w:pPr>
      <w:r>
        <w:rPr>
          <w:rFonts w:ascii="Calibri" w:cs="Calibri" w:eastAsia="Calibri" w:hAnsi="Calibri"/>
        </w:rPr>
        <w:t xml:space="preserve">Train an MLP to map objective features (SNR, MSE, WSS, CEP, STOI, ESTOI, ViSQOL, PESQ, HASPI, HASQI) to MOS; use it to synthesize labels for about 600k unrated files.</w:t>
      </w:r>
    </w:p>
    <w:p>
      <w:pPr>
        <w:pStyle w:val="ListParagraph"/>
        <w:numPr>
          <w:ilvl w:val="0"/>
          <w:numId w:val="4"/>
        </w:numPr>
        <w:spacing w:after="70" w:line="268"/>
        <w:jc w:val="both"/>
      </w:pPr>
      <w:r>
        <w:rPr>
          <w:rFonts w:ascii="Calibri" w:cs="Calibri" w:eastAsia="Calibri" w:hAnsi="Calibri"/>
        </w:rPr>
        <w:t xml:space="preserve">Train the intrusive estimator network (STFT + MEL inputs, clean plus degraded) on the synthetic set; fine-tune on the real HI/CI ratings.</w:t>
      </w:r>
    </w:p>
    <w:p>
      <w:pPr>
        <w:pStyle w:val="ListParagraph"/>
        <w:numPr>
          <w:ilvl w:val="0"/>
          <w:numId w:val="4"/>
        </w:numPr>
        <w:spacing w:after="70" w:line="268"/>
        <w:jc w:val="both"/>
      </w:pPr>
      <w:r>
        <w:rPr>
          <w:rFonts w:ascii="Calibri" w:cs="Calibri" w:eastAsia="Calibri" w:hAnsi="Calibri"/>
        </w:rPr>
        <w:t xml:space="preserve">Validate: correlation of HI-pMOS versus measured SRT benefit against STOI, PESQ, and NH-pMOS baselines.</w:t>
      </w:r>
    </w:p>
    <w:p>
      <w:pPr>
        <w:pStyle w:val="Heading2"/>
        <w:spacing w:after="100" w:before="220"/>
      </w:pPr>
      <w:r>
        <w:rPr>
          <w:rFonts w:ascii="Calibri" w:cs="Calibri" w:eastAsia="Calibri" w:hAnsi="Calibri"/>
          <w:b/>
          <w:bCs/>
          <w:color w:val="1A1A2E"/>
          <w:sz w:val="25"/>
          <w:szCs w:val="25"/>
        </w:rPr>
        <w:t xml:space="preserve">6.6 Phase 5 - Multi-objective search and quantization</w:t>
      </w:r>
    </w:p>
    <w:p>
      <w:pPr>
        <w:pStyle w:val="ListParagraph"/>
        <w:numPr>
          <w:ilvl w:val="0"/>
          <w:numId w:val="2"/>
        </w:numPr>
        <w:spacing w:after="70" w:line="268"/>
        <w:jc w:val="both"/>
      </w:pPr>
      <w:r>
        <w:rPr>
          <w:rFonts w:ascii="Calibri" w:cs="Calibri" w:eastAsia="Calibri" w:hAnsi="Calibri"/>
        </w:rPr>
        <w:t xml:space="preserve">Evolutionary NAS over layer type, kernel size, filter count, dilation, and block depth; fitness is the change in HI-pMOS subject to latency and parameter constraints.</w:t>
      </w:r>
    </w:p>
    <w:p>
      <w:pPr>
        <w:pStyle w:val="ListParagraph"/>
        <w:numPr>
          <w:ilvl w:val="0"/>
          <w:numId w:val="2"/>
        </w:numPr>
        <w:spacing w:after="70" w:line="268"/>
        <w:jc w:val="both"/>
      </w:pPr>
      <w:r>
        <w:rPr>
          <w:rFonts w:ascii="Calibri" w:cs="Calibri" w:eastAsia="Calibri" w:hAnsi="Calibri"/>
        </w:rPr>
        <w:t xml:space="preserve">Coefficient quantization: canonic signed-digit representation, word lengths 12-20 bits, 3-10 signed-power-of-two terms; multi-objective artificial bee colony (colony size 100, external archive 400, max cycles 250, limit 5) to recover stopband attenuation lost to quantization.</w:t>
      </w:r>
    </w:p>
    <w:p>
      <w:pPr>
        <w:pStyle w:val="ListParagraph"/>
        <w:numPr>
          <w:ilvl w:val="0"/>
          <w:numId w:val="2"/>
        </w:numPr>
        <w:spacing w:after="70" w:line="268"/>
        <w:jc w:val="both"/>
      </w:pPr>
      <w:r>
        <w:rPr>
          <w:rFonts w:ascii="Calibri" w:cs="Calibri" w:eastAsia="Calibri" w:hAnsi="Calibri"/>
        </w:rPr>
        <w:t xml:space="preserve">Modified shift-inclusive differential common-subexpression elimination with shift range [-18, +18], using a directed minimal spanning tree over the multi-graph of coefficient pairs, to minimize the total adder count.</w:t>
      </w:r>
    </w:p>
    <w:p>
      <w:pPr>
        <w:pStyle w:val="Heading2"/>
        <w:spacing w:after="100" w:before="220"/>
      </w:pPr>
      <w:r>
        <w:rPr>
          <w:rFonts w:ascii="Calibri" w:cs="Calibri" w:eastAsia="Calibri" w:hAnsi="Calibri"/>
          <w:b/>
          <w:bCs/>
          <w:color w:val="1A1A2E"/>
          <w:sz w:val="25"/>
          <w:szCs w:val="25"/>
        </w:rPr>
        <w:t xml:space="preserve">6.7 Phase 6 - Hardware implementation</w:t>
      </w:r>
    </w:p>
    <w:p>
      <w:pPr>
        <w:pStyle w:val="ListParagraph"/>
        <w:numPr>
          <w:ilvl w:val="0"/>
          <w:numId w:val="2"/>
        </w:numPr>
        <w:spacing w:after="70" w:line="268"/>
        <w:jc w:val="both"/>
      </w:pPr>
      <w:r>
        <w:rPr>
          <w:rFonts w:ascii="Calibri" w:cs="Calibri" w:eastAsia="Calibri" w:hAnsi="Calibri"/>
        </w:rPr>
        <w:t xml:space="preserve">Verilog RTL targeting Xilinx Kintex-7 (XC7K70T) for comparability, plus a low-power target (Lattice iCE40UP or a hearing-aid-class DSP core) for realism.</w:t>
      </w:r>
    </w:p>
    <w:p>
      <w:pPr>
        <w:pStyle w:val="ListParagraph"/>
        <w:numPr>
          <w:ilvl w:val="0"/>
          <w:numId w:val="2"/>
        </w:numPr>
        <w:spacing w:after="70" w:line="268"/>
        <w:jc w:val="both"/>
      </w:pPr>
      <w:r>
        <w:rPr>
          <w:rFonts w:ascii="Calibri" w:cs="Calibri" w:eastAsia="Calibri" w:hAnsi="Calibri"/>
        </w:rPr>
        <w:t xml:space="preserve">Report multipliers/band, total adders, slice LUTs, slice registers, dynamic power, maximum clock, and measured end-to-end latency including AD/DA conversion.</w:t>
      </w:r>
    </w:p>
    <w:p>
      <w:pPr>
        <w:pStyle w:val="ListParagraph"/>
        <w:numPr>
          <w:ilvl w:val="0"/>
          <w:numId w:val="2"/>
        </w:numPr>
        <w:spacing w:after="70" w:line="268"/>
        <w:jc w:val="both"/>
      </w:pPr>
      <w:r>
        <w:rPr>
          <w:rFonts w:ascii="Calibri" w:cs="Calibri" w:eastAsia="Calibri" w:hAnsi="Calibri"/>
        </w:rPr>
        <w:t xml:space="preserve">A latency-accounting table separates algorithmic delay, filter group delay, and conversion delay against the 5-6 ms open-fit and 20-30 ms closed-fit budgets.</w:t>
      </w:r>
    </w:p>
    <w:p>
      <w:pPr>
        <w:pStyle w:val="Heading2"/>
        <w:spacing w:after="100" w:before="220"/>
      </w:pPr>
      <w:r>
        <w:rPr>
          <w:rFonts w:ascii="Calibri" w:cs="Calibri" w:eastAsia="Calibri" w:hAnsi="Calibri"/>
          <w:b/>
          <w:bCs/>
          <w:color w:val="1A1A2E"/>
          <w:sz w:val="25"/>
          <w:szCs w:val="25"/>
        </w:rPr>
        <w:t xml:space="preserve">6.8 Phase 7 - Data and stimuli</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400"/>
      </w:tblGrid>
      <w:tr>
        <w:trPr>
          <w:tblHeader/>
        </w:trPr>
        <w:tc>
          <w:tcPr>
            <w:tcW w:type="dxa" w:w="26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Purpose</w:t>
            </w:r>
          </w:p>
        </w:tc>
        <w:tc>
          <w:tcPr>
            <w:tcW w:type="dxa" w:w="64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Corpus</w:t>
            </w:r>
          </w:p>
        </w:tc>
      </w:tr>
      <w:tr>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Speech (train)</w:t>
            </w:r>
          </w:p>
        </w:tc>
        <w:tc>
          <w:tcPr>
            <w:tcW w:type="dxa" w:w="6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VoxCeleb2, LibriVox-derived multi-speaker, VCTK</w:t>
            </w:r>
          </w:p>
        </w:tc>
      </w:tr>
      <w:tr>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Noise (train)</w:t>
            </w:r>
          </w:p>
        </w:tc>
        <w:tc>
          <w:tcPr>
            <w:tcW w:type="dxa" w:w="64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WHAM!/WHAMR!, DEMAND, AudioSet-derived urban noise, with time-stretch augmentation (0.8-1.2)</w:t>
            </w:r>
          </w:p>
        </w:tc>
      </w:tr>
      <w:tr>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Test (objective)</w:t>
            </w:r>
          </w:p>
        </w:tc>
        <w:tc>
          <w:tcPr>
            <w:tcW w:type="dxa" w:w="6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Valentini, WHAMVox-easy (-12 to 27 dB), WHAMVox-hard (-20 to 20 dB)</w:t>
            </w:r>
          </w:p>
        </w:tc>
      </w:tr>
      <w:tr>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Test (behavioral)</w:t>
            </w:r>
          </w:p>
        </w:tc>
        <w:tc>
          <w:tcPr>
            <w:tcW w:type="dxa" w:w="64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German OLSA (olnoise, restaurant, traffic), English matrix test, one Indian-language matrix test, multi-talker babble</w:t>
            </w:r>
          </w:p>
        </w:tc>
      </w:tr>
      <w:tr>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Audiograms</w:t>
            </w:r>
          </w:p>
        </w:tc>
        <w:tc>
          <w:tcPr>
            <w:tcW w:type="dxa" w:w="6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Six standard patterns (mild to profound) plus a de-identified clinical set with ethics clearance</w:t>
            </w:r>
          </w:p>
        </w:tc>
      </w:tr>
    </w:tbl>
    <w:p>
      <w:pPr>
        <w:spacing w:after="140" w:line="276"/>
        <w:jc w:val="both"/>
      </w:pPr>
      <w:r>
        <w:rPr>
          <w:rFonts w:ascii="Calibri" w:cs="Calibri" w:eastAsia="Calibri" w:hAnsi="Calibri"/>
        </w:rPr>
        <w:t xml:space="preserve">SNR sampling uses a normal distribution with mean 8 dB and standard deviation 7 for realistic listening, and mean 0 dB, standard deviation 7 for the hard condition. All files are RMS-normalized to -20 dBFS before mixing, with strict train/test disjointness of speakers, noises, and languages.</w:t>
      </w:r>
    </w:p>
    <w:p>
      <w:pPr>
        <w:pStyle w:val="Heading2"/>
        <w:spacing w:after="100" w:before="220"/>
      </w:pPr>
      <w:r>
        <w:rPr>
          <w:rFonts w:ascii="Calibri" w:cs="Calibri" w:eastAsia="Calibri" w:hAnsi="Calibri"/>
          <w:b/>
          <w:bCs/>
          <w:color w:val="1A1A2E"/>
          <w:sz w:val="25"/>
          <w:szCs w:val="25"/>
        </w:rPr>
        <w:t xml:space="preserve">6.9 Phase 8 - Human evaluation protocol</w:t>
      </w:r>
    </w:p>
    <w:p>
      <w:pPr>
        <w:pStyle w:val="ListParagraph"/>
        <w:numPr>
          <w:ilvl w:val="0"/>
          <w:numId w:val="2"/>
        </w:numPr>
        <w:spacing w:after="70" w:line="268"/>
        <w:jc w:val="both"/>
      </w:pPr>
      <w:r>
        <w:rPr>
          <w:rFonts w:ascii="Calibri" w:cs="Calibri" w:eastAsia="Calibri" w:hAnsi="Calibri"/>
          <w:b/>
          <w:bCs/>
        </w:rPr>
        <w:t xml:space="preserve">Participants (target): </w:t>
      </w:r>
      <w:r>
        <w:rPr>
          <w:rFonts w:ascii="Calibri" w:cs="Calibri" w:eastAsia="Calibri" w:hAnsi="Calibri"/>
        </w:rPr>
        <w:t xml:space="preserve">25 NH, 30 HI (mild-severe, experienced HA users), 20 CI users. Power analysis with a large effect and power 0.8 yields a minimum of 11 per group; the CI group is over-recruited given its high variance.</w:t>
      </w:r>
    </w:p>
    <w:p>
      <w:pPr>
        <w:pStyle w:val="ListParagraph"/>
        <w:numPr>
          <w:ilvl w:val="0"/>
          <w:numId w:val="2"/>
        </w:numPr>
        <w:spacing w:after="70" w:line="268"/>
        <w:jc w:val="both"/>
      </w:pPr>
      <w:r>
        <w:rPr>
          <w:rFonts w:ascii="Calibri" w:cs="Calibri" w:eastAsia="Calibri" w:hAnsi="Calibri"/>
          <w:b/>
          <w:bCs/>
        </w:rPr>
        <w:t xml:space="preserve">Procedure: </w:t>
      </w:r>
      <w:r>
        <w:rPr>
          <w:rFonts w:ascii="Calibri" w:cs="Calibri" w:eastAsia="Calibri" w:hAnsi="Calibri"/>
        </w:rPr>
        <w:t xml:space="preserve">adaptive matrix sentence test targeting 50% word recognition; 20-sentence blocks with the first 10 discarded for adaptation; randomized processed/unprocessed order; noise fixed at 65 dB SPL with adaptive speech level, held consistent within group.</w:t>
      </w:r>
    </w:p>
    <w:p>
      <w:pPr>
        <w:pStyle w:val="ListParagraph"/>
        <w:numPr>
          <w:ilvl w:val="0"/>
          <w:numId w:val="2"/>
        </w:numPr>
        <w:spacing w:after="70" w:line="268"/>
        <w:jc w:val="both"/>
      </w:pPr>
      <w:r>
        <w:rPr>
          <w:rFonts w:ascii="Calibri" w:cs="Calibri" w:eastAsia="Calibri" w:hAnsi="Calibri"/>
          <w:b/>
          <w:bCs/>
        </w:rPr>
        <w:t xml:space="preserve">Secondary measures: </w:t>
      </w:r>
      <w:r>
        <w:rPr>
          <w:rFonts w:ascii="Calibri" w:cs="Calibri" w:eastAsia="Calibri" w:hAnsi="Calibri"/>
        </w:rPr>
        <w:t xml:space="preserve">pupillometry-based listening effort; MOS quality ratings; preference over blend ratios from 100/0 to 70/30 denoised/original.</w:t>
      </w:r>
    </w:p>
    <w:p>
      <w:pPr>
        <w:pStyle w:val="ListParagraph"/>
        <w:numPr>
          <w:ilvl w:val="0"/>
          <w:numId w:val="2"/>
        </w:numPr>
        <w:spacing w:after="70" w:line="268"/>
        <w:jc w:val="both"/>
      </w:pPr>
      <w:r>
        <w:rPr>
          <w:rFonts w:ascii="Calibri" w:cs="Calibri" w:eastAsia="Calibri" w:hAnsi="Calibri"/>
          <w:b/>
          <w:bCs/>
        </w:rPr>
        <w:t xml:space="preserve">Conditions: </w:t>
      </w:r>
      <w:r>
        <w:rPr>
          <w:rFonts w:ascii="Calibri" w:cs="Calibri" w:eastAsia="Calibri" w:hAnsi="Calibri"/>
        </w:rPr>
        <w:t xml:space="preserve">unprocessed, Conv-TasNet baseline, spectral-DNN baseline, CVBW-DeepFit unconditioned, and CVBW-DeepFit audiogram-conditioned, crossed with four noise types.</w:t>
      </w:r>
    </w:p>
    <w:p>
      <w:pPr>
        <w:pStyle w:val="ListParagraph"/>
        <w:numPr>
          <w:ilvl w:val="0"/>
          <w:numId w:val="2"/>
        </w:numPr>
        <w:spacing w:after="70" w:line="268"/>
        <w:jc w:val="both"/>
      </w:pPr>
      <w:r>
        <w:rPr>
          <w:rFonts w:ascii="Calibri" w:cs="Calibri" w:eastAsia="Calibri" w:hAnsi="Calibri"/>
          <w:b/>
          <w:bCs/>
        </w:rPr>
        <w:t xml:space="preserve">Ethics: </w:t>
      </w:r>
      <w:r>
        <w:rPr>
          <w:rFonts w:ascii="Calibri" w:cs="Calibri" w:eastAsia="Calibri" w:hAnsi="Calibri"/>
        </w:rPr>
        <w:t xml:space="preserve">institutional ethics approval, written informed consent, Declaration of Helsinki, compensation for clinical participants.</w:t>
      </w:r>
    </w:p>
    <w:p>
      <w:pPr>
        <w:pStyle w:val="Heading2"/>
        <w:spacing w:after="100" w:before="220"/>
      </w:pPr>
      <w:r>
        <w:rPr>
          <w:rFonts w:ascii="Calibri" w:cs="Calibri" w:eastAsia="Calibri" w:hAnsi="Calibri"/>
          <w:b/>
          <w:bCs/>
          <w:color w:val="1A1A2E"/>
          <w:sz w:val="25"/>
          <w:szCs w:val="25"/>
        </w:rPr>
        <w:t xml:space="preserve">6.10 Phase 9 - Statistical analysis plan</w:t>
      </w:r>
    </w:p>
    <w:p>
      <w:pPr>
        <w:pStyle w:val="ListParagraph"/>
        <w:numPr>
          <w:ilvl w:val="0"/>
          <w:numId w:val="2"/>
        </w:numPr>
        <w:spacing w:after="70" w:line="268"/>
        <w:jc w:val="both"/>
      </w:pPr>
      <w:r>
        <w:rPr>
          <w:rFonts w:ascii="Calibri" w:cs="Calibri" w:eastAsia="Calibri" w:hAnsi="Calibri"/>
        </w:rPr>
        <w:t xml:space="preserve">Normality by Shapiro-Wilk. Within-group: Wilcoxon signed-rank with Holm correction. Between-group: Kruskal-Wallis with Dunn post-hoc and Cliff's delta for effect size. Across more than two conditions in one group: Friedman.</w:t>
      </w:r>
    </w:p>
    <w:p>
      <w:pPr>
        <w:pStyle w:val="ListParagraph"/>
        <w:numPr>
          <w:ilvl w:val="0"/>
          <w:numId w:val="2"/>
        </w:numPr>
        <w:spacing w:after="70" w:line="268"/>
        <w:jc w:val="both"/>
      </w:pPr>
      <w:r>
        <w:rPr>
          <w:rFonts w:ascii="Calibri" w:cs="Calibri" w:eastAsia="Calibri" w:hAnsi="Calibri"/>
        </w:rPr>
        <w:t xml:space="preserve">Primary model: a linear mixed-effects model of SRT on condition, group, and noise with a random intercept per subject, using robust M-estimation where Breusch-Pagan indicates heteroscedasticity.</w:t>
      </w:r>
    </w:p>
    <w:p>
      <w:pPr>
        <w:pStyle w:val="ListParagraph"/>
        <w:numPr>
          <w:ilvl w:val="0"/>
          <w:numId w:val="2"/>
        </w:numPr>
        <w:spacing w:after="70" w:line="268"/>
        <w:jc w:val="both"/>
      </w:pPr>
      <w:r>
        <w:rPr>
          <w:rFonts w:ascii="Calibri" w:cs="Calibri" w:eastAsia="Calibri" w:hAnsi="Calibri"/>
        </w:rPr>
        <w:t xml:space="preserve">Benefit-versus-baseline regression with bootstrapped confidence intervals, reported against the 0.57 and 0.69-0.73 dB/dB literature values.</w:t>
      </w:r>
    </w:p>
    <w:p>
      <w:pPr>
        <w:pStyle w:val="ListParagraph"/>
        <w:numPr>
          <w:ilvl w:val="0"/>
          <w:numId w:val="2"/>
        </w:numPr>
        <w:spacing w:after="70" w:line="268"/>
        <w:jc w:val="both"/>
      </w:pPr>
      <w:r>
        <w:rPr>
          <w:rFonts w:ascii="Calibri" w:cs="Calibri" w:eastAsia="Calibri" w:hAnsi="Calibri"/>
        </w:rPr>
        <w:t xml:space="preserve">Equivalence testing (two one-sided tests) for the claim that HI-with-processing is non-inferior to NH-without-processing, which must not rest on a non-significant p-value alone.</w:t>
      </w:r>
    </w:p>
    <w:p>
      <w:pPr>
        <w:pStyle w:val="ListParagraph"/>
        <w:numPr>
          <w:ilvl w:val="0"/>
          <w:numId w:val="2"/>
        </w:numPr>
        <w:spacing w:after="70" w:line="268"/>
        <w:jc w:val="both"/>
      </w:pPr>
      <w:r>
        <w:rPr>
          <w:rFonts w:ascii="Calibri" w:cs="Calibri" w:eastAsia="Calibri" w:hAnsi="Calibri"/>
        </w:rPr>
        <w:t xml:space="preserve">Pre-registration of hypotheses and analysis plan; alpha = 0.05, two-sided.</w:t>
      </w:r>
    </w:p>
    <w:p>
      <w:r>
        <w:br w:type="page"/>
      </w:r>
    </w:p>
    <w:p>
      <w:pPr>
        <w:pStyle w:val="Heading1"/>
        <w:spacing w:after="140" w:before="300"/>
      </w:pPr>
      <w:r>
        <w:rPr>
          <w:rFonts w:ascii="Calibri" w:cs="Calibri" w:eastAsia="Calibri" w:hAnsi="Calibri"/>
          <w:b/>
          <w:bCs/>
          <w:color w:val="0B6E8F"/>
          <w:sz w:val="30"/>
          <w:szCs w:val="30"/>
        </w:rPr>
        <w:t xml:space="preserve">7. Expected Results</w:t>
      </w:r>
    </w:p>
    <w:p>
      <w:pPr>
        <w:spacing w:after="140" w:line="276"/>
        <w:jc w:val="both"/>
      </w:pPr>
      <w:r>
        <w:rPr>
          <w:rFonts w:ascii="Calibri" w:cs="Calibri" w:eastAsia="Calibri" w:hAnsi="Calibri"/>
          <w:b/>
          <w:bCs/>
        </w:rPr>
        <w:t xml:space="preserve">Note. </w:t>
      </w:r>
      <w:r>
        <w:rPr>
          <w:rFonts w:ascii="Calibri" w:cs="Calibri" w:eastAsia="Calibri" w:hAnsi="Calibri"/>
        </w:rPr>
        <w:t xml:space="preserve">The following are a-priori hypotheses and target thresholds defining success criteria, not measured findings.</w:t>
      </w:r>
    </w:p>
    <w:p>
      <w:pPr>
        <w:pStyle w:val="Heading2"/>
        <w:spacing w:after="100" w:before="220"/>
      </w:pPr>
      <w:r>
        <w:rPr>
          <w:rFonts w:ascii="Calibri" w:cs="Calibri" w:eastAsia="Calibri" w:hAnsi="Calibri"/>
          <w:b/>
          <w:bCs/>
          <w:color w:val="1A1A2E"/>
          <w:sz w:val="25"/>
          <w:szCs w:val="25"/>
        </w:rPr>
        <w:t xml:space="preserve">7.1 Quantitative expectations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300"/>
        <w:gridCol w:w="2600"/>
        <w:gridCol w:w="2100"/>
        <w:gridCol w:w="2000"/>
      </w:tblGrid>
      <w:tr>
        <w:trPr>
          <w:tblHeader/>
        </w:trPr>
        <w:tc>
          <w:tcPr>
            <w:tcW w:type="dxa" w:w="23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Outcome</w:t>
            </w:r>
          </w:p>
        </w:tc>
        <w:tc>
          <w:tcPr>
            <w:tcW w:type="dxa" w:w="26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Baseline in literature</w:t>
            </w:r>
          </w:p>
        </w:tc>
        <w:tc>
          <w:tcPr>
            <w:tcW w:type="dxa" w:w="21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Target</w:t>
            </w:r>
          </w:p>
        </w:tc>
        <w:tc>
          <w:tcPr>
            <w:tcW w:type="dxa" w:w="20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Rationale</w:t>
            </w:r>
          </w:p>
        </w:tc>
      </w:tr>
      <w:tr>
        <w:tc>
          <w:tcPr>
            <w:tcW w:type="dxa" w:w="2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Total algorithmic latency</w:t>
            </w:r>
          </w:p>
        </w:tc>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23 ms (spectral); 1 ms (Conv-TasNet, denoising only)</w:t>
            </w:r>
          </w:p>
        </w:tc>
        <w:tc>
          <w:tcPr>
            <w:tcW w:type="dxa" w:w="21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5 ms incl. matching</w:t>
            </w:r>
          </w:p>
        </w:tc>
        <w:tc>
          <w:tcPr>
            <w:tcW w:type="dxa" w:w="2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One shared filter bank; Farrow group delay ~2.25 ms</w:t>
            </w:r>
          </w:p>
        </w:tc>
      </w:tr>
      <w:tr>
        <w:tc>
          <w:tcPr>
            <w:tcW w:type="dxa" w:w="23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Multipliers / band</w:t>
            </w:r>
          </w:p>
        </w:tc>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138 (DVBW, 6 bands); 36 (CVBW alone)</w:t>
            </w:r>
          </w:p>
        </w:tc>
        <w:tc>
          <w:tcPr>
            <w:tcW w:type="dxa" w:w="21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45 (denoise + fit)</w:t>
            </w:r>
          </w:p>
        </w:tc>
        <w:tc>
          <w:tcPr>
            <w:tcW w:type="dxa" w:w="2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Shared interpolators; SPT quantization</w:t>
            </w:r>
          </w:p>
        </w:tc>
      </w:tr>
      <w:tr>
        <w:tc>
          <w:tcPr>
            <w:tcW w:type="dxa" w:w="2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Total adders after SID-CSE</w:t>
            </w:r>
          </w:p>
        </w:tc>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36 (CVBW filter alone)</w:t>
            </w:r>
          </w:p>
        </w:tc>
        <w:tc>
          <w:tcPr>
            <w:tcW w:type="dxa" w:w="21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120 (full pipeline)</w:t>
            </w:r>
          </w:p>
        </w:tc>
        <w:tc>
          <w:tcPr>
            <w:tcW w:type="dxa" w:w="2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MOABC + modified DMST</w:t>
            </w:r>
          </w:p>
        </w:tc>
      </w:tr>
      <w:tr>
        <w:tc>
          <w:tcPr>
            <w:tcW w:type="dxa" w:w="23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Slice LUTs / power</w:t>
            </w:r>
          </w:p>
        </w:tc>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239 LUTs, 231 mW (CVBW)</w:t>
            </w:r>
          </w:p>
        </w:tc>
        <w:tc>
          <w:tcPr>
            <w:tcW w:type="dxa" w:w="21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3x that, denoise incl.</w:t>
            </w:r>
          </w:p>
        </w:tc>
        <w:tc>
          <w:tcPr>
            <w:tcW w:type="dxa" w:w="2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Hard NAS constraint</w:t>
            </w:r>
          </w:p>
        </w:tc>
      </w:tr>
      <w:tr>
        <w:tc>
          <w:tcPr>
            <w:tcW w:type="dxa" w:w="2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Max audiogram matching error</w:t>
            </w:r>
          </w:p>
        </w:tc>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0.51-2.58 dB (CVBW); 1.18-3.09 dB (DVBW)</w:t>
            </w:r>
          </w:p>
        </w:tc>
        <w:tc>
          <w:tcPr>
            <w:tcW w:type="dxa" w:w="21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1.5 dB across AG1-AG6</w:t>
            </w:r>
          </w:p>
        </w:tc>
        <w:tc>
          <w:tcPr>
            <w:tcW w:type="dxa" w:w="2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Joint gain/bandwidth optimization</w:t>
            </w:r>
          </w:p>
        </w:tc>
      </w:tr>
      <w:tr>
        <w:tc>
          <w:tcPr>
            <w:tcW w:type="dxa" w:w="23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SRT benefit, NH</w:t>
            </w:r>
          </w:p>
        </w:tc>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-0.9 dB (harm)</w:t>
            </w:r>
          </w:p>
        </w:tc>
        <w:tc>
          <w:tcPr>
            <w:tcW w:type="dxa" w:w="21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&gt;= -0.2 dB (non-inferior)</w:t>
            </w:r>
          </w:p>
        </w:tc>
        <w:tc>
          <w:tcPr>
            <w:tcW w:type="dxa" w:w="2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Conditioning reduces aggressiveness</w:t>
            </w:r>
          </w:p>
        </w:tc>
      </w:tr>
      <w:tr>
        <w:tc>
          <w:tcPr>
            <w:tcW w:type="dxa" w:w="2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SRT benefit, HI</w:t>
            </w:r>
          </w:p>
        </w:tc>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0.5-1.0 dB; 2.8-3.5 dB (23 ms)</w:t>
            </w:r>
          </w:p>
        </w:tc>
        <w:tc>
          <w:tcPr>
            <w:tcW w:type="dxa" w:w="21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&gt;= 2.5 dB at &lt; 5 ms latency</w:t>
            </w:r>
          </w:p>
        </w:tc>
        <w:tc>
          <w:tcPr>
            <w:tcW w:type="dxa" w:w="2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Complex mask + perceptual loss</w:t>
            </w:r>
          </w:p>
        </w:tc>
      </w:tr>
      <w:tr>
        <w:tc>
          <w:tcPr>
            <w:tcW w:type="dxa" w:w="23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SRT benefit, CI</w:t>
            </w:r>
          </w:p>
        </w:tc>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5.7 dB</w:t>
            </w:r>
          </w:p>
        </w:tc>
        <w:tc>
          <w:tcPr>
            <w:tcW w:type="dxa" w:w="21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&gt;= 5.7 dB (non-inferior)</w:t>
            </w:r>
          </w:p>
        </w:tc>
        <w:tc>
          <w:tcPr>
            <w:tcW w:type="dxa" w:w="2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Preserve largest existing gain</w:t>
            </w:r>
          </w:p>
        </w:tc>
      </w:tr>
      <w:tr>
        <w:tc>
          <w:tcPr>
            <w:tcW w:type="dxa" w:w="2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Benefit-vs-baseline slope</w:t>
            </w:r>
          </w:p>
        </w:tc>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0.57-0.73 dB/dB</w:t>
            </w:r>
          </w:p>
        </w:tc>
        <w:tc>
          <w:tcPr>
            <w:tcW w:type="dxa" w:w="21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0.45 dB/dB (fairer)</w:t>
            </w:r>
          </w:p>
        </w:tc>
        <w:tc>
          <w:tcPr>
            <w:tcW w:type="dxa" w:w="2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Conditioning redistributes benefit</w:t>
            </w:r>
          </w:p>
        </w:tc>
      </w:tr>
      <w:tr>
        <w:tc>
          <w:tcPr>
            <w:tcW w:type="dxa" w:w="23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HI-pMOS bias vs SRT benefit</w:t>
            </w:r>
          </w:p>
        </w:tc>
        <w:tc>
          <w:tcPr>
            <w:tcW w:type="dxa" w:w="2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STOI over-predicts by 2-3 dB</w:t>
            </w:r>
          </w:p>
        </w:tc>
        <w:tc>
          <w:tcPr>
            <w:tcW w:type="dxa" w:w="21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1 dB bias</w:t>
            </w:r>
          </w:p>
        </w:tc>
        <w:tc>
          <w:tcPr>
            <w:tcW w:type="dxa" w:w="2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HI-trained estimator</w:t>
            </w:r>
          </w:p>
        </w:tc>
      </w:tr>
      <w:tr>
        <w:tc>
          <w:tcPr>
            <w:tcW w:type="dxa" w:w="23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Human MOS, WHAMVox-hard</w:t>
            </w:r>
          </w:p>
        </w:tc>
        <w:tc>
          <w:tcPr>
            <w:tcW w:type="dxa" w:w="2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~3.5 (best comparison)</w:t>
            </w:r>
          </w:p>
        </w:tc>
        <w:tc>
          <w:tcPr>
            <w:tcW w:type="dxa" w:w="21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&gt;= 3.8, p &lt; 0.0005</w:t>
            </w:r>
          </w:p>
        </w:tc>
        <w:tc>
          <w:tcPr>
            <w:tcW w:type="dxa" w:w="2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Perceptual loss in training</w:t>
            </w:r>
          </w:p>
        </w:tc>
      </w:tr>
    </w:tbl>
    <w:p>
      <w:pPr>
        <w:pStyle w:val="Heading2"/>
        <w:spacing w:after="100" w:before="220"/>
      </w:pPr>
      <w:r>
        <w:rPr>
          <w:rFonts w:ascii="Calibri" w:cs="Calibri" w:eastAsia="Calibri" w:hAnsi="Calibri"/>
          <w:b/>
          <w:bCs/>
          <w:color w:val="1A1A2E"/>
          <w:sz w:val="25"/>
          <w:szCs w:val="25"/>
        </w:rPr>
        <w:t xml:space="preserve">7.2 Qualitative expectations</w:t>
      </w:r>
    </w:p>
    <w:p>
      <w:pPr>
        <w:pStyle w:val="ListParagraph"/>
        <w:numPr>
          <w:ilvl w:val="0"/>
          <w:numId w:val="2"/>
        </w:numPr>
        <w:spacing w:after="70" w:line="268"/>
        <w:jc w:val="both"/>
      </w:pPr>
      <w:r>
        <w:rPr>
          <w:rFonts w:ascii="Calibri" w:cs="Calibri" w:eastAsia="Calibri" w:hAnsi="Calibri"/>
          <w:b/>
          <w:bCs/>
        </w:rPr>
        <w:t xml:space="preserve">Spectrographic analysis: </w:t>
      </w:r>
      <w:r>
        <w:rPr>
          <w:rFonts w:ascii="Calibri" w:cs="Calibri" w:eastAsia="Calibri" w:hAnsi="Calibri"/>
        </w:rPr>
        <w:t xml:space="preserve">preservation of harmonic structure and low-frequency formants in the -5 to 0 dB SNR band where prior models plateau; visual comparison of clean, noisy, and four processed conditions at matched SNRs.</w:t>
      </w:r>
    </w:p>
    <w:p>
      <w:pPr>
        <w:pStyle w:val="ListParagraph"/>
        <w:numPr>
          <w:ilvl w:val="0"/>
          <w:numId w:val="2"/>
        </w:numPr>
        <w:spacing w:after="70" w:line="268"/>
        <w:jc w:val="both"/>
      </w:pPr>
      <w:r>
        <w:rPr>
          <w:rFonts w:ascii="Calibri" w:cs="Calibri" w:eastAsia="Calibri" w:hAnsi="Calibri"/>
          <w:b/>
          <w:bCs/>
        </w:rPr>
        <w:t xml:space="preserve">Artifact taxonomy: </w:t>
      </w:r>
      <w:r>
        <w:rPr>
          <w:rFonts w:ascii="Calibri" w:cs="Calibri" w:eastAsia="Calibri" w:hAnsi="Calibri"/>
        </w:rPr>
        <w:t xml:space="preserve">classification of residual distortions (musical noise, onset smearing, dropout, fine-structure smearing) and evidence that conditioning shifts the profile toward dropout-free but less aggressive suppression for NH and mild-HI listeners.</w:t>
      </w:r>
    </w:p>
    <w:p>
      <w:pPr>
        <w:pStyle w:val="ListParagraph"/>
        <w:numPr>
          <w:ilvl w:val="0"/>
          <w:numId w:val="2"/>
        </w:numPr>
        <w:spacing w:after="70" w:line="268"/>
        <w:jc w:val="both"/>
      </w:pPr>
      <w:r>
        <w:rPr>
          <w:rFonts w:ascii="Calibri" w:cs="Calibri" w:eastAsia="Calibri" w:hAnsi="Calibri"/>
          <w:b/>
          <w:bCs/>
        </w:rPr>
        <w:t xml:space="preserve">Failure-mode analysis: </w:t>
      </w:r>
      <w:r>
        <w:rPr>
          <w:rFonts w:ascii="Calibri" w:cs="Calibri" w:eastAsia="Calibri" w:hAnsi="Calibri"/>
        </w:rPr>
        <w:t xml:space="preserve">behaviour below -10 dB SNR where even NH listeners fail, and in multi-talker scenes where the model has no target-speaker selection and treats all talkers as speech.</w:t>
      </w:r>
    </w:p>
    <w:p>
      <w:pPr>
        <w:pStyle w:val="ListParagraph"/>
        <w:numPr>
          <w:ilvl w:val="0"/>
          <w:numId w:val="2"/>
        </w:numPr>
        <w:spacing w:after="70" w:line="268"/>
        <w:jc w:val="both"/>
      </w:pPr>
      <w:r>
        <w:rPr>
          <w:rFonts w:ascii="Calibri" w:cs="Calibri" w:eastAsia="Calibri" w:hAnsi="Calibri"/>
          <w:b/>
          <w:bCs/>
        </w:rPr>
        <w:t xml:space="preserve">Participant feedback: </w:t>
      </w:r>
      <w:r>
        <w:rPr>
          <w:rFonts w:ascii="Calibri" w:cs="Calibri" w:eastAsia="Calibri" w:hAnsi="Calibri"/>
        </w:rPr>
        <w:t xml:space="preserve">structured interviews on naturalness, environmental awareness with blending, and preference between conditioned and unconditioned variants.</w:t>
      </w:r>
    </w:p>
    <w:p>
      <w:pPr>
        <w:pStyle w:val="ListParagraph"/>
        <w:numPr>
          <w:ilvl w:val="0"/>
          <w:numId w:val="2"/>
        </w:numPr>
        <w:spacing w:after="70" w:line="268"/>
        <w:jc w:val="both"/>
      </w:pPr>
      <w:r>
        <w:rPr>
          <w:rFonts w:ascii="Calibri" w:cs="Calibri" w:eastAsia="Calibri" w:hAnsi="Calibri"/>
          <w:b/>
          <w:bCs/>
        </w:rPr>
        <w:t xml:space="preserve">Interpretability: </w:t>
      </w:r>
      <w:r>
        <w:rPr>
          <w:rFonts w:ascii="Calibri" w:cs="Calibri" w:eastAsia="Calibri" w:hAnsi="Calibri"/>
        </w:rPr>
        <w:t xml:space="preserve">visualization of learned bandwidth trajectories per band and audiogram class, testing whether the network converges on audiologically sensible bandwidth allocations.</w:t>
      </w:r>
    </w:p>
    <w:p>
      <w:pPr>
        <w:pStyle w:val="Heading2"/>
        <w:spacing w:after="100" w:before="220"/>
      </w:pPr>
      <w:r>
        <w:rPr>
          <w:rFonts w:ascii="Calibri" w:cs="Calibri" w:eastAsia="Calibri" w:hAnsi="Calibri"/>
          <w:b/>
          <w:bCs/>
          <w:color w:val="1A1A2E"/>
          <w:sz w:val="25"/>
          <w:szCs w:val="25"/>
        </w:rPr>
        <w:t xml:space="preserve">7.3 Comparative analysis design</w:t>
      </w:r>
    </w:p>
    <w:p>
      <w:pPr>
        <w:spacing w:after="140" w:line="276"/>
        <w:jc w:val="both"/>
      </w:pPr>
      <w:r>
        <w:rPr>
          <w:rFonts w:ascii="Calibri" w:cs="Calibri" w:eastAsia="Calibri" w:hAnsi="Calibri"/>
          <w:b/>
          <w:bCs/>
        </w:rPr>
        <w:t xml:space="preserve">Comparison Table 1 - Enhancement quality </w:t>
      </w:r>
      <w:r>
        <w:rPr>
          <w:rFonts w:ascii="Calibri" w:cs="Calibri" w:eastAsia="Calibri" w:hAnsi="Calibri"/>
        </w:rPr>
        <w:t xml:space="preserve">(self vs Sound of Silence, Demucs, MHANet, Conv-TasNet, 23 ms spectral DNN): human MOS, HI-pMOS, PESQ, CSIG, CBAK, COVL, STOI, ESTOI, HASPI, HASQI on Valentini, WHAMVox-easy, and WHAMVox-hard, with MOS-versus-SNR curves.</w:t>
      </w:r>
    </w:p>
    <w:p>
      <w:pPr>
        <w:spacing w:after="140" w:line="276"/>
        <w:jc w:val="both"/>
      </w:pPr>
      <w:r>
        <w:rPr>
          <w:rFonts w:ascii="Calibri" w:cs="Calibri" w:eastAsia="Calibri" w:hAnsi="Calibri"/>
          <w:b/>
          <w:bCs/>
        </w:rPr>
        <w:t xml:space="preserve">Comparison Table 2 - Filter/fitting quality </w:t>
      </w:r>
      <w:r>
        <w:rPr>
          <w:rFonts w:ascii="Calibri" w:cs="Calibri" w:eastAsia="Calibri" w:hAnsi="Calibri"/>
        </w:rPr>
        <w:t xml:space="preserve">(self vs DVBW, CMFB, MDFTFB, and three reconfigurable FIR filter-bank methods): bands required, max matching error per audiogram, multipliers/band, delay.</w:t>
      </w:r>
    </w:p>
    <w:p>
      <w:pPr>
        <w:spacing w:after="140" w:line="276"/>
        <w:jc w:val="both"/>
      </w:pPr>
      <w:r>
        <w:rPr>
          <w:rFonts w:ascii="Calibri" w:cs="Calibri" w:eastAsia="Calibri" w:hAnsi="Calibri"/>
          <w:b/>
          <w:bCs/>
        </w:rPr>
        <w:t xml:space="preserve">Comparison Table 3 - Behavioral </w:t>
      </w:r>
      <w:r>
        <w:rPr>
          <w:rFonts w:ascii="Calibri" w:cs="Calibri" w:eastAsia="Calibri" w:hAnsi="Calibri"/>
        </w:rPr>
        <w:t xml:space="preserve">(self vs four DNN hearing-aid studies): SRT benefit per group, latency, and two proposed normalized figures of merit - benefit per milliwatt and benefit per millisecond of latency.</w:t>
      </w:r>
    </w:p>
    <w:p>
      <w:pPr>
        <w:spacing w:after="140" w:line="276"/>
        <w:jc w:val="both"/>
      </w:pPr>
      <w:r>
        <w:rPr>
          <w:rFonts w:ascii="Calibri" w:cs="Calibri" w:eastAsia="Calibri" w:hAnsi="Calibri"/>
          <w:b/>
          <w:bCs/>
        </w:rPr>
        <w:t xml:space="preserve">Comparison Table 4 - Ablations: </w:t>
      </w:r>
      <w:r>
        <w:rPr>
          <w:rFonts w:ascii="Calibri" w:cs="Calibri" w:eastAsia="Calibri" w:hAnsi="Calibri"/>
        </w:rPr>
        <w:t xml:space="preserve">front-end type; conditioning on/off; each loss term removed; quantization stage (continuous to CSD to MOABC to SID-CSE); band count 4/6/8/10; blend ratio.</w:t>
      </w:r>
    </w:p>
    <w:p>
      <w:pPr>
        <w:pStyle w:val="Heading3"/>
        <w:spacing w:after="80" w:before="160"/>
      </w:pPr>
      <w:r>
        <w:rPr>
          <w:rFonts w:ascii="Calibri" w:cs="Calibri" w:eastAsia="Calibri" w:hAnsi="Calibri"/>
          <w:b/>
          <w:bCs/>
          <w:i/>
          <w:iCs/>
          <w:color w:val="C2410C"/>
          <w:sz w:val="22"/>
          <w:szCs w:val="22"/>
        </w:rPr>
        <w:t xml:space="preserve">Illustrative positioning against prior systems</w:t>
      </w:r>
    </w:p>
    <w:tbl>
      <w:tblPr>
        <w:tblW w:type="dxa" w:w="930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1200"/>
        <w:gridCol w:w="1500"/>
        <w:gridCol w:w="1600"/>
        <w:gridCol w:w="1600"/>
        <w:gridCol w:w="1000"/>
      </w:tblGrid>
      <w:tr>
        <w:trPr>
          <w:tblHeader/>
        </w:trPr>
        <w:tc>
          <w:tcPr>
            <w:tcW w:type="dxa" w:w="24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System</w:t>
            </w:r>
          </w:p>
        </w:tc>
        <w:tc>
          <w:tcPr>
            <w:tcW w:type="dxa" w:w="12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Latency</w:t>
            </w:r>
          </w:p>
        </w:tc>
        <w:tc>
          <w:tcPr>
            <w:tcW w:type="dxa" w:w="15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Personalized</w:t>
            </w:r>
          </w:p>
        </w:tc>
        <w:tc>
          <w:tcPr>
            <w:tcW w:type="dxa" w:w="16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HI SRT benefit</w:t>
            </w:r>
          </w:p>
        </w:tc>
        <w:tc>
          <w:tcPr>
            <w:tcW w:type="dxa" w:w="16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Hardware reported</w:t>
            </w:r>
          </w:p>
        </w:tc>
        <w:tc>
          <w:tcPr>
            <w:tcW w:type="dxa" w:w="10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On-device</w:t>
            </w:r>
          </w:p>
        </w:tc>
      </w:tr>
      <w:tr>
        <w:tc>
          <w:tcPr>
            <w:tcW w:type="dxa" w:w="2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Spectral DNN (23 ms)</w:t>
            </w:r>
          </w:p>
        </w:tc>
        <w:tc>
          <w:tcPr>
            <w:tcW w:type="dxa" w:w="12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23 ms</w:t>
            </w:r>
          </w:p>
        </w:tc>
        <w:tc>
          <w:tcPr>
            <w:tcW w:type="dxa" w:w="15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No</w:t>
            </w:r>
          </w:p>
        </w:tc>
        <w:tc>
          <w:tcPr>
            <w:tcW w:type="dxa" w:w="1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2.8-3.5 dB</w:t>
            </w:r>
          </w:p>
        </w:tc>
        <w:tc>
          <w:tcPr>
            <w:tcW w:type="dxa" w:w="1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Params only</w:t>
            </w:r>
          </w:p>
        </w:tc>
        <w:tc>
          <w:tcPr>
            <w:tcW w:type="dxa" w:w="1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Laptop</w:t>
            </w:r>
          </w:p>
        </w:tc>
      </w:tr>
      <w:tr>
        <w:tc>
          <w:tcPr>
            <w:tcW w:type="dxa" w:w="24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Conv-TasNet (1 ms)</w:t>
            </w:r>
          </w:p>
        </w:tc>
        <w:tc>
          <w:tcPr>
            <w:tcW w:type="dxa" w:w="12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1 ms*</w:t>
            </w:r>
          </w:p>
        </w:tc>
        <w:tc>
          <w:tcPr>
            <w:tcW w:type="dxa" w:w="15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No</w:t>
            </w:r>
          </w:p>
        </w:tc>
        <w:tc>
          <w:tcPr>
            <w:tcW w:type="dxa" w:w="1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0.8 dB</w:t>
            </w:r>
          </w:p>
        </w:tc>
        <w:tc>
          <w:tcPr>
            <w:tcW w:type="dxa" w:w="1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FLOPs only</w:t>
            </w:r>
          </w:p>
        </w:tc>
        <w:tc>
          <w:tcPr>
            <w:tcW w:type="dxa" w:w="1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Laptop</w:t>
            </w:r>
          </w:p>
        </w:tc>
      </w:tr>
      <w:tr>
        <w:tc>
          <w:tcPr>
            <w:tcW w:type="dxa" w:w="2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Commercial DNN-HA</w:t>
            </w:r>
          </w:p>
        </w:tc>
        <w:tc>
          <w:tcPr>
            <w:tcW w:type="dxa" w:w="12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10 ms</w:t>
            </w:r>
          </w:p>
        </w:tc>
        <w:tc>
          <w:tcPr>
            <w:tcW w:type="dxa" w:w="15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No</w:t>
            </w:r>
          </w:p>
        </w:tc>
        <w:tc>
          <w:tcPr>
            <w:tcW w:type="dxa" w:w="1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0.5-1.0 dB</w:t>
            </w:r>
          </w:p>
        </w:tc>
        <w:tc>
          <w:tcPr>
            <w:tcW w:type="dxa" w:w="1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Partial</w:t>
            </w:r>
          </w:p>
        </w:tc>
        <w:tc>
          <w:tcPr>
            <w:tcW w:type="dxa" w:w="1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Yes</w:t>
            </w:r>
          </w:p>
        </w:tc>
      </w:tr>
      <w:tr>
        <w:tc>
          <w:tcPr>
            <w:tcW w:type="dxa" w:w="24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CVBW filter (fit only)</w:t>
            </w:r>
          </w:p>
        </w:tc>
        <w:tc>
          <w:tcPr>
            <w:tcW w:type="dxa" w:w="12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2.25 ms</w:t>
            </w:r>
          </w:p>
        </w:tc>
        <w:tc>
          <w:tcPr>
            <w:tcW w:type="dxa" w:w="15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Audiogram</w:t>
            </w:r>
          </w:p>
        </w:tc>
        <w:tc>
          <w:tcPr>
            <w:tcW w:type="dxa" w:w="1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n/a (no denoise)</w:t>
            </w:r>
          </w:p>
        </w:tc>
        <w:tc>
          <w:tcPr>
            <w:tcW w:type="dxa" w:w="16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LUTs, adders, mW</w:t>
            </w:r>
          </w:p>
        </w:tc>
        <w:tc>
          <w:tcPr>
            <w:tcW w:type="dxa" w:w="10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Yes</w:t>
            </w:r>
          </w:p>
        </w:tc>
      </w:tr>
      <w:tr>
        <w:tc>
          <w:tcPr>
            <w:tcW w:type="dxa" w:w="24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CVBW-DeepFit (proposed)</w:t>
            </w:r>
          </w:p>
        </w:tc>
        <w:tc>
          <w:tcPr>
            <w:tcW w:type="dxa" w:w="12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&lt;= 5 ms</w:t>
            </w:r>
          </w:p>
        </w:tc>
        <w:tc>
          <w:tcPr>
            <w:tcW w:type="dxa" w:w="15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Audiogram + SNR</w:t>
            </w:r>
          </w:p>
        </w:tc>
        <w:tc>
          <w:tcPr>
            <w:tcW w:type="dxa" w:w="1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&gt;= 2.5 dB (target)</w:t>
            </w:r>
          </w:p>
        </w:tc>
        <w:tc>
          <w:tcPr>
            <w:tcW w:type="dxa" w:w="16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Full common-currency</w:t>
            </w:r>
          </w:p>
        </w:tc>
        <w:tc>
          <w:tcPr>
            <w:tcW w:type="dxa" w:w="10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Target</w:t>
            </w:r>
          </w:p>
        </w:tc>
      </w:tr>
    </w:tbl>
    <w:p>
      <w:pPr>
        <w:spacing w:after="200" w:before="60"/>
      </w:pPr>
      <w:r>
        <w:rPr>
          <w:rFonts w:ascii="Calibri" w:cs="Calibri" w:eastAsia="Calibri" w:hAnsi="Calibri"/>
          <w:b/>
          <w:bCs/>
          <w:i/>
          <w:iCs/>
          <w:color w:val="C2410C"/>
          <w:sz w:val="16"/>
          <w:szCs w:val="16"/>
        </w:rPr>
        <w:t xml:space="preserve">* The 1 ms Conv-TasNet figure is encoder look-ahead, not total system delay. </w:t>
      </w:r>
      <w:r>
        <w:rPr>
          <w:rFonts w:ascii="Calibri" w:cs="Calibri" w:eastAsia="Calibri" w:hAnsi="Calibri"/>
          <w:i/>
          <w:iCs/>
          <w:color w:val="555555"/>
          <w:sz w:val="16"/>
          <w:szCs w:val="16"/>
        </w:rPr>
        <w:t xml:space="preserve">the manuscript will publish a full latency-accounting table separating algorithmic look-ahead, filter group delay, buffering, and AD/DA conversion.</w:t>
      </w:r>
    </w:p>
    <w:p>
      <w:r>
        <w:br w:type="page"/>
      </w:r>
    </w:p>
    <w:p>
      <w:pPr>
        <w:pStyle w:val="Heading1"/>
        <w:spacing w:after="140" w:before="300"/>
      </w:pPr>
      <w:r>
        <w:rPr>
          <w:rFonts w:ascii="Calibri" w:cs="Calibri" w:eastAsia="Calibri" w:hAnsi="Calibri"/>
          <w:b/>
          <w:bCs/>
          <w:color w:val="0B6E8F"/>
          <w:sz w:val="30"/>
          <w:szCs w:val="30"/>
        </w:rPr>
        <w:t xml:space="preserve">8. Suggested Paper Structure (IMRaD)</w:t>
      </w:r>
    </w:p>
    <w:p>
      <w:pPr>
        <w:pStyle w:val="ListParagraph"/>
        <w:numPr>
          <w:ilvl w:val="0"/>
          <w:numId w:val="5"/>
        </w:numPr>
        <w:spacing w:after="70" w:line="268"/>
        <w:jc w:val="both"/>
      </w:pPr>
      <w:r>
        <w:rPr>
          <w:rFonts w:ascii="Calibri" w:cs="Calibri" w:eastAsia="Calibri" w:hAnsi="Calibri"/>
          <w:b/>
          <w:bCs/>
        </w:rPr>
        <w:t xml:space="preserve">Introduction. </w:t>
      </w:r>
      <w:r>
        <w:rPr>
          <w:rFonts w:ascii="Calibri" w:cs="Calibri" w:eastAsia="Calibri" w:hAnsi="Calibri"/>
        </w:rPr>
        <w:t xml:space="preserve">burden of hearing loss; the noise problem; the two silos; contributions list.</w:t>
      </w:r>
    </w:p>
    <w:p>
      <w:pPr>
        <w:pStyle w:val="ListParagraph"/>
        <w:numPr>
          <w:ilvl w:val="0"/>
          <w:numId w:val="5"/>
        </w:numPr>
        <w:spacing w:after="70" w:line="268"/>
        <w:jc w:val="both"/>
      </w:pPr>
      <w:r>
        <w:rPr>
          <w:rFonts w:ascii="Calibri" w:cs="Calibri" w:eastAsia="Calibri" w:hAnsi="Calibri"/>
          <w:b/>
          <w:bCs/>
        </w:rPr>
        <w:t xml:space="preserve">Related Work. </w:t>
      </w:r>
      <w:r>
        <w:rPr>
          <w:rFonts w:ascii="Calibri" w:cs="Calibri" w:eastAsia="Calibri" w:hAnsi="Calibri"/>
        </w:rPr>
        <w:t xml:space="preserve">DNN speech enhancement for HA/CI; latency constraints; variable-bandwidth filters and audiogram matching; perceptual metrics; positioning table.</w:t>
      </w:r>
    </w:p>
    <w:p>
      <w:pPr>
        <w:pStyle w:val="ListParagraph"/>
        <w:numPr>
          <w:ilvl w:val="0"/>
          <w:numId w:val="5"/>
        </w:numPr>
        <w:spacing w:after="70" w:line="268"/>
        <w:jc w:val="both"/>
      </w:pPr>
      <w:r>
        <w:rPr>
          <w:rFonts w:ascii="Calibri" w:cs="Calibri" w:eastAsia="Calibri" w:hAnsi="Calibri"/>
          <w:b/>
          <w:bCs/>
        </w:rPr>
        <w:t xml:space="preserve">Proposed Architecture. </w:t>
      </w:r>
      <w:r>
        <w:rPr>
          <w:rFonts w:ascii="Calibri" w:cs="Calibri" w:eastAsia="Calibri" w:hAnsi="Calibri"/>
        </w:rPr>
        <w:t xml:space="preserve">CVBW analysis bank and differentiability; conditioned mask estimator; fusion of mask and fitting gains; latency-budget derivation.</w:t>
      </w:r>
    </w:p>
    <w:p>
      <w:pPr>
        <w:pStyle w:val="ListParagraph"/>
        <w:numPr>
          <w:ilvl w:val="0"/>
          <w:numId w:val="5"/>
        </w:numPr>
        <w:spacing w:after="70" w:line="268"/>
        <w:jc w:val="both"/>
      </w:pPr>
      <w:r>
        <w:rPr>
          <w:rFonts w:ascii="Calibri" w:cs="Calibri" w:eastAsia="Calibri" w:hAnsi="Calibri"/>
          <w:b/>
          <w:bCs/>
        </w:rPr>
        <w:t xml:space="preserve">Optimization. </w:t>
      </w:r>
      <w:r>
        <w:rPr>
          <w:rFonts w:ascii="Calibri" w:cs="Calibri" w:eastAsia="Calibri" w:hAnsi="Calibri"/>
        </w:rPr>
        <w:t xml:space="preserve">multi-objective loss; HI-pMOS; NAS; MOABC and modified SID-CSE.</w:t>
      </w:r>
    </w:p>
    <w:p>
      <w:pPr>
        <w:pStyle w:val="ListParagraph"/>
        <w:numPr>
          <w:ilvl w:val="0"/>
          <w:numId w:val="5"/>
        </w:numPr>
        <w:spacing w:after="70" w:line="268"/>
        <w:jc w:val="both"/>
      </w:pPr>
      <w:r>
        <w:rPr>
          <w:rFonts w:ascii="Calibri" w:cs="Calibri" w:eastAsia="Calibri" w:hAnsi="Calibri"/>
          <w:b/>
          <w:bCs/>
        </w:rPr>
        <w:t xml:space="preserve">Hardware Realization. </w:t>
      </w:r>
      <w:r>
        <w:rPr>
          <w:rFonts w:ascii="Calibri" w:cs="Calibri" w:eastAsia="Calibri" w:hAnsi="Calibri"/>
        </w:rPr>
        <w:t xml:space="preserve">RTL, FPGA results, power/area/latency.</w:t>
      </w:r>
    </w:p>
    <w:p>
      <w:pPr>
        <w:pStyle w:val="ListParagraph"/>
        <w:numPr>
          <w:ilvl w:val="0"/>
          <w:numId w:val="5"/>
        </w:numPr>
        <w:spacing w:after="70" w:line="268"/>
        <w:jc w:val="both"/>
      </w:pPr>
      <w:r>
        <w:rPr>
          <w:rFonts w:ascii="Calibri" w:cs="Calibri" w:eastAsia="Calibri" w:hAnsi="Calibri"/>
          <w:b/>
          <w:bCs/>
        </w:rPr>
        <w:t xml:space="preserve">Experimental Setup. </w:t>
      </w:r>
      <w:r>
        <w:rPr>
          <w:rFonts w:ascii="Calibri" w:cs="Calibri" w:eastAsia="Calibri" w:hAnsi="Calibri"/>
        </w:rPr>
        <w:t xml:space="preserve">datasets, baselines, participants, protocol, statistics.</w:t>
      </w:r>
    </w:p>
    <w:p>
      <w:pPr>
        <w:pStyle w:val="ListParagraph"/>
        <w:numPr>
          <w:ilvl w:val="0"/>
          <w:numId w:val="5"/>
        </w:numPr>
        <w:spacing w:after="70" w:line="268"/>
        <w:jc w:val="both"/>
      </w:pPr>
      <w:r>
        <w:rPr>
          <w:rFonts w:ascii="Calibri" w:cs="Calibri" w:eastAsia="Calibri" w:hAnsi="Calibri"/>
          <w:b/>
          <w:bCs/>
        </w:rPr>
        <w:t xml:space="preserve">Results. </w:t>
      </w:r>
      <w:r>
        <w:rPr>
          <w:rFonts w:ascii="Calibri" w:cs="Calibri" w:eastAsia="Calibri" w:hAnsi="Calibri"/>
        </w:rPr>
        <w:t xml:space="preserve">objective, behavioral, hardware, ablations.</w:t>
      </w:r>
    </w:p>
    <w:p>
      <w:pPr>
        <w:pStyle w:val="ListParagraph"/>
        <w:numPr>
          <w:ilvl w:val="0"/>
          <w:numId w:val="5"/>
        </w:numPr>
        <w:spacing w:after="70" w:line="268"/>
        <w:jc w:val="both"/>
      </w:pPr>
      <w:r>
        <w:rPr>
          <w:rFonts w:ascii="Calibri" w:cs="Calibri" w:eastAsia="Calibri" w:hAnsi="Calibri"/>
          <w:b/>
          <w:bCs/>
        </w:rPr>
        <w:t xml:space="preserve">Discussion. </w:t>
      </w:r>
      <w:r>
        <w:rPr>
          <w:rFonts w:ascii="Calibri" w:cs="Calibri" w:eastAsia="Calibri" w:hAnsi="Calibri"/>
        </w:rPr>
        <w:t xml:space="preserve">interpretation; comparison to literature; why conditioning removes the NH penalty; implications for CI candidacy criteria.</w:t>
      </w:r>
    </w:p>
    <w:p>
      <w:pPr>
        <w:pStyle w:val="ListParagraph"/>
        <w:numPr>
          <w:ilvl w:val="0"/>
          <w:numId w:val="5"/>
        </w:numPr>
        <w:spacing w:after="70" w:line="268"/>
        <w:jc w:val="both"/>
      </w:pPr>
      <w:r>
        <w:rPr>
          <w:rFonts w:ascii="Calibri" w:cs="Calibri" w:eastAsia="Calibri" w:hAnsi="Calibri"/>
          <w:b/>
          <w:bCs/>
        </w:rPr>
        <w:t xml:space="preserve">Limitations and Future Work. </w:t>
      </w:r>
      <w:r>
        <w:rPr>
          <w:rFonts w:ascii="Calibri" w:cs="Calibri" w:eastAsia="Calibri" w:hAnsi="Calibri"/>
        </w:rPr>
        <w:t xml:space="preserve">no target-speaker selection; single-channel only (beamformer fusion as future work); generalization beyond tested languages; no long-term field trial.</w:t>
      </w:r>
    </w:p>
    <w:p>
      <w:pPr>
        <w:pStyle w:val="ListParagraph"/>
        <w:numPr>
          <w:ilvl w:val="0"/>
          <w:numId w:val="5"/>
        </w:numPr>
        <w:spacing w:after="70" w:line="268"/>
        <w:jc w:val="both"/>
      </w:pPr>
      <w:r>
        <w:rPr>
          <w:rFonts w:ascii="Calibri" w:cs="Calibri" w:eastAsia="Calibri" w:hAnsi="Calibri"/>
          <w:b/>
          <w:bCs/>
        </w:rPr>
        <w:t xml:space="preserve">Conclusion. </w:t>
      </w:r>
      <w:r>
        <w:rPr>
          <w:rFonts w:ascii="Calibri" w:cs="Calibri" w:eastAsia="Calibri" w:hAnsi="Calibri"/>
        </w:rPr>
        <w:t xml:space="preserve">summary of contributions and outlook.</w:t>
      </w:r>
    </w:p>
    <w:p>
      <w:pPr>
        <w:spacing w:after="140" w:line="276"/>
        <w:jc w:val="both"/>
      </w:pPr>
      <w:r>
        <w:rPr>
          <w:rFonts w:ascii="Calibri" w:cs="Calibri" w:eastAsia="Calibri" w:hAnsi="Calibri"/>
          <w:b/>
          <w:bCs/>
        </w:rPr>
        <w:t xml:space="preserve">Reproducibility artifacts: </w:t>
      </w:r>
      <w:r>
        <w:rPr>
          <w:rFonts w:ascii="Calibri" w:cs="Calibri" w:eastAsia="Calibri" w:hAnsi="Calibri"/>
        </w:rPr>
        <w:t xml:space="preserve">release RTL, trained weights, the HI-pMOS estimator, tri-lingual test-mixture generation scripts, and the Pareto-front data.</w:t>
      </w:r>
    </w:p>
    <w:p>
      <w:pPr>
        <w:pStyle w:val="Heading1"/>
        <w:spacing w:after="140" w:before="300"/>
      </w:pPr>
      <w:r>
        <w:rPr>
          <w:rFonts w:ascii="Calibri" w:cs="Calibri" w:eastAsia="Calibri" w:hAnsi="Calibri"/>
          <w:b/>
          <w:bCs/>
          <w:color w:val="0B6E8F"/>
          <w:sz w:val="30"/>
          <w:szCs w:val="30"/>
        </w:rPr>
        <w:t xml:space="preserve">9. Methodological Cautions Worth Building In</w:t>
      </w:r>
    </w:p>
    <w:p>
      <w:pPr>
        <w:spacing w:after="140" w:line="276"/>
        <w:jc w:val="both"/>
      </w:pPr>
      <w:r>
        <w:rPr>
          <w:rFonts w:ascii="Calibri" w:cs="Calibri" w:eastAsia="Calibri" w:hAnsi="Calibri"/>
          <w:b/>
          <w:bCs/>
        </w:rPr>
        <w:t xml:space="preserve">On the latency claim. </w:t>
      </w:r>
      <w:r>
        <w:rPr>
          <w:rFonts w:ascii="Calibri" w:cs="Calibri" w:eastAsia="Calibri" w:hAnsi="Calibri"/>
        </w:rPr>
        <w:t xml:space="preserve">A 1 ms figure for a time-domain separator is the look-ahead of the encoder kernel, not total system delay. Any comparison must state whether it counts algorithmic look-ahead, filter group delay, buffering, and AD/DA conversion. Publishing a clean latency-accounting table is itself a contribution, since the literature is inconsistent here.</w:t>
      </w:r>
    </w:p>
    <w:p>
      <w:pPr>
        <w:spacing w:after="140" w:line="276"/>
        <w:jc w:val="both"/>
      </w:pPr>
      <w:r>
        <w:rPr>
          <w:rFonts w:ascii="Calibri" w:cs="Calibri" w:eastAsia="Calibri" w:hAnsi="Calibri"/>
          <w:b/>
          <w:bCs/>
        </w:rPr>
        <w:t xml:space="preserve">On the 'restored to normal hearing' framing. </w:t>
      </w:r>
      <w:r>
        <w:rPr>
          <w:rFonts w:ascii="Calibri" w:cs="Calibri" w:eastAsia="Calibri" w:hAnsi="Calibri"/>
        </w:rPr>
        <w:t xml:space="preserve">Prior work supports this claim with non-significant differences, which is absence of evidence rather than evidence of equivalence. Using two-one-sided-tests equivalence testing for the analogous claim makes the paper methodologically stronger than the work it builds on, and is a defensible reviewer-facing differentiator.</w:t>
      </w:r>
    </w:p>
    <w:p>
      <w:pPr>
        <w:pStyle w:val="Heading1"/>
        <w:spacing w:after="140" w:before="300"/>
      </w:pPr>
      <w:r>
        <w:rPr>
          <w:rFonts w:ascii="Calibri" w:cs="Calibri" w:eastAsia="Calibri" w:hAnsi="Calibri"/>
          <w:b/>
          <w:bCs/>
          <w:color w:val="0B6E8F"/>
          <w:sz w:val="30"/>
          <w:szCs w:val="30"/>
        </w:rPr>
        <w:t xml:space="preserve">10. Candidate Q1 Venues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4200"/>
        <w:gridCol w:w="4800"/>
      </w:tblGrid>
      <w:tr>
        <w:trPr>
          <w:tblHeader/>
        </w:trPr>
        <w:tc>
          <w:tcPr>
            <w:tcW w:type="dxa" w:w="42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Venue</w:t>
            </w:r>
          </w:p>
        </w:tc>
        <w:tc>
          <w:tcPr>
            <w:tcW w:type="dxa" w:w="4800"/>
            <w:shd w:fill="0B6E8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Fit</w:t>
            </w:r>
          </w:p>
        </w:tc>
      </w:tr>
      <w:tr>
        <w:tc>
          <w:tcPr>
            <w:tcW w:type="dxa" w:w="42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IEEE Trans. Biomedical Circuits and Systems</w:t>
            </w:r>
          </w:p>
        </w:tc>
        <w:tc>
          <w:tcPr>
            <w:tcW w:type="dxa" w:w="48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Strongest fit - algorithm plus FPGA plus clinical validation.</w:t>
            </w:r>
          </w:p>
        </w:tc>
      </w:tr>
      <w:tr>
        <w:tc>
          <w:tcPr>
            <w:tcW w:type="dxa" w:w="42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IEEE/ACM Trans. Audio, Speech, and Language Processing</w:t>
            </w:r>
          </w:p>
        </w:tc>
        <w:tc>
          <w:tcPr>
            <w:tcW w:type="dxa" w:w="48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If emphasis shifts to the enhancement algorithm.</w:t>
            </w:r>
          </w:p>
        </w:tc>
      </w:tr>
      <w:tr>
        <w:tc>
          <w:tcPr>
            <w:tcW w:type="dxa" w:w="42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IEEE J. Biomedical and Health Informatics</w:t>
            </w:r>
          </w:p>
        </w:tc>
        <w:tc>
          <w:tcPr>
            <w:tcW w:type="dxa" w:w="48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Clinical-outcome emphasis.</w:t>
            </w:r>
          </w:p>
        </w:tc>
      </w:tr>
      <w:tr>
        <w:tc>
          <w:tcPr>
            <w:tcW w:type="dxa" w:w="42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Trends in Hearing</w:t>
            </w:r>
          </w:p>
        </w:tc>
        <w:tc>
          <w:tcPr>
            <w:tcW w:type="dxa" w:w="48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If behavioral results lead.</w:t>
            </w:r>
          </w:p>
        </w:tc>
      </w:tr>
      <w:tr>
        <w:tc>
          <w:tcPr>
            <w:tcW w:type="dxa" w:w="42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AEU - Int. J. Electronics and Communications</w:t>
            </w:r>
          </w:p>
        </w:tc>
        <w:tc>
          <w:tcPr>
            <w:tcW w:type="dxa" w:w="4800"/>
            <w:shd w:fill="EAF3F6"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Continuity with the CVBW filter line of work.</w:t>
            </w:r>
          </w:p>
        </w:tc>
      </w:tr>
      <w:tr>
        <w:tc>
          <w:tcPr>
            <w:tcW w:type="dxa" w:w="42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Applied Acoustics / Biomedical Signal Processing and Control</w:t>
            </w:r>
          </w:p>
        </w:tc>
        <w:tc>
          <w:tcPr>
            <w:tcW w:type="dxa" w:w="4800"/>
            <w:shd w:fill="FFFFFF" w:color="auto" w:val="clear"/>
            <w:tcMar>
              <w:top w:type="dxa" w:w="50"/>
              <w:left w:type="dxa" w:w="90"/>
              <w:bottom w:type="dxa" w:w="50"/>
              <w:right w:type="dxa" w:w="90"/>
            </w:tcMar>
          </w:tcPr>
          <w:p>
            <w:pPr>
              <w:spacing w:after="0" w:line="240"/>
            </w:pPr>
            <w:r>
              <w:rPr>
                <w:rFonts w:ascii="Calibri" w:cs="Calibri" w:eastAsia="Calibri" w:hAnsi="Calibri"/>
                <w:sz w:val="17"/>
                <w:szCs w:val="17"/>
              </w:rPr>
              <w:t xml:space="preserve">Fallback, still Q1/Q2.</w:t>
            </w:r>
          </w:p>
        </w:tc>
      </w:tr>
    </w:tbl>
    <w:p>
      <w:pPr>
        <w:pBdr>
          <w:top w:val="single" w:color="0B6E8F" w:sz="6"/>
        </w:pBdr>
        <w:spacing w:before="400"/>
      </w:pPr>
      <w:r>
        <w:rPr>
          <w:rFonts w:ascii="Calibri" w:cs="Calibri" w:eastAsia="Calibri" w:hAnsi="Calibri"/>
          <w:i/>
          <w:iCs/>
          <w:color w:val="666666"/>
          <w:sz w:val="17"/>
          <w:szCs w:val="17"/>
        </w:rPr>
        <w:t xml:space="preserve">Companion deliverables: an implementation guide with reference code and a full draw.io architecture diagram accompany this manuscript.</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Calibri" w:cs="Calibri" w:eastAsia="Calibri" w:hAnsi="Calibri"/>
        <w:color w:val="999999"/>
        <w:sz w:val="15"/>
        <w:szCs w:val="15"/>
      </w:rPr>
      <w:t xml:space="preserve">CVBW-DeepFit  |  Research Manuscript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CVBW-DeepFit Research Manuscript Outline</dc:title>
  <dc:creator>CVBW-DeepFit</dc:creator>
  <cp:lastModifiedBy>Un-named</cp:lastModifiedBy>
  <cp:revision>1</cp:revision>
  <dcterms:created xsi:type="dcterms:W3CDTF">2026-07-23T00:27:01.961Z</dcterms:created>
  <dcterms:modified xsi:type="dcterms:W3CDTF">2026-07-23T00:27:01.975Z</dcterms:modified>
</cp:coreProperties>
</file>

<file path=docProps/custom.xml><?xml version="1.0" encoding="utf-8"?>
<Properties xmlns="http://schemas.openxmlformats.org/officeDocument/2006/custom-properties" xmlns:vt="http://schemas.openxmlformats.org/officeDocument/2006/docPropsVTypes"/>
</file>