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23" w:rsidRPr="00A70423" w:rsidRDefault="00A70423" w:rsidP="00A70423">
      <w:r w:rsidRPr="00A70423">
        <w:t>Here are some examples demonstrating the correct use of superscript note indicators in accordance with this rule:</w:t>
      </w:r>
    </w:p>
    <w:p w:rsidR="00A70423" w:rsidRPr="00A70423" w:rsidRDefault="00A70423" w:rsidP="00A70423">
      <w:pPr>
        <w:numPr>
          <w:ilvl w:val="0"/>
          <w:numId w:val="1"/>
        </w:numPr>
      </w:pPr>
      <w:r w:rsidRPr="00A70423">
        <w:t xml:space="preserve">The results of the study confirmed the </w:t>
      </w:r>
      <w:proofErr w:type="spellStart"/>
      <w:r w:rsidRPr="00A70423">
        <w:t>hypothesis.</w:t>
      </w:r>
      <w:r w:rsidRPr="00104838">
        <w:rPr>
          <w:vertAlign w:val="superscript"/>
        </w:rPr>
        <w:t>1</w:t>
      </w:r>
      <w:proofErr w:type="spellEnd"/>
    </w:p>
    <w:p w:rsidR="00A70423" w:rsidRPr="00A70423" w:rsidRDefault="00A70423" w:rsidP="00A70423">
      <w:pPr>
        <w:numPr>
          <w:ilvl w:val="0"/>
          <w:numId w:val="1"/>
        </w:numPr>
      </w:pPr>
      <w:r w:rsidRPr="00A70423">
        <w:t xml:space="preserve">Previous research has shown similar trends in consumer </w:t>
      </w:r>
      <w:proofErr w:type="spellStart"/>
      <w:r w:rsidRPr="00A70423">
        <w:t>behavior.</w:t>
      </w:r>
      <w:r w:rsidRPr="00104838">
        <w:rPr>
          <w:vertAlign w:val="superscript"/>
        </w:rPr>
        <w:t>2</w:t>
      </w:r>
      <w:proofErr w:type="spellEnd"/>
    </w:p>
    <w:p w:rsidR="00A70423" w:rsidRPr="00A70423" w:rsidRDefault="00A70423" w:rsidP="00A70423">
      <w:pPr>
        <w:numPr>
          <w:ilvl w:val="0"/>
          <w:numId w:val="1"/>
        </w:numPr>
      </w:pPr>
      <w:r w:rsidRPr="00A70423">
        <w:t xml:space="preserve">Smith argues that this approach is </w:t>
      </w:r>
      <w:proofErr w:type="spellStart"/>
      <w:r w:rsidRPr="00A70423">
        <w:t>outdated;3</w:t>
      </w:r>
      <w:proofErr w:type="spellEnd"/>
      <w:r w:rsidRPr="00A70423">
        <w:t xml:space="preserve"> however, recent studies suggest </w:t>
      </w:r>
      <w:proofErr w:type="spellStart"/>
      <w:r w:rsidRPr="00A70423">
        <w:t>otherwise.</w:t>
      </w:r>
      <w:r w:rsidRPr="00104838">
        <w:rPr>
          <w:vertAlign w:val="superscript"/>
        </w:rPr>
        <w:t>4</w:t>
      </w:r>
      <w:proofErr w:type="spellEnd"/>
    </w:p>
    <w:p w:rsidR="00A70423" w:rsidRPr="00A70423" w:rsidRDefault="00A70423" w:rsidP="00A70423">
      <w:pPr>
        <w:numPr>
          <w:ilvl w:val="0"/>
          <w:numId w:val="1"/>
        </w:numPr>
      </w:pPr>
      <w:r w:rsidRPr="00A70423">
        <w:t xml:space="preserve">The experiment yielded significant findings, as noted in prior </w:t>
      </w:r>
      <w:proofErr w:type="spellStart"/>
      <w:r w:rsidRPr="00A70423">
        <w:t>literature.</w:t>
      </w:r>
      <w:r w:rsidRPr="00104838">
        <w:rPr>
          <w:vertAlign w:val="superscript"/>
        </w:rPr>
        <w:t>5</w:t>
      </w:r>
      <w:proofErr w:type="spellEnd"/>
    </w:p>
    <w:p w:rsidR="00A70423" w:rsidRDefault="00A70423" w:rsidP="00A70423">
      <w:r w:rsidRPr="00A70423">
        <w:t xml:space="preserve">In each case, the superscript number appears </w:t>
      </w:r>
      <w:r w:rsidRPr="00A70423">
        <w:rPr>
          <w:b/>
          <w:bCs/>
        </w:rPr>
        <w:t>after</w:t>
      </w:r>
      <w:r w:rsidRPr="00A70423">
        <w:t xml:space="preserve"> punctuation, typically following the period (full stop) at the end of the sentence.</w:t>
      </w:r>
    </w:p>
    <w:p w:rsidR="00104838" w:rsidRPr="00104838" w:rsidRDefault="00104838" w:rsidP="00104838">
      <w:r w:rsidRPr="00104838">
        <w:t>Here are examples of different rules regarding the placement of superscript note indicators in text:</w:t>
      </w:r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</w:rPr>
        <w:t>1. Superscript placed after a period (full stop) or other punctuation</w:t>
      </w:r>
    </w:p>
    <w:p w:rsidR="00104838" w:rsidRPr="00104838" w:rsidRDefault="00104838" w:rsidP="00104838">
      <w:pPr>
        <w:numPr>
          <w:ilvl w:val="0"/>
          <w:numId w:val="2"/>
        </w:numPr>
      </w:pPr>
      <w:r w:rsidRPr="00104838">
        <w:t xml:space="preserve">The study confirmed the </w:t>
      </w:r>
      <w:proofErr w:type="spellStart"/>
      <w:r w:rsidRPr="00104838">
        <w:t>hypothesis.</w:t>
      </w:r>
      <w:r w:rsidRPr="00104838">
        <w:rPr>
          <w:vertAlign w:val="superscript"/>
        </w:rPr>
        <w:t>1</w:t>
      </w:r>
      <w:proofErr w:type="spellEnd"/>
    </w:p>
    <w:p w:rsidR="00104838" w:rsidRPr="00104838" w:rsidRDefault="00104838" w:rsidP="00104838">
      <w:pPr>
        <w:numPr>
          <w:ilvl w:val="0"/>
          <w:numId w:val="2"/>
        </w:numPr>
      </w:pPr>
      <w:r w:rsidRPr="00104838">
        <w:t xml:space="preserve">Researchers have debated this issue for </w:t>
      </w:r>
      <w:proofErr w:type="spellStart"/>
      <w:r w:rsidRPr="00104838">
        <w:t>decades.</w:t>
      </w:r>
      <w:r w:rsidRPr="00104838">
        <w:rPr>
          <w:vertAlign w:val="superscript"/>
        </w:rPr>
        <w:t>2</w:t>
      </w:r>
      <w:proofErr w:type="spellEnd"/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</w:rPr>
        <w:t>2. Superscript placed after a comma</w:t>
      </w:r>
    </w:p>
    <w:p w:rsidR="00104838" w:rsidRPr="00104838" w:rsidRDefault="00104838" w:rsidP="00104838">
      <w:pPr>
        <w:numPr>
          <w:ilvl w:val="0"/>
          <w:numId w:val="3"/>
        </w:numPr>
      </w:pPr>
      <w:r w:rsidRPr="00104838">
        <w:t xml:space="preserve">The results were </w:t>
      </w:r>
      <w:proofErr w:type="spellStart"/>
      <w:r w:rsidRPr="00104838">
        <w:t>conclusive</w:t>
      </w:r>
      <w:proofErr w:type="gramStart"/>
      <w:r w:rsidRPr="00104838">
        <w:t>,</w:t>
      </w:r>
      <w:r w:rsidRPr="00104838">
        <w:rPr>
          <w:vertAlign w:val="superscript"/>
        </w:rPr>
        <w:t>3</w:t>
      </w:r>
      <w:proofErr w:type="spellEnd"/>
      <w:proofErr w:type="gramEnd"/>
      <w:r w:rsidRPr="00104838">
        <w:t xml:space="preserve"> but further research is needed.</w:t>
      </w:r>
    </w:p>
    <w:p w:rsidR="00104838" w:rsidRPr="00104838" w:rsidRDefault="00104838" w:rsidP="00104838">
      <w:pPr>
        <w:numPr>
          <w:ilvl w:val="0"/>
          <w:numId w:val="3"/>
        </w:numPr>
      </w:pPr>
      <w:r w:rsidRPr="00104838">
        <w:t xml:space="preserve">According to the </w:t>
      </w:r>
      <w:proofErr w:type="spellStart"/>
      <w:r w:rsidRPr="00104838">
        <w:t>author</w:t>
      </w:r>
      <w:proofErr w:type="gramStart"/>
      <w:r w:rsidRPr="00104838">
        <w:t>,</w:t>
      </w:r>
      <w:r w:rsidRPr="00104838">
        <w:rPr>
          <w:vertAlign w:val="superscript"/>
        </w:rPr>
        <w:t>4</w:t>
      </w:r>
      <w:proofErr w:type="spellEnd"/>
      <w:proofErr w:type="gramEnd"/>
      <w:r w:rsidRPr="00104838">
        <w:t xml:space="preserve"> the findings support the theory.</w:t>
      </w:r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</w:rPr>
        <w:t>3. Superscript placed after a quotation mark</w:t>
      </w:r>
    </w:p>
    <w:p w:rsidR="00104838" w:rsidRPr="00104838" w:rsidRDefault="00104838" w:rsidP="00104838">
      <w:pPr>
        <w:numPr>
          <w:ilvl w:val="0"/>
          <w:numId w:val="4"/>
        </w:numPr>
      </w:pPr>
      <w:r w:rsidRPr="00104838">
        <w:t xml:space="preserve">"This discovery revolutionized the </w:t>
      </w:r>
      <w:proofErr w:type="spellStart"/>
      <w:r w:rsidRPr="00104838">
        <w:t>field.</w:t>
      </w:r>
      <w:proofErr w:type="gramStart"/>
      <w:r w:rsidRPr="00104838">
        <w:t>"</w:t>
      </w:r>
      <w:proofErr w:type="gramEnd"/>
      <w:r w:rsidRPr="00104838">
        <w:rPr>
          <w:vertAlign w:val="superscript"/>
        </w:rPr>
        <w:t>5</w:t>
      </w:r>
      <w:proofErr w:type="spellEnd"/>
    </w:p>
    <w:p w:rsidR="00104838" w:rsidRPr="00104838" w:rsidRDefault="00104838" w:rsidP="00104838">
      <w:pPr>
        <w:numPr>
          <w:ilvl w:val="0"/>
          <w:numId w:val="4"/>
        </w:numPr>
      </w:pPr>
      <w:r w:rsidRPr="00104838">
        <w:t>The experiment was described as "</w:t>
      </w:r>
      <w:proofErr w:type="spellStart"/>
      <w:r w:rsidRPr="00104838">
        <w:t>groundbreaking,"</w:t>
      </w:r>
      <w:proofErr w:type="gramStart"/>
      <w:r w:rsidRPr="00104838">
        <w:rPr>
          <w:vertAlign w:val="superscript"/>
        </w:rPr>
        <w:t>6</w:t>
      </w:r>
      <w:proofErr w:type="spellEnd"/>
      <w:proofErr w:type="gramEnd"/>
      <w:r w:rsidRPr="00104838">
        <w:t xml:space="preserve"> leading to further research.</w:t>
      </w:r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</w:rPr>
        <w:t>4. Superscript placed after a semicolon or colon</w:t>
      </w:r>
    </w:p>
    <w:p w:rsidR="00104838" w:rsidRPr="00104838" w:rsidRDefault="00104838" w:rsidP="00104838">
      <w:pPr>
        <w:numPr>
          <w:ilvl w:val="0"/>
          <w:numId w:val="5"/>
        </w:numPr>
      </w:pPr>
      <w:r w:rsidRPr="00104838">
        <w:t xml:space="preserve">Several studies support this </w:t>
      </w:r>
      <w:proofErr w:type="spellStart"/>
      <w:r w:rsidRPr="00104838">
        <w:t>claim</w:t>
      </w:r>
      <w:proofErr w:type="gramStart"/>
      <w:r w:rsidRPr="00104838">
        <w:t>;</w:t>
      </w:r>
      <w:r w:rsidRPr="00104838">
        <w:rPr>
          <w:vertAlign w:val="superscript"/>
        </w:rPr>
        <w:t>7</w:t>
      </w:r>
      <w:proofErr w:type="spellEnd"/>
      <w:proofErr w:type="gramEnd"/>
      <w:r w:rsidRPr="00104838">
        <w:t xml:space="preserve"> however, some researchers disagree.</w:t>
      </w:r>
    </w:p>
    <w:p w:rsidR="00104838" w:rsidRPr="00104838" w:rsidRDefault="00104838" w:rsidP="00104838">
      <w:pPr>
        <w:numPr>
          <w:ilvl w:val="0"/>
          <w:numId w:val="5"/>
        </w:numPr>
      </w:pPr>
      <w:r w:rsidRPr="00104838">
        <w:t xml:space="preserve">The findings were </w:t>
      </w:r>
      <w:proofErr w:type="spellStart"/>
      <w:r w:rsidRPr="00104838">
        <w:t>clear</w:t>
      </w:r>
      <w:proofErr w:type="gramStart"/>
      <w:r w:rsidRPr="00104838">
        <w:t>:</w:t>
      </w:r>
      <w:r w:rsidRPr="00104838">
        <w:rPr>
          <w:vertAlign w:val="superscript"/>
        </w:rPr>
        <w:t>8</w:t>
      </w:r>
      <w:proofErr w:type="spellEnd"/>
      <w:proofErr w:type="gramEnd"/>
      <w:r w:rsidRPr="00104838">
        <w:t xml:space="preserve"> the treatment was effective.</w:t>
      </w:r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</w:rPr>
        <w:t>5. Superscript placed before a dash</w:t>
      </w:r>
    </w:p>
    <w:p w:rsidR="00104838" w:rsidRPr="00104838" w:rsidRDefault="00104838" w:rsidP="00104838">
      <w:pPr>
        <w:numPr>
          <w:ilvl w:val="0"/>
          <w:numId w:val="6"/>
        </w:numPr>
      </w:pPr>
      <w:r w:rsidRPr="00104838">
        <w:t xml:space="preserve">The theory was widely </w:t>
      </w:r>
      <w:proofErr w:type="spellStart"/>
      <w:r w:rsidRPr="00104838">
        <w:t>accepted</w:t>
      </w:r>
      <w:r w:rsidRPr="00104838">
        <w:rPr>
          <w:vertAlign w:val="superscript"/>
        </w:rPr>
        <w:t>9</w:t>
      </w:r>
      <w:proofErr w:type="spellEnd"/>
      <w:r w:rsidRPr="00104838">
        <w:t>—at least until new evidence emerged.</w:t>
      </w:r>
    </w:p>
    <w:p w:rsidR="00104838" w:rsidRPr="00104838" w:rsidRDefault="00104838" w:rsidP="00104838">
      <w:r w:rsidRPr="00104838">
        <w:t xml:space="preserve">Here are examples demonstrating the </w:t>
      </w:r>
      <w:r w:rsidRPr="00104838">
        <w:rPr>
          <w:b/>
          <w:bCs/>
        </w:rPr>
        <w:t>exceptions</w:t>
      </w:r>
      <w:r w:rsidRPr="00104838">
        <w:t xml:space="preserve"> to the standard positioning rule for superscript note indicators:</w:t>
      </w:r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</w:rPr>
        <w:t>1. Footnote/Endnote within Parentheses</w:t>
      </w:r>
    </w:p>
    <w:p w:rsidR="00104838" w:rsidRPr="00104838" w:rsidRDefault="00104838" w:rsidP="00104838">
      <w:pPr>
        <w:numPr>
          <w:ilvl w:val="0"/>
          <w:numId w:val="7"/>
        </w:numPr>
      </w:pPr>
      <w:r w:rsidRPr="00104838">
        <w:t xml:space="preserve">This theory has been widely debated (see Smith for further </w:t>
      </w:r>
      <w:proofErr w:type="spellStart"/>
      <w:r w:rsidRPr="00104838">
        <w:t>discussion</w:t>
      </w:r>
      <w:r w:rsidRPr="00104838">
        <w:rPr>
          <w:vertAlign w:val="superscript"/>
        </w:rPr>
        <w:t>1</w:t>
      </w:r>
      <w:proofErr w:type="spellEnd"/>
      <w:r w:rsidRPr="00104838">
        <w:t>).</w:t>
      </w:r>
    </w:p>
    <w:p w:rsidR="00104838" w:rsidRPr="00104838" w:rsidRDefault="00104838" w:rsidP="00104838">
      <w:pPr>
        <w:numPr>
          <w:ilvl w:val="0"/>
          <w:numId w:val="7"/>
        </w:numPr>
      </w:pPr>
      <w:proofErr w:type="gramStart"/>
      <w:r w:rsidRPr="00104838">
        <w:lastRenderedPageBreak/>
        <w:t xml:space="preserve">The results were inconclusive (but see recent studies for new </w:t>
      </w:r>
      <w:proofErr w:type="spellStart"/>
      <w:r w:rsidRPr="00104838">
        <w:t>insights</w:t>
      </w:r>
      <w:r w:rsidRPr="00104838">
        <w:rPr>
          <w:vertAlign w:val="superscript"/>
        </w:rPr>
        <w:t>2</w:t>
      </w:r>
      <w:proofErr w:type="spellEnd"/>
      <w:r w:rsidRPr="00104838">
        <w:t>).</w:t>
      </w:r>
      <w:proofErr w:type="gramEnd"/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</w:rPr>
        <w:t>2. Footnote/Endnote with Parenthetical Dashes</w:t>
      </w:r>
    </w:p>
    <w:p w:rsidR="00104838" w:rsidRPr="00104838" w:rsidRDefault="00104838" w:rsidP="00104838">
      <w:pPr>
        <w:numPr>
          <w:ilvl w:val="0"/>
          <w:numId w:val="8"/>
        </w:numPr>
      </w:pPr>
      <w:r w:rsidRPr="00104838">
        <w:t>The experiment</w:t>
      </w:r>
      <w:proofErr w:type="gramStart"/>
      <w:r w:rsidRPr="00104838">
        <w:t>—which</w:t>
      </w:r>
      <w:proofErr w:type="gramEnd"/>
      <w:r w:rsidRPr="00104838">
        <w:t xml:space="preserve"> lasted for three </w:t>
      </w:r>
      <w:proofErr w:type="spellStart"/>
      <w:r w:rsidRPr="00104838">
        <w:t>months</w:t>
      </w:r>
      <w:r w:rsidRPr="00104838">
        <w:rPr>
          <w:vertAlign w:val="superscript"/>
        </w:rPr>
        <w:t>3</w:t>
      </w:r>
      <w:proofErr w:type="spellEnd"/>
      <w:r w:rsidRPr="00104838">
        <w:t>—yielded unexpected results.</w:t>
      </w:r>
    </w:p>
    <w:p w:rsidR="00104838" w:rsidRPr="00104838" w:rsidRDefault="00104838" w:rsidP="00104838">
      <w:pPr>
        <w:numPr>
          <w:ilvl w:val="0"/>
          <w:numId w:val="8"/>
        </w:numPr>
      </w:pPr>
      <w:r w:rsidRPr="00104838">
        <w:t>The find</w:t>
      </w:r>
      <w:r>
        <w:t xml:space="preserve">ings—despite initial </w:t>
      </w:r>
      <w:proofErr w:type="spellStart"/>
      <w:r>
        <w:t>skepticism</w:t>
      </w:r>
      <w:r w:rsidRPr="00104838">
        <w:rPr>
          <w:vertAlign w:val="superscript"/>
        </w:rPr>
        <w:t>4</w:t>
      </w:r>
      <w:proofErr w:type="spellEnd"/>
      <w:r w:rsidRPr="00104838">
        <w:t>—</w:t>
      </w:r>
      <w:proofErr w:type="gramStart"/>
      <w:r w:rsidRPr="00104838">
        <w:t>were later confirmed</w:t>
      </w:r>
      <w:proofErr w:type="gramEnd"/>
      <w:r w:rsidRPr="00104838">
        <w:t>.</w:t>
      </w:r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</w:rPr>
        <w:t>3. Footnote/Endnote Referring to a Single Word at the End of a Sentence</w:t>
      </w:r>
    </w:p>
    <w:p w:rsidR="00104838" w:rsidRPr="00104838" w:rsidRDefault="00104838" w:rsidP="00104838">
      <w:pPr>
        <w:numPr>
          <w:ilvl w:val="0"/>
          <w:numId w:val="9"/>
        </w:numPr>
      </w:pPr>
      <w:r w:rsidRPr="00104838">
        <w:t xml:space="preserve">The process </w:t>
      </w:r>
      <w:proofErr w:type="gramStart"/>
      <w:r w:rsidRPr="00104838">
        <w:t>is known</w:t>
      </w:r>
      <w:proofErr w:type="gramEnd"/>
      <w:r w:rsidRPr="00104838">
        <w:t xml:space="preserve"> as </w:t>
      </w:r>
      <w:proofErr w:type="spellStart"/>
      <w:r w:rsidRPr="00104838">
        <w:t>crystallization</w:t>
      </w:r>
      <w:r w:rsidRPr="00104838">
        <w:rPr>
          <w:vertAlign w:val="superscript"/>
        </w:rPr>
        <w:t>5</w:t>
      </w:r>
      <w:proofErr w:type="spellEnd"/>
      <w:r w:rsidRPr="00104838">
        <w:t>.</w:t>
      </w:r>
    </w:p>
    <w:p w:rsidR="00104838" w:rsidRPr="00104838" w:rsidRDefault="00104838" w:rsidP="00104838">
      <w:pPr>
        <w:numPr>
          <w:ilvl w:val="0"/>
          <w:numId w:val="9"/>
        </w:numPr>
      </w:pPr>
      <w:r w:rsidRPr="00104838">
        <w:t xml:space="preserve">This phenomenon </w:t>
      </w:r>
      <w:proofErr w:type="gramStart"/>
      <w:r w:rsidRPr="00104838">
        <w:t>is called</w:t>
      </w:r>
      <w:proofErr w:type="gramEnd"/>
      <w:r w:rsidRPr="00104838">
        <w:t xml:space="preserve"> </w:t>
      </w:r>
      <w:proofErr w:type="spellStart"/>
      <w:r w:rsidRPr="00104838">
        <w:t>diffraction</w:t>
      </w:r>
      <w:r w:rsidRPr="00104838">
        <w:rPr>
          <w:vertAlign w:val="superscript"/>
        </w:rPr>
        <w:t>6</w:t>
      </w:r>
      <w:proofErr w:type="spellEnd"/>
      <w:r w:rsidRPr="00104838">
        <w:t>.</w:t>
      </w:r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</w:rPr>
        <w:t>Footnotes/Endnotes with Proper Punctuation</w:t>
      </w:r>
    </w:p>
    <w:p w:rsidR="00104838" w:rsidRPr="00104838" w:rsidRDefault="00104838" w:rsidP="00104838">
      <w:pPr>
        <w:numPr>
          <w:ilvl w:val="0"/>
          <w:numId w:val="10"/>
        </w:numPr>
      </w:pPr>
      <w:r w:rsidRPr="00104838">
        <w:t xml:space="preserve">Smith, J. </w:t>
      </w:r>
      <w:proofErr w:type="gramStart"/>
      <w:r w:rsidRPr="00104838">
        <w:rPr>
          <w:i/>
          <w:iCs/>
        </w:rPr>
        <w:t>The History of Science</w:t>
      </w:r>
      <w:r w:rsidRPr="00104838">
        <w:t>.</w:t>
      </w:r>
      <w:proofErr w:type="gramEnd"/>
      <w:r w:rsidRPr="00104838">
        <w:t xml:space="preserve"> </w:t>
      </w:r>
      <w:proofErr w:type="gramStart"/>
      <w:r w:rsidRPr="00104838">
        <w:t>Oxford University Press, 2020.</w:t>
      </w:r>
      <w:proofErr w:type="gramEnd"/>
    </w:p>
    <w:p w:rsidR="00104838" w:rsidRPr="00104838" w:rsidRDefault="00104838" w:rsidP="00104838">
      <w:pPr>
        <w:numPr>
          <w:ilvl w:val="0"/>
          <w:numId w:val="10"/>
        </w:numPr>
      </w:pPr>
      <w:r w:rsidRPr="00104838">
        <w:t xml:space="preserve">Johnson, L. "Economic Trends in the 21st Century." </w:t>
      </w:r>
      <w:r w:rsidRPr="00104838">
        <w:rPr>
          <w:i/>
          <w:iCs/>
        </w:rPr>
        <w:t>Journal of Economics</w:t>
      </w:r>
      <w:r w:rsidRPr="00104838">
        <w:t>, vol. 15, no. 2, 2019, pp. 45–67.</w:t>
      </w:r>
    </w:p>
    <w:p w:rsidR="00104838" w:rsidRPr="00104838" w:rsidRDefault="00104838" w:rsidP="00104838">
      <w:pPr>
        <w:numPr>
          <w:ilvl w:val="0"/>
          <w:numId w:val="10"/>
        </w:numPr>
      </w:pPr>
      <w:r w:rsidRPr="00104838">
        <w:t xml:space="preserve">See Brown, M. </w:t>
      </w:r>
      <w:r w:rsidRPr="00104838">
        <w:rPr>
          <w:i/>
          <w:iCs/>
        </w:rPr>
        <w:t>Psychological Theories of Learning</w:t>
      </w:r>
      <w:r w:rsidRPr="00104838">
        <w:t xml:space="preserve">. </w:t>
      </w:r>
      <w:proofErr w:type="spellStart"/>
      <w:proofErr w:type="gramStart"/>
      <w:r w:rsidRPr="00104838">
        <w:t>Routledge</w:t>
      </w:r>
      <w:proofErr w:type="spellEnd"/>
      <w:r w:rsidRPr="00104838">
        <w:t>, 2018.</w:t>
      </w:r>
      <w:proofErr w:type="gramEnd"/>
    </w:p>
    <w:p w:rsidR="00104838" w:rsidRPr="00104838" w:rsidRDefault="00104838" w:rsidP="00104838">
      <w:pPr>
        <w:numPr>
          <w:ilvl w:val="0"/>
          <w:numId w:val="10"/>
        </w:numPr>
      </w:pPr>
      <w:r w:rsidRPr="00104838">
        <w:t xml:space="preserve">For further discussion, refer to Taylor, R. </w:t>
      </w:r>
      <w:r w:rsidRPr="00104838">
        <w:rPr>
          <w:i/>
          <w:iCs/>
        </w:rPr>
        <w:t>Modern Architecture</w:t>
      </w:r>
      <w:r w:rsidRPr="00104838">
        <w:t xml:space="preserve">. </w:t>
      </w:r>
      <w:proofErr w:type="gramStart"/>
      <w:r w:rsidRPr="00104838">
        <w:t>MIT Press, 2021.</w:t>
      </w:r>
      <w:proofErr w:type="gramEnd"/>
    </w:p>
    <w:p w:rsidR="00104838" w:rsidRPr="00104838" w:rsidRDefault="00104838" w:rsidP="00104838">
      <w:pPr>
        <w:numPr>
          <w:ilvl w:val="0"/>
          <w:numId w:val="10"/>
        </w:numPr>
      </w:pPr>
      <w:r w:rsidRPr="00104838">
        <w:t xml:space="preserve">Additional insights </w:t>
      </w:r>
      <w:proofErr w:type="gramStart"/>
      <w:r w:rsidRPr="00104838">
        <w:t>can be found</w:t>
      </w:r>
      <w:proofErr w:type="gramEnd"/>
      <w:r w:rsidRPr="00104838">
        <w:t xml:space="preserve"> in Davis, K. "Climate Change and Policy." </w:t>
      </w:r>
      <w:r w:rsidRPr="00104838">
        <w:rPr>
          <w:i/>
          <w:iCs/>
        </w:rPr>
        <w:t>Environmental Studies Review</w:t>
      </w:r>
      <w:r w:rsidRPr="00104838">
        <w:t>, vol. 10, no. 1, 2022, pp. 30–48.</w:t>
      </w:r>
    </w:p>
    <w:p w:rsidR="00104838" w:rsidRPr="00A70423" w:rsidRDefault="00104838" w:rsidP="00A70423"/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</w:rPr>
        <w:t>Footnotes/Endnotes in Sentence Case</w:t>
      </w:r>
    </w:p>
    <w:p w:rsidR="00104838" w:rsidRPr="00104838" w:rsidRDefault="00104838" w:rsidP="00104838">
      <w:pPr>
        <w:numPr>
          <w:ilvl w:val="0"/>
          <w:numId w:val="11"/>
        </w:numPr>
      </w:pPr>
      <w:r w:rsidRPr="00104838">
        <w:t xml:space="preserve">Smith, J. </w:t>
      </w:r>
      <w:proofErr w:type="gramStart"/>
      <w:r w:rsidRPr="00104838">
        <w:rPr>
          <w:i/>
          <w:iCs/>
        </w:rPr>
        <w:t>The history of science</w:t>
      </w:r>
      <w:r w:rsidRPr="00104838">
        <w:t>.</w:t>
      </w:r>
      <w:proofErr w:type="gramEnd"/>
      <w:r w:rsidRPr="00104838">
        <w:t xml:space="preserve"> </w:t>
      </w:r>
      <w:proofErr w:type="gramStart"/>
      <w:r w:rsidRPr="00104838">
        <w:t>Oxford University Press, 2020.</w:t>
      </w:r>
      <w:proofErr w:type="gramEnd"/>
    </w:p>
    <w:p w:rsidR="00104838" w:rsidRPr="00104838" w:rsidRDefault="00104838" w:rsidP="00104838">
      <w:pPr>
        <w:numPr>
          <w:ilvl w:val="0"/>
          <w:numId w:val="11"/>
        </w:numPr>
      </w:pPr>
      <w:proofErr w:type="gramStart"/>
      <w:r w:rsidRPr="00104838">
        <w:t>Johnson, L. "Economic trends in the 21st century."</w:t>
      </w:r>
      <w:proofErr w:type="gramEnd"/>
      <w:r w:rsidRPr="00104838">
        <w:t xml:space="preserve"> </w:t>
      </w:r>
      <w:proofErr w:type="gramStart"/>
      <w:r w:rsidRPr="00104838">
        <w:rPr>
          <w:i/>
          <w:iCs/>
        </w:rPr>
        <w:t>Journal of economics</w:t>
      </w:r>
      <w:r w:rsidRPr="00104838">
        <w:t>, vol. 15, no. 2, 2019, pp. 45–67.</w:t>
      </w:r>
      <w:proofErr w:type="gramEnd"/>
    </w:p>
    <w:p w:rsidR="00104838" w:rsidRPr="00104838" w:rsidRDefault="00104838" w:rsidP="00104838">
      <w:pPr>
        <w:numPr>
          <w:ilvl w:val="0"/>
          <w:numId w:val="11"/>
        </w:numPr>
      </w:pPr>
      <w:r w:rsidRPr="00104838">
        <w:t xml:space="preserve">See Brown, M. </w:t>
      </w:r>
      <w:r w:rsidRPr="00104838">
        <w:rPr>
          <w:i/>
          <w:iCs/>
        </w:rPr>
        <w:t>Psychological theories of learning</w:t>
      </w:r>
      <w:r w:rsidRPr="00104838">
        <w:t xml:space="preserve">. </w:t>
      </w:r>
      <w:proofErr w:type="spellStart"/>
      <w:proofErr w:type="gramStart"/>
      <w:r w:rsidRPr="00104838">
        <w:t>Routledge</w:t>
      </w:r>
      <w:proofErr w:type="spellEnd"/>
      <w:r w:rsidRPr="00104838">
        <w:t>, 2018.</w:t>
      </w:r>
      <w:proofErr w:type="gramEnd"/>
    </w:p>
    <w:p w:rsidR="00104838" w:rsidRPr="00104838" w:rsidRDefault="00104838" w:rsidP="00104838">
      <w:pPr>
        <w:numPr>
          <w:ilvl w:val="0"/>
          <w:numId w:val="11"/>
        </w:numPr>
      </w:pPr>
      <w:r w:rsidRPr="00104838">
        <w:t xml:space="preserve">For further discussion, refer to Taylor, R. </w:t>
      </w:r>
      <w:r w:rsidRPr="00104838">
        <w:rPr>
          <w:i/>
          <w:iCs/>
        </w:rPr>
        <w:t>Modern architecture</w:t>
      </w:r>
      <w:r w:rsidRPr="00104838">
        <w:t xml:space="preserve">. </w:t>
      </w:r>
      <w:proofErr w:type="gramStart"/>
      <w:r w:rsidRPr="00104838">
        <w:t>MIT Press, 2021.</w:t>
      </w:r>
      <w:proofErr w:type="gramEnd"/>
    </w:p>
    <w:p w:rsidR="00104838" w:rsidRPr="00104838" w:rsidRDefault="00104838" w:rsidP="00104838">
      <w:pPr>
        <w:numPr>
          <w:ilvl w:val="0"/>
          <w:numId w:val="11"/>
        </w:numPr>
      </w:pPr>
      <w:r w:rsidRPr="00104838">
        <w:t xml:space="preserve">Additional insights can be found in Davis, K. "Climate change and policy." </w:t>
      </w:r>
      <w:proofErr w:type="gramStart"/>
      <w:r w:rsidRPr="00104838">
        <w:rPr>
          <w:i/>
          <w:iCs/>
        </w:rPr>
        <w:t>Environmental studies review</w:t>
      </w:r>
      <w:r w:rsidRPr="00104838">
        <w:t>, vol. 10, no. 1, 2022, pp. 30–48.</w:t>
      </w:r>
      <w:proofErr w:type="gramEnd"/>
    </w:p>
    <w:p w:rsidR="006F4757" w:rsidRPr="00155D65" w:rsidRDefault="006F4757" w:rsidP="00155D65"/>
    <w:sectPr w:rsidR="006F4757" w:rsidRPr="00155D65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97B9A"/>
    <w:multiLevelType w:val="multilevel"/>
    <w:tmpl w:val="0E9E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C16DC8"/>
    <w:multiLevelType w:val="multilevel"/>
    <w:tmpl w:val="B3D2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7B692E"/>
    <w:multiLevelType w:val="multilevel"/>
    <w:tmpl w:val="C67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527A86"/>
    <w:multiLevelType w:val="multilevel"/>
    <w:tmpl w:val="5F8C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5254ED"/>
    <w:multiLevelType w:val="multilevel"/>
    <w:tmpl w:val="7CAC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8F102E"/>
    <w:multiLevelType w:val="multilevel"/>
    <w:tmpl w:val="ADA8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764881"/>
    <w:multiLevelType w:val="multilevel"/>
    <w:tmpl w:val="61B0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FD1005"/>
    <w:multiLevelType w:val="multilevel"/>
    <w:tmpl w:val="9DA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825426"/>
    <w:multiLevelType w:val="multilevel"/>
    <w:tmpl w:val="DDC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520D25"/>
    <w:multiLevelType w:val="multilevel"/>
    <w:tmpl w:val="E3E2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06CDA"/>
    <w:multiLevelType w:val="multilevel"/>
    <w:tmpl w:val="5C5C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DisplayPageBoundaries/>
  <w:proofState w:spelling="clean" w:grammar="clean"/>
  <w:defaultTabStop w:val="720"/>
  <w:characterSpacingControl w:val="doNotCompress"/>
  <w:compat/>
  <w:rsids>
    <w:rsidRoot w:val="00155D65"/>
    <w:rsid w:val="00023359"/>
    <w:rsid w:val="0007471F"/>
    <w:rsid w:val="00104838"/>
    <w:rsid w:val="00155D65"/>
    <w:rsid w:val="001F0F68"/>
    <w:rsid w:val="002274EE"/>
    <w:rsid w:val="002F30D6"/>
    <w:rsid w:val="003652BF"/>
    <w:rsid w:val="00573768"/>
    <w:rsid w:val="005D02E5"/>
    <w:rsid w:val="00654D84"/>
    <w:rsid w:val="006F4757"/>
    <w:rsid w:val="007B11AF"/>
    <w:rsid w:val="00811794"/>
    <w:rsid w:val="00896D3E"/>
    <w:rsid w:val="008A4C8B"/>
    <w:rsid w:val="00983806"/>
    <w:rsid w:val="00A70423"/>
    <w:rsid w:val="00CC7CAB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BPP</cp:lastModifiedBy>
  <cp:revision>1</cp:revision>
  <dcterms:created xsi:type="dcterms:W3CDTF">2025-02-06T09:35:00Z</dcterms:created>
  <dcterms:modified xsi:type="dcterms:W3CDTF">2025-02-06T11:37:00Z</dcterms:modified>
</cp:coreProperties>
</file>