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>.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the twentieth century century, evolving from scientific management and human relations movements.</w:t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555701" w:rsidRPr="00005098" w:rsidRDefault="00555701" w:rsidP="00555701">
      <w:pPr>
        <w:rPr>
          <w:i/>
        </w:rPr>
      </w:pPr>
      <w:r w:rsidRPr="00005098">
        <w:rPr>
          <w:i w:val="0"/>
        </w:rPr>
        <w:t>i.e., e.g., via, vice versa, etc., a posteriori, a priori, et al., cf.,</w:t>
      </w:r>
      <w:proofErr w:type="gramStart"/>
      <w:r w:rsidRPr="00005098">
        <w:rPr>
          <w:i/>
        </w:rPr>
        <w:t>c</w:t>
      </w:r>
      <w:proofErr w:type="gramEnd"/>
      <w:r w:rsidRPr="00005098">
        <w:rPr>
          <w:i/>
        </w:rPr>
        <w:t>.</w:t>
      </w:r>
    </w:p>
    <w:sectPr w:rsidR="00555701" w:rsidRPr="0000509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555701"/>
    <w:rsid w:val="00AF7538"/>
    <w:rsid w:val="00C30589"/>
    <w:rsid w:val="00C4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2025-01-31T08:52:00Z</dcterms:created>
  <dcterms:modified xsi:type="dcterms:W3CDTF">2025-01-31T09:03:00Z</dcterms:modified>
</cp:coreProperties>
</file>