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29" w:rsidRPr="00E40F1B" w:rsidRDefault="00757D29">
      <w:pPr>
        <w:pStyle w:val="BodyA"/>
        <w:spacing w:line="360" w:lineRule="auto"/>
        <w:jc w:val="center"/>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i/>
          <w:sz w:val="24"/>
          <w:szCs w:val="24"/>
        </w:rPr>
        <w:t>“</w:t>
      </w:r>
      <w:r w:rsidR="00FC1216" w:rsidRPr="005F121B">
        <w:rPr>
          <w:rFonts w:ascii="Times New Roman" w:hAnsi="Times New Roman" w:cs="Times New Roman"/>
          <w:i/>
          <w:sz w:val="24"/>
          <w:szCs w:val="24"/>
        </w:rPr>
        <w:t>All the world’s a stage, and all the men and women merely players</w:t>
      </w:r>
      <w:r w:rsidR="00FC1216" w:rsidRPr="00FC1216">
        <w:rPr>
          <w:rFonts w:ascii="Times New Roman" w:hAnsi="Times New Roman" w:cs="Times New Roman"/>
          <w:sz w:val="24"/>
          <w:szCs w:val="24"/>
        </w:rPr>
        <w:t>.</w:t>
      </w:r>
      <w:r>
        <w:rPr>
          <w:rFonts w:ascii="Times New Roman" w:hAnsi="Times New Roman" w:cs="Times New Roman"/>
          <w:sz w:val="24"/>
          <w:szCs w:val="24"/>
        </w:rPr>
        <w:t>”</w:t>
      </w:r>
    </w:p>
    <w:p w:rsidR="005969AA" w:rsidRPr="005969AA" w:rsidRDefault="005969AA" w:rsidP="00B839EA">
      <w:pPr>
        <w:pStyle w:val="BodyA"/>
        <w:spacing w:line="360" w:lineRule="auto"/>
        <w:rPr>
          <w:rFonts w:ascii="Times New Roman" w:hAnsi="Times New Roman" w:cs="Times New Roman"/>
          <w:i/>
          <w:sz w:val="24"/>
          <w:szCs w:val="24"/>
        </w:rPr>
      </w:pPr>
      <w:r>
        <w:rPr>
          <w:rFonts w:ascii="Times New Roman" w:hAnsi="Times New Roman" w:cs="Times New Roman"/>
          <w:sz w:val="24"/>
          <w:szCs w:val="24"/>
        </w:rPr>
      </w:r>
      <w:r>
        <w:rPr>
          <w:rFonts w:ascii="Times New Roman" w:hAnsi="Times New Roman" w:cs="Times New Roman"/>
          <w:i w:val="0"/>
          <w:sz w:val="24"/>
          <w:szCs w:val="24"/>
        </w:rPr>
        <w:t>All the world’s a stage, and all the men and women merely players</w:t>
      </w:r>
    </w:p>
    <w:p w:rsidR="00554E0A" w:rsidRDefault="00FC1216" w:rsidP="00B839EA">
      <w:pPr>
        <w:pStyle w:val="BodyA"/>
        <w:spacing w:line="360" w:lineRule="auto"/>
        <w:jc w:val="right"/>
        <w:rPr>
          <w:rFonts w:ascii="Times New Roman" w:hAnsi="Times New Roman" w:cs="Times New Roman"/>
          <w:i/>
          <w:iCs/>
          <w:sz w:val="24"/>
          <w:szCs w:val="24"/>
        </w:rPr>
      </w:pPr>
      <w:r w:rsidRPr="00FC1216">
        <w:rPr>
          <w:rFonts w:ascii="Times New Roman" w:hAnsi="Times New Roman" w:cs="Times New Roman"/>
          <w:i/>
          <w:iCs/>
          <w:sz w:val="24"/>
          <w:szCs w:val="24"/>
        </w:rPr>
        <w:t xml:space="preserve">— As You Like It </w:t>
      </w:r>
      <w:r w:rsidRPr="00B839EA">
        <w:rPr>
          <w:rFonts w:ascii="Times New Roman" w:hAnsi="Times New Roman" w:cs="Times New Roman"/>
          <w:sz w:val="24"/>
          <w:szCs w:val="24"/>
        </w:rPr>
        <w:t>(Act 2, Scene 7)</w:t>
      </w:r>
    </w:p>
    <w:p w:rsidR="00757D29" w:rsidRDefault="00757D29">
      <w:pPr>
        <w:pStyle w:val="BodyA"/>
        <w:spacing w:line="360" w:lineRule="auto"/>
        <w:rPr>
          <w:rFonts w:ascii="Times New Roman" w:hAnsi="Times New Roman"/>
          <w:sz w:val="24"/>
          <w:szCs w:val="24"/>
        </w:rPr>
      </w:pPr>
    </w:p>
    <w:p w:rsidR="00B839EA" w:rsidRPr="005F121B" w:rsidRDefault="00FC1216" w:rsidP="00FC1216">
      <w:pPr>
        <w:pStyle w:val="BodyA"/>
        <w:spacing w:line="360" w:lineRule="auto"/>
        <w:rPr>
          <w:rFonts w:ascii="Times New Roman" w:hAnsi="Times New Roman" w:cs="Times New Roman"/>
          <w:i/>
          <w:sz w:val="24"/>
          <w:szCs w:val="24"/>
        </w:rPr>
      </w:pPr>
      <w:r w:rsidRPr="005F121B">
        <w:rPr>
          <w:rFonts w:ascii="Times New Roman" w:hAnsi="Times New Roman" w:cs="Times New Roman"/>
          <w:i w:val="0"/>
          <w:sz w:val="24"/>
          <w:szCs w:val="24"/>
        </w:rPr>
        <w:t>Some are born great, some achieve greatness, and some have greatness thrust upon them.</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Twelfth Night</w:t>
      </w:r>
      <w:r w:rsidRPr="00FC1216">
        <w:rPr>
          <w:rFonts w:ascii="Times New Roman" w:hAnsi="Times New Roman" w:cs="Times New Roman"/>
          <w:sz w:val="24"/>
          <w:szCs w:val="24"/>
        </w:rPr>
        <w:t xml:space="preserve"> (Act 2, Scene 5)</w:t>
      </w:r>
    </w:p>
    <w:p w:rsidR="00FC1216" w:rsidRDefault="00FC1216" w:rsidP="00FC1216">
      <w:pPr>
        <w:pStyle w:val="BodyA"/>
        <w:spacing w:line="360" w:lineRule="auto"/>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sz w:val="24"/>
          <w:szCs w:val="24"/>
        </w:rPr>
      </w:r>
      <w:r w:rsidR="00FC1216" w:rsidRPr="00B839EA">
        <w:rPr>
          <w:rFonts w:ascii="Times New Roman" w:hAnsi="Times New Roman" w:cs="Times New Roman"/>
          <w:sz w:val="24"/>
          <w:szCs w:val="24"/>
        </w:rPr>
        <w:t>Cowards die many times before their deaths; the valiant never taste of death but once.</w:t>
      </w:r>
      <w:r>
        <w:rPr>
          <w:rFonts w:ascii="Times New Roman" w:hAnsi="Times New Roman" w:cs="Times New Roman"/>
          <w:sz w:val="24"/>
          <w:szCs w:val="24"/>
        </w:rPr>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Julius Caesar</w:t>
      </w:r>
      <w:r w:rsidRPr="00FC1216">
        <w:rPr>
          <w:rFonts w:ascii="Times New Roman" w:hAnsi="Times New Roman" w:cs="Times New Roman"/>
          <w:sz w:val="24"/>
          <w:szCs w:val="24"/>
        </w:rPr>
        <w:t xml:space="preserve"> (Act 2, Scene 2)</w:t>
      </w:r>
    </w:p>
    <w:p w:rsidR="00B839EA" w:rsidRPr="00E40F1B" w:rsidRDefault="00B839EA" w:rsidP="00B839EA">
      <w:pPr>
        <w:pStyle w:val="BodyA"/>
        <w:spacing w:line="360" w:lineRule="auto"/>
        <w:rPr>
          <w:rFonts w:ascii="Times New Roman" w:hAnsi="Times New Roman" w:cs="Times New Roman"/>
          <w:sz w:val="24"/>
          <w:szCs w:val="24"/>
        </w:rPr>
      </w:pPr>
    </w:p>
    <w:p w:rsidR="00757D29" w:rsidRDefault="005E4BF0" w:rsidP="00FC1216">
      <w:pPr>
        <w:pStyle w:val="BodyB"/>
        <w:spacing w:line="360" w:lineRule="auto"/>
        <w:rPr>
          <w:rFonts w:cs="Times New Roman"/>
        </w:rPr>
      </w:pPr>
      <w:r w:rsidRPr="006454B0">
        <w:rPr>
          <w:rFonts w:cs="Times New Roman"/>
          <w:i/>
        </w:rPr>
        <w:t xml:space="preserve">Historically, politically, and culturally speaking, Belarus is an enigma. This perception is most obvious on the world stage where scholars and journalists often unfairly present this vast European nation as nothing more than a bleak dictatorship, a Russian dupe, or a Soviet relic, with a docile and resigned people. </w:t>
      </w:r>
      <w:r w:rsidR="00FC1216" w:rsidRPr="006454B0">
        <w:rPr>
          <w:rFonts w:cs="Times New Roman"/>
          <w:i/>
        </w:rPr>
        <w:t xml:space="preserve">All instance </w:t>
      </w:r>
      <w:r w:rsidRPr="006454B0">
        <w:rPr>
          <w:rFonts w:cs="Times New Roman"/>
          <w:i/>
        </w:rPr>
        <w:t>The concept of an inconspicuous, monochromatic Belarus plagues the Belarusian struggle for liberation. When the international community shirks its responsibility to understand Belarus’s complexities, it only aids the regime’s erosion of popular resistance</w:t>
      </w:r>
      <w:r w:rsidR="00B26290">
        <w:rPr>
          <w:rFonts w:cs="Times New Roman"/>
        </w:rPr>
        <w:t>.</w:t>
      </w:r>
    </w:p>
    <w:p w:rsidR="00FC1216" w:rsidRPr="00E40F1B" w:rsidRDefault="00FC1216" w:rsidP="00FC1216">
      <w:pPr>
        <w:pStyle w:val="BodyB"/>
        <w:spacing w:line="360" w:lineRule="auto"/>
        <w:ind w:firstLine="720"/>
        <w:rPr>
          <w:rFonts w:cs="Times New Roman"/>
        </w:rPr>
      </w:pPr>
      <w:r w:rsidRPr="00FC1216">
        <w:rPr>
          <w:rFonts w:cs="Times New Roman"/>
        </w:rPr>
        <w:t>To prepare for the meeting, follow these steps: (</w:t>
      </w:r>
      <w:r>
        <w:rPr>
          <w:rFonts w:cs="Times New Roman"/>
        </w:rPr>
        <w:t>i</w:t>
      </w:r>
      <w:r w:rsidRPr="00FC1216">
        <w:rPr>
          <w:rFonts w:cs="Times New Roman"/>
        </w:rPr>
        <w:t>) review the agenda to understand key discussion points, (</w:t>
      </w:r>
      <w:r>
        <w:rPr>
          <w:rFonts w:cs="Times New Roman"/>
        </w:rPr>
        <w:t>ii</w:t>
      </w:r>
      <w:r w:rsidRPr="00FC1216">
        <w:rPr>
          <w:rFonts w:cs="Times New Roman"/>
        </w:rPr>
        <w:t>) gather necessary documents like reports and presentations, (</w:t>
      </w:r>
      <w:r>
        <w:rPr>
          <w:rFonts w:cs="Times New Roman"/>
        </w:rPr>
        <w:t>iii</w:t>
      </w:r>
      <w:r w:rsidRPr="00FC1216">
        <w:rPr>
          <w:rFonts w:cs="Times New Roman"/>
        </w:rPr>
        <w:t>) test any required technology, such as projectors or video conferencing tools, (</w:t>
      </w:r>
      <w:r>
        <w:rPr>
          <w:rFonts w:cs="Times New Roman"/>
        </w:rPr>
        <w:t>iv</w:t>
      </w:r>
      <w:r w:rsidRPr="00FC1216">
        <w:rPr>
          <w:rFonts w:cs="Times New Roman"/>
        </w:rPr>
        <w:t>) arrive early to set up and be ready for discussions, (</w:t>
      </w:r>
      <w:r>
        <w:rPr>
          <w:rFonts w:cs="Times New Roman"/>
        </w:rPr>
        <w:t>v</w:t>
      </w:r>
      <w:r w:rsidRPr="00FC1216">
        <w:rPr>
          <w:rFonts w:cs="Times New Roman"/>
        </w:rPr>
        <w:t>) take notes on key topics and action items, (</w:t>
      </w:r>
      <w:r>
        <w:rPr>
          <w:rFonts w:cs="Times New Roman"/>
        </w:rPr>
        <w:t>vi</w:t>
      </w:r>
      <w:r w:rsidRPr="00FC1216">
        <w:rPr>
          <w:rFonts w:cs="Times New Roman"/>
        </w:rPr>
        <w:t>) engage actively by asking questions and providing input, and (</w:t>
      </w:r>
      <w:r>
        <w:rPr>
          <w:rFonts w:cs="Times New Roman"/>
        </w:rPr>
        <w:t>vii</w:t>
      </w:r>
      <w:r w:rsidRPr="00FC1216">
        <w:rPr>
          <w:rFonts w:cs="Times New Roman"/>
        </w:rPr>
        <w:t>) follow up afterward with a summary email and next steps.</w:t>
      </w:r>
    </w:p>
    <w:p w:rsidR="00757D29" w:rsidRPr="00E40F1B" w:rsidRDefault="005E4BF0">
      <w:pPr>
        <w:pStyle w:val="BodyB"/>
        <w:spacing w:line="360" w:lineRule="auto"/>
        <w:ind w:firstLine="720"/>
        <w:rPr>
          <w:rFonts w:cs="Times New Roman"/>
        </w:rPr>
      </w:pPr>
      <w:r w:rsidRPr="00E40F1B">
        <w:rPr>
          <w:rFonts w:cs="Times New Roman"/>
        </w:rPr>
        <w:t xml:space="preserve">An essential aspect of both the exhibition’s goals, as well as Levinas’s understanding of the face-to-face, is the authenticity of the encounter. The line between a spectacle and an encounter is fine. The former consists of an asymmetrical presentation with the intention to entertain. The latter is more symmetrical, and exists outside of intention, free of teleological ends. Any project at risk of putting human suffering on display must tread extremely carefully so as to not cross the moral boundary of voyeurism. The question becomes, “how do we ensure that </w:t>
      </w:r>
      <w:r w:rsidRPr="00E40F1B">
        <w:rPr>
          <w:rFonts w:cs="Times New Roman"/>
        </w:rPr>
        <w:lastRenderedPageBreak/>
        <w:t>this exhibition does not become a spectacle of Belarusian suffering, and instead produces authentic face-to-face encounters?” As Levinas puts it:</w:t>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left="720"/>
        <w:rPr>
          <w:rFonts w:cs="Times New Roman"/>
        </w:rPr>
      </w:pPr>
      <w:r w:rsidRPr="00E40F1B">
        <w:rPr>
          <w:rFonts w:cs="Times New Roman"/>
        </w:rPr>
        <w:t xml:space="preserve">I </w:t>
      </w:r>
      <w:r w:rsidRPr="006211D8">
        <w:rPr>
          <w:rFonts w:cs="Times New Roman"/>
          <w:i/>
        </w:rPr>
        <w:t>think rather that access to the face is straightaway ethical. You turn yourself toward the Other as toward an object when you see a nose, eyes, a forehead, a chin, and you can describe them. The best way of encountering the Other is not even to notice the color of his eyes! When one observes the color of the eyes one is not in social relationship with the Other. The relation with the face can surely be dominated by perception, but what is specifically the face is what cannot be reduced to that.</w:t>
      </w:r>
      <w:r w:rsidRPr="006211D8">
        <w:rPr>
          <w:rFonts w:cs="Times New Roman"/>
          <w:i/>
          <w:vertAlign w:val="superscript"/>
        </w:rPr>
        <w:footnoteReference w:id="3"/>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firstLine="720"/>
        <w:rPr>
          <w:rFonts w:cs="Times New Roman"/>
        </w:rPr>
      </w:pPr>
      <w:r w:rsidRPr="00E40F1B">
        <w:rPr>
          <w:rFonts w:cs="Times New Roman"/>
        </w:rPr>
        <w:t xml:space="preserve">The challenge is to encourage viewers not to just perceive the protestors’ faces, but to experience the faces authentically. There are several stylistic choices that facilitated this goal and guided the curatorial selection. Preference was given to images where the subject gazes directly at the camera lens. This is most prevalent in Aliaksandr Pasechnik’s photography of joyous protestors pausing to allow their likeness to be captured. The direct gaze most accurately recreates the sensation of having a face-to-face encounter. Photography displaying intense emotions, such as fear or defiance, as well as images filled with movement similarly pull the viewer in. These types of photographs apply pressure to the gallery’s guests, giving them the sense that there is not enough time to carefully dissect the subjects’ features. Intensity and speed dampen the impulse to reduce the face to disjointed components, thus preserving its ethical power. </w:t>
      </w:r>
    </w:p>
    <w:p w:rsidR="00757D29" w:rsidRPr="00E40F1B" w:rsidRDefault="00757D29">
      <w:pPr>
        <w:pStyle w:val="Default"/>
        <w:spacing w:before="0" w:line="360" w:lineRule="auto"/>
        <w:rPr>
          <w:rStyle w:val="None"/>
          <w:rFonts w:ascii="Times New Roman" w:eastAsia="Times New Roman" w:hAnsi="Times New Roman" w:cs="Times New Roman"/>
        </w:rPr>
      </w:pPr>
    </w:p>
    <w:p w:rsidR="00757D29" w:rsidRPr="00E40F1B" w:rsidRDefault="005E4BF0" w:rsidP="00136D76">
      <w:pPr>
        <w:pStyle w:val="BodyA"/>
        <w:spacing w:line="360" w:lineRule="auto"/>
        <w:rPr>
          <w:rFonts w:ascii="Times New Roman" w:hAnsi="Times New Roman" w:cs="Times New Roman"/>
          <w:sz w:val="24"/>
          <w:szCs w:val="24"/>
        </w:rPr>
      </w:pPr>
      <w:r w:rsidRPr="00E40F1B">
        <w:rPr>
          <w:rStyle w:val="None"/>
          <w:rFonts w:ascii="Times New Roman" w:hAnsi="Times New Roman" w:cs="Times New Roman"/>
          <w:sz w:val="24"/>
          <w:szCs w:val="24"/>
        </w:rPr>
        <w:br w:type="page"/>
      </w:r>
      <w:r w:rsidRPr="00E40F1B">
        <w:rPr>
          <w:rStyle w:val="None"/>
          <w:rFonts w:ascii="Times New Roman" w:hAnsi="Times New Roman" w:cs="Times New Roman"/>
          <w:shd w:val="clear" w:color="auto" w:fill="FFFFFF"/>
        </w:rPr>
        <w:lastRenderedPageBreak/>
        <w:t xml:space="preserve"> </w:t>
      </w:r>
    </w:p>
    <w:p w:rsidR="00757D29" w:rsidRPr="00E40F1B" w:rsidRDefault="00757D29">
      <w:pPr>
        <w:pStyle w:val="BodyA"/>
        <w:spacing w:line="360" w:lineRule="auto"/>
        <w:ind w:firstLine="720"/>
        <w:rPr>
          <w:rStyle w:val="None"/>
          <w:rFonts w:ascii="Times New Roman" w:eastAsia="Times New Roman" w:hAnsi="Times New Roman" w:cs="Times New Roman"/>
          <w:sz w:val="24"/>
          <w:szCs w:val="24"/>
        </w:rPr>
      </w:pPr>
    </w:p>
    <w:p w:rsidR="00757D29" w:rsidRPr="00E40F1B" w:rsidRDefault="005E4BF0">
      <w:pPr>
        <w:pStyle w:val="Default"/>
        <w:spacing w:before="0" w:line="360" w:lineRule="auto"/>
        <w:rPr>
          <w:rStyle w:val="None"/>
          <w:rFonts w:ascii="Times New Roman" w:hAnsi="Times New Roman" w:cs="Times New Roman"/>
          <w:i/>
          <w:iCs/>
          <w:color w:val="222222"/>
          <w:shd w:val="clear" w:color="auto" w:fill="FFFFFF"/>
        </w:rPr>
      </w:pPr>
      <w:r w:rsidRPr="00E40F1B">
        <w:rPr>
          <w:rStyle w:val="None"/>
          <w:rFonts w:ascii="Times New Roman" w:hAnsi="Times New Roman" w:cs="Times New Roman"/>
          <w:i/>
          <w:iCs/>
          <w:color w:val="222222"/>
          <w:shd w:val="clear" w:color="auto" w:fill="FFFFFF"/>
        </w:rPr>
        <w:t>Participants: Serguei Parkhomenko (“The Last Address”/Memorial); Belarusian Human Rights Activist Ales Bialiatski (Belarusian Prison Literature Series); Vasyl Cherepanyn (</w:t>
      </w:r>
      <w:r w:rsidRPr="00E40F1B">
        <w:rPr>
          <w:rStyle w:val="None"/>
          <w:rFonts w:ascii="Times New Roman" w:hAnsi="Times New Roman" w:cs="Times New Roman"/>
          <w:i/>
          <w:iCs/>
          <w:shd w:val="clear" w:color="auto" w:fill="FFFFFF"/>
        </w:rPr>
        <w:t>director of the Visual Culture Research Center in Kyiv, Ukraine). In</w:t>
      </w:r>
      <w:r w:rsidRPr="00E40F1B">
        <w:rPr>
          <w:rStyle w:val="None"/>
          <w:rFonts w:ascii="Times New Roman" w:hAnsi="Times New Roman" w:cs="Times New Roman"/>
          <w:i/>
          <w:iCs/>
          <w:color w:val="222222"/>
          <w:shd w:val="clear" w:color="auto" w:fill="FFFFFF"/>
        </w:rPr>
        <w:t>troduced by Yuliya Ilchuk (Stanford University), and moderated by Yuliya Ilchuk and Olga V. Solovieva (University of Chicago)</w:t>
      </w:r>
    </w:p>
    <w:p w:rsidR="00757D29" w:rsidRPr="00E40F1B" w:rsidRDefault="007B074F" w:rsidP="00554E0A">
      <w:pPr>
        <w:pStyle w:val="Default"/>
        <w:spacing w:before="0" w:line="360" w:lineRule="auto"/>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Yuliya Ilchuk and Olga V. Solovieva</w:t>
      </w:r>
    </w:p>
    <w:p w:rsidR="00757D29" w:rsidRPr="00E40F1B" w:rsidRDefault="005E4BF0">
      <w:pPr>
        <w:pStyle w:val="Default"/>
        <w:spacing w:before="0" w:line="360" w:lineRule="auto"/>
        <w:ind w:firstLine="720"/>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It is the first time that I see a Western institution demonstrate in a powerful way that they understand our solidarity, our common work, and our shared vision of a democratic future in the East Slavic region.</w:t>
      </w:r>
    </w:p>
    <w:p w:rsidR="00757D29" w:rsidRDefault="005E4BF0" w:rsidP="00B839EA">
      <w:pPr>
        <w:pStyle w:val="Default"/>
        <w:spacing w:before="0" w:line="360" w:lineRule="auto"/>
        <w:ind w:firstLine="720"/>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Back in 2019 in Chicago, when Ales, the members of Memorial, and Vasyl Cherepanyn’s </w:t>
      </w:r>
      <w:r w:rsidRPr="00E40F1B">
        <w:rPr>
          <w:rStyle w:val="None"/>
          <w:rFonts w:ascii="Times New Roman" w:hAnsi="Times New Roman" w:cs="Times New Roman"/>
          <w:shd w:val="clear" w:color="auto" w:fill="FFFFFF"/>
        </w:rPr>
        <w:t>Visual Culture Research Center</w:t>
      </w:r>
      <w:r w:rsidRPr="00E40F1B">
        <w:rPr>
          <w:rStyle w:val="None"/>
          <w:rFonts w:ascii="Times New Roman" w:hAnsi="Times New Roman" w:cs="Times New Roman"/>
          <w:color w:val="222222"/>
          <w:shd w:val="clear" w:color="auto" w:fill="FFFFFF"/>
        </w:rPr>
        <w:t xml:space="preserve"> came together to enunciate the commonalities among East Slavic cultures of protest, our goal was to create a productive dialogue among Ukrainian, Belarusian and Russian intellectuals and artists who share the values of democratic governance, human and civil rights, and freedom of artistic expression, as well as among scholars of the recent history and culture of these three countries. </w:t>
      </w:r>
      <w:r w:rsidR="00B839EA">
        <w:rPr>
          <w:rStyle w:val="None"/>
          <w:rFonts w:ascii="Times New Roman" w:hAnsi="Times New Roman" w:cs="Times New Roman"/>
          <w:color w:val="222222"/>
          <w:shd w:val="clear" w:color="auto" w:fill="FFFFFF"/>
        </w:rPr>
        <w:t xml:space="preserve">Shakespeare in one of his popular play states: </w:t>
      </w:r>
      <w:r w:rsidR="00B839EA">
        <w:rPr>
          <w:rFonts w:ascii="Times New Roman" w:hAnsi="Times New Roman" w:cs="Times New Roman"/>
          <w:color w:val="222222"/>
          <w:shd w:val="clear" w:color="auto" w:fill="FFFFFF"/>
        </w:rPr>
        <w:t>“</w:t>
      </w:r>
      <w:r w:rsidR="00B839EA" w:rsidRPr="00B839EA">
        <w:rPr>
          <w:rFonts w:ascii="Times New Roman" w:hAnsi="Times New Roman" w:cs="Times New Roman"/>
          <w:color w:val="222222"/>
          <w:shd w:val="clear" w:color="auto" w:fill="FFFFFF"/>
        </w:rPr>
        <w:t>We are such stuff as dreams are made on, and our little life is rounded with a sleep.</w:t>
      </w:r>
      <w:r w:rsidR="00B839EA">
        <w:rPr>
          <w:rFonts w:ascii="Times New Roman" w:hAnsi="Times New Roman" w:cs="Times New Roman"/>
          <w:color w:val="222222"/>
          <w:shd w:val="clear" w:color="auto" w:fill="FFFFFF"/>
        </w:rPr>
        <w:t xml:space="preserve">” </w:t>
      </w:r>
      <w:r w:rsidRPr="00E40F1B">
        <w:rPr>
          <w:rStyle w:val="None"/>
          <w:rFonts w:ascii="Times New Roman" w:hAnsi="Times New Roman" w:cs="Times New Roman"/>
          <w:color w:val="222222"/>
          <w:shd w:val="clear" w:color="auto" w:fill="FFFFFF"/>
        </w:rPr>
        <w:t xml:space="preserve">Establishing this dialogue remains crucial to a better understanding of the complex interconnection of culture and politics in the region. Such a dialogue should be especially fruitful because these three countries have much political and cultural history in common, but interpret this cultural heritage differently. </w:t>
      </w:r>
    </w:p>
    <w:p w:rsidR="00136D76" w:rsidRPr="00E40F1B" w:rsidRDefault="00136D76">
      <w:pPr>
        <w:pStyle w:val="Default"/>
        <w:spacing w:before="0" w:line="360" w:lineRule="auto"/>
        <w:ind w:firstLine="720"/>
        <w:rPr>
          <w:rStyle w:val="None"/>
          <w:rFonts w:ascii="Times New Roman" w:eastAsia="Times New Roman" w:hAnsi="Times New Roman" w:cs="Times New Roman"/>
          <w:color w:val="222222"/>
          <w:shd w:val="clear" w:color="auto" w:fill="FFFFFF"/>
        </w:rPr>
      </w:pP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 fight for democracy, human rights and independence coincides in Belarus and Ukraine with the cultivation of national language, literature, and culture.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It started like this in Russia too. At what point and why does the liberation of national consciousness turn into a suffocating chauvinism?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When does it promote democracy and the embrace of the community of nations, and when does it lead to oppression, persecution of others, and political isolation? How do forms of cultivation of national identity come to differ in these three countries?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What features of their historical backgrounds are most relevant? Are there cultural and political safeguards against the dangers of nationalism?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lastRenderedPageBreak/>
        <w:t xml:space="preserve">This year’s Nobel Peace Prize recipients answered these questions by appeal to the universal, transnational nature of human rights. The three East Slavic cultures are conjoined by history and tradition, with Ukraine and Belarus having been for long stretches of time parts of the Russian and then Soviet empires. </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Both contemporary Belarus and Ukraine belonged to the Duchy of Lithuania between </w:t>
      </w:r>
      <w:r w:rsidRPr="00E40F1B">
        <w:rPr>
          <w:rStyle w:val="None"/>
          <w:rFonts w:ascii="Times New Roman" w:hAnsi="Times New Roman" w:cs="Times New Roman"/>
        </w:rPr>
        <w:t xml:space="preserve">the thirteenth and sixteenth </w:t>
      </w:r>
      <w:r w:rsidRPr="00E40F1B">
        <w:rPr>
          <w:rStyle w:val="None"/>
          <w:rFonts w:ascii="Times New Roman" w:hAnsi="Times New Roman" w:cs="Times New Roman"/>
          <w:color w:val="222222"/>
          <w:shd w:val="clear" w:color="auto" w:fill="FFFFFF"/>
        </w:rPr>
        <w:t xml:space="preserve">centuries. </w:t>
      </w:r>
      <w:r w:rsidR="004C2D6B">
        <w:rPr>
          <w:rStyle w:val="None"/>
          <w:rFonts w:ascii="Times New Roman" w:hAnsi="Times New Roman" w:cs="Times New Roman"/>
          <w:color w:val="222222"/>
          <w:shd w:val="clear" w:color="auto" w:fill="FFFFFF"/>
        </w:rPr>
        <w:t>These are defined in the steps:</w:t>
      </w:r>
    </w:p>
    <w:p w:rsidR="00136D76"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Then part of Belarus and right-bank Ukraine belonged to the Polish Commonwealth. In the e</w:t>
      </w:r>
      <w:r w:rsidRPr="00E40F1B">
        <w:rPr>
          <w:rStyle w:val="None"/>
          <w:rFonts w:ascii="Times New Roman" w:hAnsi="Times New Roman" w:cs="Times New Roman"/>
        </w:rPr>
        <w:t>ighteenth</w:t>
      </w:r>
      <w:r w:rsidRPr="00E40F1B">
        <w:rPr>
          <w:rStyle w:val="None"/>
          <w:rFonts w:ascii="Times New Roman" w:hAnsi="Times New Roman" w:cs="Times New Roman"/>
          <w:color w:val="222222"/>
          <w:shd w:val="clear" w:color="auto" w:fill="FFFFFF"/>
        </w:rPr>
        <w:t xml:space="preserve"> century, the Austro-Hungarian empire claimed the Galician part of Ukraine. </w:t>
      </w:r>
    </w:p>
    <w:p w:rsidR="00757D29"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After a short episode of independence in 1918, both Belarus and Ukraine were reabsorbed as republics within the Soviet Union until they gained legal sovereignty in 1991. </w:t>
      </w:r>
    </w:p>
    <w:p w:rsidR="004C2D6B" w:rsidRDefault="004C2D6B"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4C2D6B" w:rsidRDefault="004C2D6B" w:rsidP="004C2D6B">
      <w:pPr>
        <w:pStyle w:val="Default"/>
        <w:numPr>
          <w:ilvl w:val="0"/>
          <w:numId w:val="12"/>
        </w:numPr>
        <w:spacing w:before="0" w:line="360" w:lineRule="auto"/>
        <w:rPr>
          <w:rStyle w:val="None"/>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w:t>
      </w:r>
      <w:r w:rsidRPr="004C2D6B">
        <w:rPr>
          <w:rFonts w:ascii="Times New Roman" w:hAnsi="Times New Roman" w:cs="Times New Roman"/>
          <w:color w:val="222222"/>
          <w:shd w:val="clear" w:color="auto" w:fill="FFFFFF"/>
        </w:rPr>
        <w:t>any differences, conditioned by these countries’ peculiar political experience and geographical locations.</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4C2D6B" w:rsidRDefault="004C2D6B" w:rsidP="00136D76">
      <w:pPr>
        <w:pStyle w:val="Default"/>
        <w:spacing w:before="0" w:line="360" w:lineRule="auto"/>
        <w:rPr>
          <w:rStyle w:val="None"/>
          <w:rFonts w:ascii="Times New Roman" w:hAnsi="Times New Roman" w:cs="Times New Roman"/>
          <w:color w:val="222222"/>
          <w:shd w:val="clear" w:color="auto" w:fill="FFFFFF"/>
        </w:rPr>
      </w:pPr>
    </w:p>
    <w:p w:rsidR="004C2D6B" w:rsidRPr="00E40F1B" w:rsidRDefault="004C2D6B" w:rsidP="00136D76">
      <w:pPr>
        <w:pStyle w:val="Default"/>
        <w:spacing w:before="0" w:line="360" w:lineRule="auto"/>
        <w:rPr>
          <w:rStyle w:val="None"/>
          <w:rFonts w:ascii="Times New Roman" w:eastAsia="Times New Roman" w:hAnsi="Times New Roman" w:cs="Times New Roman"/>
          <w:color w:val="222222"/>
          <w:shd w:val="clear" w:color="auto" w:fill="FFFFFF"/>
        </w:rPr>
      </w:pPr>
    </w:p>
    <w:p w:rsidR="00136D76" w:rsidRDefault="00136D76">
      <w:pPr>
        <w:pStyle w:val="Default"/>
        <w:spacing w:before="0" w:line="360" w:lineRule="auto"/>
        <w:ind w:firstLine="720"/>
        <w:rPr>
          <w:rStyle w:val="None"/>
          <w:rFonts w:ascii="Times New Roman" w:hAnsi="Times New Roman" w:cs="Times New Roman"/>
          <w:color w:val="222222"/>
          <w:shd w:val="clear" w:color="auto" w:fill="FFFFFF"/>
        </w:rPr>
      </w:pPr>
    </w:p>
    <w:p w:rsidR="00757D29" w:rsidRPr="00E40F1B" w:rsidRDefault="005E4BF0">
      <w:pPr>
        <w:pStyle w:val="BodyA"/>
        <w:spacing w:line="360" w:lineRule="auto"/>
        <w:ind w:left="850"/>
        <w:rPr>
          <w:rFonts w:ascii="Times New Roman" w:hAnsi="Times New Roman" w:cs="Times New Roman"/>
          <w:sz w:val="24"/>
          <w:szCs w:val="24"/>
        </w:rPr>
      </w:pPr>
      <w:r w:rsidRPr="00E40F1B">
        <w:rPr>
          <w:rStyle w:val="None"/>
          <w:rFonts w:ascii="Times New Roman" w:hAnsi="Times New Roman" w:cs="Times New Roman"/>
          <w:sz w:val="24"/>
          <w:szCs w:val="24"/>
        </w:rPr>
        <w:t xml:space="preserve"> </w:t>
      </w:r>
    </w:p>
    <w:sectPr w:rsidR="00757D29" w:rsidRPr="00E40F1B" w:rsidSect="0036435A">
      <w:footerReference w:type="default" r:id="rId7"/>
      <w:headerReference w:type="default" r:id="rId10"/>
      <w:pgSz w:w="12240" w:h="15840"/>
      <w:pgMar w:top="1440" w:right="1440" w:bottom="1440" w:left="1440" w:header="720" w:footer="864"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4" w15:done="0"/>
  <w15:commentEx w15:paraId="6B29A6F6" w15:done="0"/>
  <w15:commentEx w15:paraId="11EAADE6" w15:done="0"/>
  <w15:commentEx w15:paraId="11120010" w15:done="0"/>
  <w15:commentEx w15:paraId="11120012" w15:done="0"/>
  <w15:commentEx w15:paraId="11120018" w15:done="0"/>
  <w15:commentEx w15:paraId="1112001A" w15:done="0"/>
  <w15:commentEx w15:paraId="73DFE78C" w15:done="0"/>
  <w15:commentEx w15:paraId="31406FBB" w15:done="0"/>
  <w15:commentEx w15:paraId="618BB1F7" w15:done="0"/>
  <w15:commentEx w15:paraId="05979CF9" w15:done="0"/>
  <w15:commentEx w15:paraId="1853CD9B" w15:paraIdParent="05979CF9" w15:done="0"/>
  <w15:commentEx w15:paraId="11120027" w15:done="0"/>
  <w15:commentEx w15:paraId="1112002B" w15:done="0"/>
  <w15:commentEx w15:paraId="1112002D" w15:done="0"/>
  <w15:commentEx w15:paraId="503ECC78" w15:done="0"/>
  <w15:commentEx w15:paraId="4BB1CDC0" w15:done="0"/>
  <w15:commentEx w15:paraId="11120035" w15:done="0"/>
  <w15:commentEx w15:paraId="1112003B" w15:done="0"/>
  <w15:commentEx w15:paraId="11120041" w15:done="0"/>
  <w15:commentEx w15:paraId="04A731DB" w15:done="0"/>
  <w15:commentEx w15:paraId="2A3888D4" w15:done="0"/>
  <w15:commentEx w15:paraId="1112004B" w15:done="0"/>
  <w15:commentEx w15:paraId="11120051" w15:done="0"/>
  <w15:commentEx w15:paraId="11120055" w15:done="0"/>
  <w15:commentEx w15:paraId="11120059" w15:done="0"/>
  <w15:commentEx w15:paraId="1112005D" w15:done="0"/>
  <w15:commentEx w15:paraId="11120065" w15:done="0"/>
  <w15:commentEx w15:paraId="11120069" w15:done="0"/>
  <w15:commentEx w15:paraId="4DA10BE0" w15:done="0"/>
  <w15:commentEx w15:paraId="3646174F" w15:done="0"/>
  <w15:commentEx w15:paraId="11120073" w15:done="0"/>
  <w15:commentEx w15:paraId="1A34EEFD" w15:done="0"/>
  <w15:commentEx w15:paraId="11120077" w15:done="0"/>
  <w15:commentEx w15:paraId="2810D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22990" w16cex:dateUtc="2024-12-09T23:44:00Z"/>
  <w16cex:commentExtensible w16cex:durableId="2B0229CD" w16cex:dateUtc="2024-12-09T23:45:00Z"/>
  <w16cex:commentExtensible w16cex:durableId="59A4A756" w16cex:dateUtc="2024-11-26T18:51:00Z"/>
  <w16cex:commentExtensible w16cex:durableId="68D42006" w16cex:dateUtc="2024-11-28T16:34:00Z"/>
  <w16cex:commentExtensible w16cex:durableId="52F32381" w16cex:dateUtc="2024-11-26T18:52:00Z"/>
  <w16cex:commentExtensible w16cex:durableId="2B022EC9" w16cex:dateUtc="2024-12-10T00:06:00Z"/>
  <w16cex:commentExtensible w16cex:durableId="2B022EDB" w16cex:dateUtc="2024-12-10T00:07:00Z"/>
  <w16cex:commentExtensible w16cex:durableId="2B022FC9" w16cex:dateUtc="2024-12-10T00:11:00Z"/>
  <w16cex:commentExtensible w16cex:durableId="2B023055" w16cex:dateUtc="2024-12-10T00:13:00Z"/>
  <w16cex:commentExtensible w16cex:durableId="2B02DE95" w16cex:dateUtc="2024-12-10T12:36:00Z"/>
  <w16cex:commentExtensible w16cex:durableId="07AFD87D" w16cex:dateUtc="2024-11-26T18:53:00Z"/>
  <w16cex:commentExtensible w16cex:durableId="3EEB8260" w16cex:dateUtc="2024-11-26T18:58:00Z"/>
  <w16cex:commentExtensible w16cex:durableId="2B0239B1" w16cex:dateUtc="2024-12-10T00:53:00Z"/>
  <w16cex:commentExtensible w16cex:durableId="2B023A82" w16cex:dateUtc="2024-12-10T00:56:00Z"/>
  <w16cex:commentExtensible w16cex:durableId="2B02DF21" w16cex:dateUtc="2024-12-1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4" w16cid:durableId="4D83EACF"/>
  <w16cid:commentId w16cid:paraId="6B29A6F6" w16cid:durableId="2B022990"/>
  <w16cid:commentId w16cid:paraId="11EAADE6" w16cid:durableId="2B0229CD"/>
  <w16cid:commentId w16cid:paraId="11120010" w16cid:durableId="7ACE38C9"/>
  <w16cid:commentId w16cid:paraId="11120012" w16cid:durableId="549D5B15"/>
  <w16cid:commentId w16cid:paraId="11120018" w16cid:durableId="7E8C57E0"/>
  <w16cid:commentId w16cid:paraId="1112001A" w16cid:durableId="18BBAB96"/>
  <w16cid:commentId w16cid:paraId="73DFE78C" w16cid:durableId="59A4A756"/>
  <w16cid:commentId w16cid:paraId="31406FBB" w16cid:durableId="68D42006"/>
  <w16cid:commentId w16cid:paraId="618BB1F7" w16cid:durableId="52F32381"/>
  <w16cid:commentId w16cid:paraId="05979CF9" w16cid:durableId="2B022EC9"/>
  <w16cid:commentId w16cid:paraId="1853CD9B" w16cid:durableId="2B022EDB"/>
  <w16cid:commentId w16cid:paraId="11120027" w16cid:durableId="37EBED8D"/>
  <w16cid:commentId w16cid:paraId="1112002B" w16cid:durableId="6233C382"/>
  <w16cid:commentId w16cid:paraId="1112002D" w16cid:durableId="7ED6CBF0"/>
  <w16cid:commentId w16cid:paraId="503ECC78" w16cid:durableId="2B022FC9"/>
  <w16cid:commentId w16cid:paraId="4BB1CDC0" w16cid:durableId="2B023055"/>
  <w16cid:commentId w16cid:paraId="11120035" w16cid:durableId="25639FDC"/>
  <w16cid:commentId w16cid:paraId="1112003B" w16cid:durableId="4FEFDA9F"/>
  <w16cid:commentId w16cid:paraId="11120041" w16cid:durableId="04C28B3C"/>
  <w16cid:commentId w16cid:paraId="04A731DB" w16cid:durableId="2B02DE95"/>
  <w16cid:commentId w16cid:paraId="2A3888D4" w16cid:durableId="07AFD87D"/>
  <w16cid:commentId w16cid:paraId="1112004B" w16cid:durableId="5CBA3339"/>
  <w16cid:commentId w16cid:paraId="11120051" w16cid:durableId="6C74AF87"/>
  <w16cid:commentId w16cid:paraId="11120055" w16cid:durableId="5E84A10B"/>
  <w16cid:commentId w16cid:paraId="11120059" w16cid:durableId="2CBD2244"/>
  <w16cid:commentId w16cid:paraId="1112005D" w16cid:durableId="23576460"/>
  <w16cid:commentId w16cid:paraId="11120065" w16cid:durableId="5688C589"/>
  <w16cid:commentId w16cid:paraId="11120069" w16cid:durableId="37A4AD12"/>
  <w16cid:commentId w16cid:paraId="4DA10BE0" w16cid:durableId="3EEB8260"/>
  <w16cid:commentId w16cid:paraId="3646174F" w16cid:durableId="2B0239B1"/>
  <w16cid:commentId w16cid:paraId="11120073" w16cid:durableId="0C59C4A0"/>
  <w16cid:commentId w16cid:paraId="1A34EEFD" w16cid:durableId="2B023A82"/>
  <w16cid:commentId w16cid:paraId="11120077" w16cid:durableId="3612A3A1"/>
  <w16cid:commentId w16cid:paraId="2810D59B" w16cid:durableId="2B02DF2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093" w:rsidRDefault="00726093">
      <w:r>
        <w:separator/>
      </w:r>
    </w:p>
  </w:endnote>
  <w:endnote w:type="continuationSeparator" w:id="1">
    <w:p w:rsidR="00726093" w:rsidRDefault="00726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D29" w:rsidRDefault="00641E86">
    <w:pPr>
      <w:pStyle w:val="Footer"/>
      <w:jc w:val="right"/>
    </w:pPr>
    <w:r>
      <w:fldChar w:fldCharType="begin"/>
    </w:r>
    <w:r w:rsidR="005E4BF0">
      <w:instrText xml:space="preserve"> PAGE </w:instrText>
    </w:r>
    <w:r>
      <w:fldChar w:fldCharType="separate"/>
    </w:r>
    <w:r w:rsidR="005969AA">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093" w:rsidRDefault="00726093">
      <w:r>
        <w:separator/>
      </w:r>
    </w:p>
  </w:footnote>
  <w:footnote w:type="continuationSeparator" w:id="1">
    <w:p w:rsidR="00726093" w:rsidRDefault="00726093">
      <w:r>
        <w:continuationSeparator/>
      </w:r>
    </w:p>
  </w:footnote>
  <w:footnote w:type="continuationNotice" w:id="2">
    <w:p w:rsidR="00726093" w:rsidRDefault="00726093"/>
  </w:footnote>
  <w:footnote w:id="3">
    <w:p w:rsidR="00757D29" w:rsidRDefault="005E4BF0">
      <w:pPr>
        <w:pStyle w:val="Footnote"/>
        <w:spacing w:line="360" w:lineRule="auto"/>
      </w:pPr>
      <w:r>
        <w:rPr>
          <w:vertAlign w:val="superscript"/>
        </w:rPr>
        <w:footnoteRef/>
      </w:r>
      <w:r>
        <w:rPr>
          <w:rFonts w:ascii="Times New Roman" w:hAnsi="Times New Roman"/>
        </w:rPr>
        <w:t xml:space="preserve"> Emmanuel Levinas, “The Face,” in </w:t>
      </w:r>
      <w:r>
        <w:rPr>
          <w:rFonts w:ascii="Times New Roman" w:hAnsi="Times New Roman"/>
          <w:i/>
          <w:iCs/>
        </w:rPr>
        <w:t>Ethics and Infinity. Conversations with Philippe Nemo</w:t>
      </w:r>
      <w:r>
        <w:rPr>
          <w:rFonts w:ascii="Times New Roman" w:hAnsi="Times New Roman"/>
        </w:rPr>
        <w:t>, trans. Richard A. Cohen (Pittsburgh, PA: Duquesne University Press, 1985 [1982]), 85</w:t>
      </w:r>
      <w:r w:rsidR="00A5759B">
        <w:rPr>
          <w:rFonts w:ascii="Times New Roman" w:hAnsi="Times New Roman"/>
        </w:rPr>
        <w:t>–</w:t>
      </w:r>
      <w:r>
        <w:rPr>
          <w:rFonts w:ascii="Times New Roman" w:hAnsi="Times New Roman"/>
        </w:rPr>
        <w:t>86.</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79E"/>
    <w:multiLevelType w:val="hybridMultilevel"/>
    <w:tmpl w:val="E4C28BA4"/>
    <w:lvl w:ilvl="0" w:tplc="A35804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656635"/>
    <w:multiLevelType w:val="hybridMultilevel"/>
    <w:tmpl w:val="8D9893D0"/>
    <w:lvl w:ilvl="0" w:tplc="C6B488D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AD5998"/>
    <w:multiLevelType w:val="multilevel"/>
    <w:tmpl w:val="1E3C5806"/>
    <w:styleLink w:val="Style1"/>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2D289E"/>
    <w:multiLevelType w:val="hybridMultilevel"/>
    <w:tmpl w:val="FC82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1528D"/>
    <w:multiLevelType w:val="hybridMultilevel"/>
    <w:tmpl w:val="67BAD314"/>
    <w:lvl w:ilvl="0" w:tplc="0409000F">
      <w:start w:val="1"/>
      <w:numFmt w:val="decimal"/>
      <w:lvlText w:val="%1."/>
      <w:lvlJc w:val="left"/>
      <w:pPr>
        <w:ind w:left="128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414EE0"/>
    <w:multiLevelType w:val="hybridMultilevel"/>
    <w:tmpl w:val="3AFE97A8"/>
    <w:lvl w:ilvl="0" w:tplc="1D4E9EA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F57B01"/>
    <w:multiLevelType w:val="multilevel"/>
    <w:tmpl w:val="1E3C5806"/>
    <w:numStyleLink w:val="Style1"/>
  </w:abstractNum>
  <w:abstractNum w:abstractNumId="7">
    <w:nsid w:val="497E3715"/>
    <w:multiLevelType w:val="hybridMultilevel"/>
    <w:tmpl w:val="4D4E0EFE"/>
    <w:numStyleLink w:val="ImportedStyle3"/>
  </w:abstractNum>
  <w:abstractNum w:abstractNumId="8">
    <w:nsid w:val="55381C80"/>
    <w:multiLevelType w:val="hybridMultilevel"/>
    <w:tmpl w:val="1B34F78E"/>
    <w:lvl w:ilvl="0" w:tplc="0BB68FD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00796"/>
    <w:multiLevelType w:val="hybridMultilevel"/>
    <w:tmpl w:val="4D4E0EFE"/>
    <w:styleLink w:val="ImportedStyle3"/>
    <w:lvl w:ilvl="0" w:tplc="762E34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F653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DE25A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08D9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365B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C63EB2">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B4634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FC4B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B23CD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4AB1DA6"/>
    <w:multiLevelType w:val="hybridMultilevel"/>
    <w:tmpl w:val="1E3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A1274"/>
    <w:multiLevelType w:val="hybridMultilevel"/>
    <w:tmpl w:val="FC68A8A4"/>
    <w:lvl w:ilvl="0" w:tplc="04090001">
      <w:start w:val="1"/>
      <w:numFmt w:val="bullet"/>
      <w:lvlText w:val=""/>
      <w:lvlJc w:val="left"/>
      <w:pPr>
        <w:ind w:left="928"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
  </w:num>
  <w:num w:numId="5">
    <w:abstractNumId w:val="6"/>
  </w:num>
  <w:num w:numId="6">
    <w:abstractNumId w:val="0"/>
  </w:num>
  <w:num w:numId="7">
    <w:abstractNumId w:val="5"/>
  </w:num>
  <w:num w:numId="8">
    <w:abstractNumId w:val="8"/>
  </w:num>
  <w:num w:numId="9">
    <w:abstractNumId w:val="1"/>
  </w:num>
  <w:num w:numId="10">
    <w:abstractNumId w:val="1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tuart allen">
    <w15:presenceInfo w15:providerId="Windows Live" w15:userId="9cb05b580a67bc4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 w:id="2"/>
  </w:footnotePr>
  <w:endnotePr>
    <w:endnote w:id="0"/>
    <w:endnote w:id="1"/>
  </w:endnotePr>
  <w:compat>
    <w:useFELayout/>
  </w:compat>
  <w:rsids>
    <w:rsidRoot w:val="00757D29"/>
    <w:rsid w:val="00116B62"/>
    <w:rsid w:val="00136D76"/>
    <w:rsid w:val="00145F33"/>
    <w:rsid w:val="00186A2B"/>
    <w:rsid w:val="001A01F1"/>
    <w:rsid w:val="002766F4"/>
    <w:rsid w:val="002B68AF"/>
    <w:rsid w:val="0033537C"/>
    <w:rsid w:val="0036435A"/>
    <w:rsid w:val="0037263C"/>
    <w:rsid w:val="003E1732"/>
    <w:rsid w:val="003E4307"/>
    <w:rsid w:val="00474851"/>
    <w:rsid w:val="004C2D6B"/>
    <w:rsid w:val="00507D73"/>
    <w:rsid w:val="00554E0A"/>
    <w:rsid w:val="005552E0"/>
    <w:rsid w:val="00555B39"/>
    <w:rsid w:val="005969AA"/>
    <w:rsid w:val="005B5B50"/>
    <w:rsid w:val="005D304B"/>
    <w:rsid w:val="005E4BF0"/>
    <w:rsid w:val="005F121B"/>
    <w:rsid w:val="006211D8"/>
    <w:rsid w:val="00631F5C"/>
    <w:rsid w:val="0063657C"/>
    <w:rsid w:val="00641E86"/>
    <w:rsid w:val="006454B0"/>
    <w:rsid w:val="00693219"/>
    <w:rsid w:val="006C5F8E"/>
    <w:rsid w:val="00726093"/>
    <w:rsid w:val="00757D29"/>
    <w:rsid w:val="007A1A25"/>
    <w:rsid w:val="007B074F"/>
    <w:rsid w:val="007F261E"/>
    <w:rsid w:val="00857A37"/>
    <w:rsid w:val="0088477F"/>
    <w:rsid w:val="008A73B5"/>
    <w:rsid w:val="008D5575"/>
    <w:rsid w:val="00914EB8"/>
    <w:rsid w:val="00967A57"/>
    <w:rsid w:val="00990658"/>
    <w:rsid w:val="009E5CA3"/>
    <w:rsid w:val="00A05244"/>
    <w:rsid w:val="00A5759B"/>
    <w:rsid w:val="00AD5F6D"/>
    <w:rsid w:val="00B26290"/>
    <w:rsid w:val="00B839EA"/>
    <w:rsid w:val="00B87538"/>
    <w:rsid w:val="00BB7468"/>
    <w:rsid w:val="00BD1ACF"/>
    <w:rsid w:val="00C06113"/>
    <w:rsid w:val="00C07B9F"/>
    <w:rsid w:val="00CC6269"/>
    <w:rsid w:val="00CD37B0"/>
    <w:rsid w:val="00D7462C"/>
    <w:rsid w:val="00E04661"/>
    <w:rsid w:val="00E40F1B"/>
    <w:rsid w:val="00E77494"/>
    <w:rsid w:val="00EF1902"/>
    <w:rsid w:val="00EF7C9C"/>
    <w:rsid w:val="00F77FFD"/>
    <w:rsid w:val="00FC1216"/>
    <w:rsid w:val="00FF0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435A"/>
    <w:rPr>
      <w:u w:val="single"/>
    </w:rPr>
  </w:style>
  <w:style w:type="paragraph" w:customStyle="1" w:styleId="HeaderFooter">
    <w:name w:val="Header &amp; Footer"/>
    <w:rsid w:val="0036435A"/>
    <w:pPr>
      <w:tabs>
        <w:tab w:val="right" w:pos="9020"/>
      </w:tabs>
    </w:pPr>
    <w:rPr>
      <w:rFonts w:ascii="Helvetica Neue" w:hAnsi="Helvetica Neue" w:cs="Arial Unicode MS"/>
      <w:color w:val="000000"/>
      <w:sz w:val="24"/>
      <w:szCs w:val="24"/>
    </w:rPr>
  </w:style>
  <w:style w:type="paragraph" w:styleId="Footer">
    <w:name w:val="footer"/>
    <w:rsid w:val="0036435A"/>
    <w:pPr>
      <w:tabs>
        <w:tab w:val="center" w:pos="4513"/>
        <w:tab w:val="right" w:pos="9026"/>
      </w:tabs>
    </w:pPr>
    <w:rPr>
      <w:rFonts w:cs="Arial Unicode MS"/>
      <w:color w:val="000000"/>
      <w:sz w:val="24"/>
      <w:szCs w:val="24"/>
      <w:u w:color="000000"/>
      <w:lang w:val="en-US"/>
    </w:rPr>
  </w:style>
  <w:style w:type="paragraph" w:customStyle="1" w:styleId="BodyA">
    <w:name w:val="Body A"/>
    <w:rsid w:val="0036435A"/>
    <w:rPr>
      <w:rFonts w:ascii="Helvetica Neue" w:hAnsi="Helvetica Neue" w:cs="Arial Unicode MS"/>
      <w:color w:val="000000"/>
      <w:sz w:val="22"/>
      <w:szCs w:val="22"/>
      <w:u w:color="000000"/>
      <w:lang w:val="en-US"/>
    </w:rPr>
  </w:style>
  <w:style w:type="paragraph" w:customStyle="1" w:styleId="Default">
    <w:name w:val="Default"/>
    <w:rsid w:val="0036435A"/>
    <w:pPr>
      <w:spacing w:before="160" w:line="288" w:lineRule="auto"/>
    </w:pPr>
    <w:rPr>
      <w:rFonts w:ascii="Helvetica Neue" w:hAnsi="Helvetica Neue" w:cs="Arial Unicode MS"/>
      <w:color w:val="000000"/>
      <w:sz w:val="24"/>
      <w:szCs w:val="24"/>
      <w:u w:color="000000"/>
      <w:lang w:val="en-US"/>
    </w:rPr>
  </w:style>
  <w:style w:type="paragraph" w:customStyle="1" w:styleId="Footnote">
    <w:name w:val="Footnote"/>
    <w:rsid w:val="0036435A"/>
    <w:rPr>
      <w:rFonts w:ascii="Helvetica Neue" w:eastAsia="Helvetica Neue" w:hAnsi="Helvetica Neue" w:cs="Helvetica Neue"/>
      <w:color w:val="000000"/>
      <w:sz w:val="22"/>
      <w:szCs w:val="22"/>
      <w:u w:color="000000"/>
      <w:lang w:val="en-US"/>
    </w:rPr>
  </w:style>
  <w:style w:type="paragraph" w:customStyle="1" w:styleId="BodyB">
    <w:name w:val="Body B"/>
    <w:rsid w:val="0036435A"/>
    <w:rPr>
      <w:rFonts w:cs="Arial Unicode MS"/>
      <w:color w:val="000000"/>
      <w:sz w:val="24"/>
      <w:szCs w:val="24"/>
      <w:u w:color="000000"/>
      <w:lang w:val="en-US"/>
    </w:rPr>
  </w:style>
  <w:style w:type="character" w:customStyle="1" w:styleId="None">
    <w:name w:val="None"/>
    <w:rsid w:val="0036435A"/>
  </w:style>
  <w:style w:type="character" w:customStyle="1" w:styleId="Hyperlink0">
    <w:name w:val="Hyperlink.0"/>
    <w:basedOn w:val="None"/>
    <w:rsid w:val="0036435A"/>
    <w:rPr>
      <w:rFonts w:ascii="Times New Roman" w:eastAsia="Times New Roman" w:hAnsi="Times New Roman" w:cs="Times New Roman"/>
      <w:caps w:val="0"/>
      <w:smallCaps w:val="0"/>
      <w:strike w:val="0"/>
      <w:dstrike w:val="0"/>
      <w:outline w:val="0"/>
      <w:color w:val="0563C1"/>
      <w:spacing w:val="0"/>
      <w:kern w:val="0"/>
      <w:position w:val="0"/>
      <w:u w:val="single" w:color="0563C1"/>
      <w:vertAlign w:val="baseline"/>
    </w:rPr>
  </w:style>
  <w:style w:type="character" w:customStyle="1" w:styleId="Hyperlink1">
    <w:name w:val="Hyperlink.1"/>
    <w:basedOn w:val="None"/>
    <w:rsid w:val="0036435A"/>
    <w:rPr>
      <w:rFonts w:ascii="Times New Roman" w:eastAsia="Times New Roman" w:hAnsi="Times New Roman" w:cs="Times New Roman"/>
      <w:outline w:val="0"/>
      <w:color w:val="0000FF"/>
      <w:u w:val="single" w:color="0000FF"/>
    </w:rPr>
  </w:style>
  <w:style w:type="paragraph" w:customStyle="1" w:styleId="BodyC">
    <w:name w:val="Body C"/>
    <w:rsid w:val="0036435A"/>
    <w:rPr>
      <w:rFonts w:eastAsia="Times New Roman"/>
      <w:color w:val="000000"/>
      <w:sz w:val="24"/>
      <w:szCs w:val="24"/>
      <w:u w:color="000000"/>
      <w:lang w:val="en-US"/>
    </w:rPr>
  </w:style>
  <w:style w:type="character" w:customStyle="1" w:styleId="Link">
    <w:name w:val="Link"/>
    <w:rsid w:val="0036435A"/>
    <w:rPr>
      <w:outline w:val="0"/>
      <w:color w:val="0000FF"/>
      <w:u w:val="single" w:color="0000FF"/>
    </w:rPr>
  </w:style>
  <w:style w:type="character" w:customStyle="1" w:styleId="Hyperlink2">
    <w:name w:val="Hyperlink.2"/>
    <w:basedOn w:val="Link"/>
    <w:rsid w:val="0036435A"/>
    <w:rPr>
      <w:rFonts w:ascii="Times New Roman" w:eastAsia="Times New Roman" w:hAnsi="Times New Roman" w:cs="Times New Roman"/>
      <w:outline w:val="0"/>
      <w:color w:val="0000FF"/>
      <w:u w:val="single" w:color="0000FF"/>
      <w:shd w:val="clear" w:color="auto" w:fill="FFFFFF"/>
    </w:rPr>
  </w:style>
  <w:style w:type="paragraph" w:customStyle="1" w:styleId="Body">
    <w:name w:val="Body"/>
    <w:rsid w:val="0036435A"/>
    <w:rPr>
      <w:rFonts w:eastAsia="Times New Roman"/>
      <w:color w:val="000000"/>
      <w:sz w:val="24"/>
      <w:szCs w:val="24"/>
      <w:u w:color="000000"/>
    </w:rPr>
  </w:style>
  <w:style w:type="numbering" w:customStyle="1" w:styleId="ImportedStyle3">
    <w:name w:val="Imported Style 3"/>
    <w:rsid w:val="0036435A"/>
    <w:pPr>
      <w:numPr>
        <w:numId w:val="1"/>
      </w:numPr>
    </w:pPr>
  </w:style>
  <w:style w:type="paragraph" w:styleId="CommentText">
    <w:name w:val="annotation text"/>
    <w:basedOn w:val="Normal"/>
    <w:link w:val="CommentTextChar"/>
    <w:uiPriority w:val="99"/>
    <w:semiHidden/>
    <w:unhideWhenUsed/>
    <w:rsid w:val="0036435A"/>
    <w:rPr>
      <w:sz w:val="20"/>
      <w:szCs w:val="20"/>
    </w:rPr>
  </w:style>
  <w:style w:type="character" w:customStyle="1" w:styleId="CommentTextChar">
    <w:name w:val="Comment Text Char"/>
    <w:basedOn w:val="DefaultParagraphFont"/>
    <w:link w:val="CommentText"/>
    <w:uiPriority w:val="99"/>
    <w:semiHidden/>
    <w:rsid w:val="0036435A"/>
    <w:rPr>
      <w:lang w:val="en-US" w:eastAsia="en-US"/>
    </w:rPr>
  </w:style>
  <w:style w:type="character" w:styleId="CommentReference">
    <w:name w:val="annotation reference"/>
    <w:basedOn w:val="DefaultParagraphFont"/>
    <w:uiPriority w:val="99"/>
    <w:semiHidden/>
    <w:unhideWhenUsed/>
    <w:rsid w:val="0036435A"/>
    <w:rPr>
      <w:sz w:val="16"/>
      <w:szCs w:val="16"/>
    </w:rPr>
  </w:style>
  <w:style w:type="paragraph" w:styleId="Revision">
    <w:name w:val="Revision"/>
    <w:hidden/>
    <w:uiPriority w:val="99"/>
    <w:semiHidden/>
    <w:rsid w:val="00C0611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04661"/>
    <w:rPr>
      <w:b/>
      <w:bCs/>
    </w:rPr>
  </w:style>
  <w:style w:type="character" w:customStyle="1" w:styleId="CommentSubjectChar">
    <w:name w:val="Comment Subject Char"/>
    <w:basedOn w:val="CommentTextChar"/>
    <w:link w:val="CommentSubject"/>
    <w:uiPriority w:val="99"/>
    <w:semiHidden/>
    <w:rsid w:val="00E04661"/>
    <w:rPr>
      <w:b/>
      <w:bCs/>
      <w:lang w:val="en-US" w:eastAsia="en-US"/>
    </w:rPr>
  </w:style>
  <w:style w:type="paragraph" w:styleId="BalloonText">
    <w:name w:val="Balloon Text"/>
    <w:basedOn w:val="Normal"/>
    <w:link w:val="BalloonTextChar"/>
    <w:uiPriority w:val="99"/>
    <w:semiHidden/>
    <w:unhideWhenUsed/>
    <w:rsid w:val="00554E0A"/>
    <w:rPr>
      <w:rFonts w:ascii="Tahoma" w:hAnsi="Tahoma" w:cs="Tahoma"/>
      <w:sz w:val="16"/>
      <w:szCs w:val="16"/>
    </w:rPr>
  </w:style>
  <w:style w:type="character" w:customStyle="1" w:styleId="BalloonTextChar">
    <w:name w:val="Balloon Text Char"/>
    <w:basedOn w:val="DefaultParagraphFont"/>
    <w:link w:val="BalloonText"/>
    <w:uiPriority w:val="99"/>
    <w:semiHidden/>
    <w:rsid w:val="00554E0A"/>
    <w:rPr>
      <w:rFonts w:ascii="Tahoma" w:hAnsi="Tahoma" w:cs="Tahoma"/>
      <w:sz w:val="16"/>
      <w:szCs w:val="16"/>
      <w:lang w:val="en-US" w:eastAsia="en-US"/>
    </w:rPr>
  </w:style>
  <w:style w:type="numbering" w:customStyle="1" w:styleId="Style1">
    <w:name w:val="Style1"/>
    <w:uiPriority w:val="99"/>
    <w:rsid w:val="00136D76"/>
    <w:pPr>
      <w:numPr>
        <w:numId w:val="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1060</Words>
  <Characters>6045</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15</cp:revision>
  <dcterms:created xsi:type="dcterms:W3CDTF">2024-12-10T00:15:00Z</dcterms:created>
  <dcterms:modified xsi:type="dcterms:W3CDTF">2025-03-20T12:56:00Z</dcterms:modified>
</cp:coreProperties>
</file>