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t>Error 10: This is sample text for testing, e.g. rules. This is an example sentence e.g. it should be corrected. Another case is e.g. when used incorrec</w:t>
      </w:r>
      <w:r>
        <w:rPr/>
        <w:t>tly. Sometimes people write</w:t>
      </w:r>
      <w:r>
        <w:rPr>
          <w:i w:val="0"/>
        </w:rPr>
        <w:t xml:space="preserve"> e.g</w:t>
      </w:r>
      <w:r>
        <w:rPr/>
        <w:t>. or even</w:t>
      </w:r>
      <w:r>
        <w:rPr>
          <w:i w:val="0"/>
        </w:rPr>
        <w:t xml:space="preserve"> e.g</w:t>
      </w:r>
      <w:r>
        <w:t>., which needs fixing. Even e.g, is not correct</w:t>
      </w:r>
    </w:p>
    <w:p w:rsidR="003823AC" w:rsidRDefault="003823AC" w:rsidP="003823AC">
      <w:r>
        <w:t>Error 11: This is a sample text for testing: i.e. rules. i.e. is an abbreviation. i.e. it mea</w:t>
      </w:r>
      <w:r>
        <w:rPr/>
        <w:t>ns.</w:t>
      </w:r>
      <w:r>
        <w:rPr>
          <w:i w:val="0"/>
        </w:rPr>
        <w:t xml:space="preserve"> i.e</w:t>
      </w:r>
      <w:r>
        <w:rPr/>
        <w:t>.. should be fixed.</w:t>
      </w:r>
      <w:r>
        <w:rPr>
          <w:i w:val="0"/>
        </w:rPr>
        <w:t xml:space="preserve"> i.e</w:t>
      </w:r>
      <w:r>
        <w:t>.</w:t>
      </w:r>
      <w:r w:rsidR="00FF7A65">
        <w:t>, really? This is incorrect i.e</w:t>
      </w:r>
      <w:r>
        <w:t>, should also be fixed. i.e, why not</w:t>
      </w:r>
    </w:p>
    <w:p w:rsidR="003823AC" w:rsidRDefault="003823AC" w:rsidP="003823AC">
      <w:r>
        <w:t>Error 12: I bought apples, bananas, and oranges. She likes painting, dancing or singing. We visited Paris, London, and Rome. You can choose coffee, tea or juice. The colors available are red, blue, and green.</w:t>
      </w:r>
    </w:p>
    <w:p w:rsidR="003823AC" w:rsidRDefault="003823AC" w:rsidP="003823AC">
      <w:r>
        <w:t xml:space="preserve">Error 13: Refer to Section 5 for details. Section 10 </w:t>
      </w:r>
      <w:r w:rsidR="00F2492E">
        <w:t>outline</w:t>
      </w:r>
      <w:r>
        <w:t xml:space="preserve"> the rules. See Section3 and </w:t>
      </w:r>
      <w:r w:rsidR="00F2492E">
        <w:t xml:space="preserve">Section </w:t>
      </w:r>
      <w:r>
        <w:t>4 for more information. The law is mentioned in SectionA. No changes were made in Section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1A3DF8">
        <w:t>.</w:t>
      </w:r>
      <w:r w:rsidR="003823AC">
        <w:t xml:space="preserve"> H</w:t>
      </w:r>
      <w:r>
        <w:t>e works at IBM</w:t>
      </w:r>
      <w:r w:rsidR="002B0FAE">
        <w:t>.</w:t>
      </w:r>
      <w:r w:rsidR="003823AC">
        <w:t xml:space="preserve"> The organ</w:t>
      </w:r>
      <w:r>
        <w:t>ization is known as UNESCO</w:t>
      </w:r>
      <w:r w:rsidR="003823AC">
        <w:t xml:space="preserve"> Dr. </w:t>
      </w:r>
      <w:r>
        <w:t>Smith studied in the U.K</w:t>
      </w:r>
      <w:r w:rsidR="001A3DF8">
        <w:t>.</w:t>
      </w:r>
      <w:r>
        <w:t xml:space="preserve"> FBI</w:t>
      </w:r>
      <w:r w:rsidR="003823AC">
        <w:t xml:space="preserve"> agents arrived at the scene.</w:t>
      </w:r>
    </w:p>
    <w:p w:rsidR="003823AC" w:rsidRDefault="003823AC" w:rsidP="003823AC">
      <w:r>
        <w:rPr/>
        <w:t>Error 18: Many fruits, e.g. apples and bananas are healthy. You can use many languages, e.g. Java, and Python. Different countries, e.g, USA, and Canada, have different rules. Common tools includ</w:t>
      </w:r>
      <w:r>
        <w:rPr>
          <w:i w:val="0"/>
        </w:rPr>
        <w:t>e, e</w:t>
      </w:r>
      <w:r>
        <w:rPr/>
        <w:t>.g.., hammers, and screwdri</w:t>
      </w:r>
      <w:r>
        <w:rPr/>
        <w:t>vers. Popular sports inclu</w:t>
      </w:r>
      <w:r>
        <w:rPr>
          <w:i w:val="0"/>
        </w:rPr>
        <w:t xml:space="preserve">de, </w:t>
      </w:r>
      <w:r>
        <w:t>e.g., football and basketb</w:t>
      </w:r>
    </w:p>
    <w:p w:rsidR="003823AC" w:rsidRDefault="003823AC" w:rsidP="003823AC">
      <w:r>
        <w:t>Error 19: Some countries,: i.e. USA, and Canada, have strict laws. Certain programming languages,: i.e. Java, and Python, are widely use</w:t>
      </w:r>
      <w:r>
        <w:rPr/>
        <w:t>d. He prefers strong coffee</w:t>
      </w:r>
      <w:r>
        <w:rPr>
          <w:i w:val="0"/>
        </w:rPr>
        <w:t>,: i</w:t>
      </w:r>
      <w:r>
        <w:t>.e., espress</w:t>
      </w:r>
      <w:r>
        <w:rPr/>
        <w:t>o. She loves tropical fruit</w:t>
      </w:r>
      <w:r>
        <w:rPr>
          <w:i w:val="0"/>
        </w:rPr>
        <w:t xml:space="preserve">s,: </w:t>
      </w:r>
      <w:r>
        <w:t>i.e., mangoes and pineapples.</w:t>
      </w:r>
      <w:r w:rsidR="008068C4">
        <w:t xml:space="preserve"> This task requires precision, </w:t>
      </w:r>
      <w:r>
        <w:t>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January 15, 2025, and we had a meeting on 12/10/2022. Another meeting was scheduled for 03/14/2023. We also discussed the progress of the project, which is currently at 5 : 7 ratio. Additionally, we are planning for a launch on 05/12/2024. On March 02, 2026, a new milestone was achieved. The report states that the ratio of success to failures is 8 : 3. I think we will need to update our strategy before May 06,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0.31</w:t>
      </w:r>
      <w:r w:rsidR="00F1481F">
        <w:t xml:space="preserve"> </w:t>
      </w:r>
      <w:r w:rsidR="008D66C5">
        <w:t>.</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Default="00C30F46" w:rsidP="00C30F46">
      <w:pPr>
        <w:pStyle w:val="Heading1"/>
        <w:rPr>
          <w:sz w:val="32"/>
          <w:szCs w:val="32"/>
        </w:rPr>
      </w:pPr>
      <w:r>
        <w:t>Formatting Rule:</w:t>
      </w:r>
    </w:p>
    <w:p w:rsidR="005A7B2F" w:rsidRPr="005A7B2F" w:rsidRDefault="005A7B2F" w:rsidP="005A7B2F">
      <w:r>
        <w:t xml:space="preserve">Error 1: This is a sample test case for checking url formatting. If url is like https://google.com then change it to </w:t>
      </w:r>
      <w:hyperlink r:id="rId7" w:history="1">
        <w:r w:rsidRPr="004D19B7">
          <w:rPr>
            <w:rStyle w:val="Hyperlink"/>
            <w:u w:val="none"/>
          </w:rPr>
          <w:t>https://google.com</w:t>
        </w:r>
      </w:hyperlink>
      <w:r>
        <w:t xml:space="preserve"> .</w:t>
      </w:r>
    </w:p>
    <w:p w:rsidR="00C30F46" w:rsidRDefault="00C30F46" w:rsidP="00C30F46">
      <w:r>
        <w:t xml:space="preserve">Error 1: This is a sample test case for checking url formatting. If url is like https://google.com then change it to </w:t>
      </w:r>
      <w:hyperlink r:id="rId8" w:history="1">
        <w:r w:rsidRPr="007841E1">
          <w:rPr>
            <w:rStyle w:val="Hyperlink"/>
            <w:u w:val="none"/>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u w:val="none"/>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u w:val="none"/>
          </w:rPr>
          <w:t>https://google.com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9A09D7" w:rsidRDefault="009A09D7" w:rsidP="009A09D7">
      <w:r>
        <w:t>Error 1:</w:t>
      </w:r>
    </w:p>
    <w:p w:rsidR="004D19A8" w:rsidRDefault="009A09D7" w:rsidP="009A09D7">
      <w:pPr>
        <w:rPr>
          <w:rFonts w:cstheme="minorHAnsi"/>
        </w:rPr>
      </w:pPr>
      <w:r>
        <w:t>Figure 1.1 . Market growth trend over the past five years, showing a steady increase in overall market performance.</w:t>
      </w:r>
      <w:r w:rsidRPr="0001247D">
        <w:rPr>
          <w:rFonts w:cstheme="minorHAnsi"/>
        </w:rPr>
      </w:r>
      <w:r>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Figure 1.1 .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Figure 1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01247D" w:rsidRDefault="0001247D" w:rsidP="0001247D">
      <w:pPr>
        <w:pStyle w:val="Heading1"/>
      </w:pPr>
      <w:r>
        <w:t>Tables Rules:</w:t>
      </w:r>
    </w:p>
    <w:p w:rsidR="00016C69" w:rsidRDefault="00016C69" w:rsidP="00016C69">
      <w:r>
        <w:t>Error 1:</w:t>
      </w:r>
    </w:p>
    <w:p w:rsidR="00016C69" w:rsidRDefault="00016C69" w:rsidP="00016C69">
      <w:r/>
      <w:r>
        <w:rPr>
          <w:rFonts w:ascii="Calibri" w:hAnsi="Calibri"/>
          <w:b/>
        </w:rPr>
        <w:t>Table</w:t>
      </w:r>
      <w:r>
        <w:rPr>
          <w:rFonts w:ascii="Calibri" w:hAnsi="Calibri"/>
        </w:rPr>
        <w:t xml:space="preserve"> 1.1 </w:t>
      </w:r>
      <w:r>
        <w:rPr>
          <w:rFonts w:ascii="Calibri" w:hAnsi="Calibri"/>
        </w:rPr>
        <w:t>. Satisfaction levels by region, showing the highest satisfaction reported in the northern region.</w:t>
      </w:r>
    </w:p>
    <w:p w:rsidR="00016C69" w:rsidRDefault="00016C69" w:rsidP="00016C69">
      <w:r>
        <w:t>Error 2:</w:t>
      </w:r>
    </w:p>
    <w:p w:rsidR="00016C69" w:rsidRDefault="00016C69" w:rsidP="00016C69">
      <w:r/>
      <w:r w:rsidR="00104E30"/>
      <w:r>
        <w:rPr>
          <w:rFonts w:ascii="Calibri" w:hAnsi="Calibri"/>
          <w:b/>
        </w:rPr>
        <w:t>Table</w:t>
      </w:r>
      <w:r>
        <w:rPr>
          <w:rFonts w:ascii="Calibri" w:hAnsi="Calibri"/>
        </w:rPr>
        <w:t xml:space="preserve"> 1.1 </w:t>
      </w:r>
      <w:r>
        <w:rPr>
          <w:rFonts w:ascii="Calibri" w:hAnsi="Calibri"/>
        </w:rPr>
        <w:t>. Satisfaction levels by region , showing the highest satisfaction reported in the northern region.</w:t>
      </w:r>
    </w:p>
    <w:p w:rsidR="00104E30" w:rsidRDefault="00104E30" w:rsidP="00016C69">
      <w:r>
        <w:t>Error 3:</w:t>
      </w:r>
    </w:p>
    <w:p w:rsidR="00104E30" w:rsidRPr="00016C69" w:rsidRDefault="00104E30" w:rsidP="00016C69">
      <w:r>
        <w:t>Table 1.1 Satisfaction levels by region, showing the highest satisfaction reported in the northern region.</w:t>
      </w:r>
      <w:r w:rsidRPr="00104E30">
        <w:rPr>
          <w:rFonts w:cstheme="minorHAnsi"/>
        </w:rPr>
      </w:r>
      <w:r w:rsidRPr="0001247D">
        <w:rPr>
          <w:rFonts w:cstheme="minorHAnsi"/>
        </w:rPr>
      </w:r>
      <w:r>
        <w:rPr>
          <w:rFonts w:ascii="Calibri" w:hAnsi="Calibri"/>
          <w:b/>
        </w:rPr>
      </w:r>
      <w:r>
        <w:rPr>
          <w:rFonts w:ascii="Calibri" w:hAnsi="Calibri"/>
        </w:rPr>
      </w:r>
      <w:r>
        <w:rPr>
          <w:rFonts w:ascii="Calibri" w:hAnsi="Calibri"/>
        </w:rPr>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 do not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val="0"/>
        </w:rPr>
        <w:t>All the world’s a stage, and all the men, and women merely players.</w:t>
      </w:r>
    </w:p>
    <w:p w:rsidR="00DD249D" w:rsidRDefault="00D45E0E" w:rsidP="00ED1753">
      <w:pPr>
        <w:jc w:val="right"/>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jc w:val="right"/>
        <w:rPr>
          <w:rFonts w:cstheme="minorHAnsi"/>
        </w:rPr>
      </w:pPr>
      <w:r>
        <w:rPr>
          <w:rFonts w:cstheme="minorHAnsi"/>
        </w:rPr>
        <w:t>–Julius Caesar (Act 2, Scene 5)</w:t>
      </w:r>
    </w:p>
    <w:p w:rsidR="00DD249D" w:rsidRDefault="00DD249D" w:rsidP="00ED1753">
      <w:pPr>
        <w:rPr>
          <w:rFonts w:cstheme="minorHAnsi"/>
          <w:i/>
        </w:rPr>
      </w:pPr>
      <w:r>
        <w:rPr>
          <w:rFonts w:cstheme="minorHAnsi"/>
          <w:i w:val="0"/>
        </w:rPr>
        <w:t>Some are born great, some achieve greatness, and some have greatness thrust upon them.</w:t>
      </w:r>
    </w:p>
    <w:p w:rsidR="00DD249D" w:rsidRPr="00DD249D" w:rsidRDefault="00DD249D" w:rsidP="00ED1753">
      <w:pPr>
        <w:jc w:val="right"/>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D55" w:rsidRDefault="001F3D55" w:rsidP="00A57BDF">
      <w:pPr>
        <w:spacing w:after="0" w:line="240" w:lineRule="auto"/>
      </w:pPr>
      <w:r>
        <w:separator/>
      </w:r>
    </w:p>
  </w:endnote>
  <w:endnote w:type="continuationSeparator" w:id="1">
    <w:p w:rsidR="001F3D55" w:rsidRDefault="001F3D55"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D55" w:rsidRDefault="001F3D55" w:rsidP="00A57BDF">
      <w:pPr>
        <w:spacing w:after="0" w:line="240" w:lineRule="auto"/>
      </w:pPr>
      <w:r>
        <w:separator/>
      </w:r>
    </w:p>
  </w:footnote>
  <w:footnote w:type="continuationSeparator" w:id="1">
    <w:p w:rsidR="001F3D55" w:rsidRDefault="001F3D55"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1A3DF8"/>
    <w:rsid w:val="001F3D55"/>
    <w:rsid w:val="002B0FAE"/>
    <w:rsid w:val="002D2158"/>
    <w:rsid w:val="00367953"/>
    <w:rsid w:val="003823AC"/>
    <w:rsid w:val="004D19A8"/>
    <w:rsid w:val="00571727"/>
    <w:rsid w:val="005A7B2F"/>
    <w:rsid w:val="0077237F"/>
    <w:rsid w:val="007E7E22"/>
    <w:rsid w:val="008068C4"/>
    <w:rsid w:val="008D66C5"/>
    <w:rsid w:val="009A09D7"/>
    <w:rsid w:val="009D71FB"/>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2025-03-24T06:02:00Z</dcterms:created>
  <dcterms:modified xsi:type="dcterms:W3CDTF">2025-03-25T05:45:00Z</dcterms:modified>
</cp:coreProperties>
</file>