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rPr>
          <w:b/>
          <w:bCs/>
        </w:rPr>
      </w:pPr>
      <w:bookmarkStart w:id="0" w:name="_Toc26924"/>
      <w:r>
        <w:rPr>
          <w:b/>
          <w:bCs/>
        </w:rPr>
        <w:t>Chapter 18.5</w:t>
      </w:r>
      <w:bookmarkEnd w:id="0"/>
    </w:p>
    <w:p>
      <w:pPr>
        <w:pStyle w:val="3"/>
        <w:bidi w:val="0"/>
      </w:pPr>
      <w:bookmarkStart w:id="1" w:name="_Toc7066"/>
      <w:r>
        <w:t>World Data — IRIS Archive Playback</w:t>
      </w:r>
      <w:bookmarkEnd w:id="1"/>
    </w:p>
    <w:p>
      <w:pPr>
        <w:pStyle w:val="30"/>
        <w:keepNext w:val="0"/>
        <w:keepLines w:val="0"/>
        <w:widowControl/>
        <w:suppressLineNumbers w:val="0"/>
      </w:pPr>
      <w:r>
        <w:rPr>
          <w:rStyle w:val="35"/>
        </w:rPr>
        <w:t>Kael</w:t>
      </w:r>
      <w:r>
        <w:t xml:space="preserve"> opened the archive</w:t>
      </w:r>
      <w:r>
        <w:rPr>
          <w:rFonts w:hint="default"/>
          <w:lang w:val="en-IN"/>
        </w:rPr>
        <w:t xml:space="preserve"> as he sat in the middle of the forest</w:t>
      </w:r>
      <w:r>
        <w:t>.</w:t>
      </w:r>
    </w:p>
    <w:p>
      <w:pPr>
        <w:pStyle w:val="30"/>
        <w:keepNext w:val="0"/>
        <w:keepLines w:val="0"/>
        <w:widowControl/>
        <w:suppressLineNumbers w:val="0"/>
      </w:pPr>
      <w:r>
        <w:rPr>
          <w:rStyle w:val="35"/>
        </w:rPr>
        <w:t>Iris</w:t>
      </w:r>
      <w:r>
        <w:t xml:space="preserve"> </w:t>
      </w:r>
      <w:r>
        <w:rPr>
          <w:rFonts w:hint="default"/>
          <w:lang w:val="en-IN"/>
        </w:rPr>
        <w:t xml:space="preserve">showed him </w:t>
      </w:r>
      <w:r>
        <w:t xml:space="preserve">fragments of the world as it stood </w:t>
      </w:r>
      <w:r>
        <w:rPr>
          <w:rStyle w:val="35"/>
        </w:rPr>
        <w:t>one month before humanity's collapse</w:t>
      </w:r>
      <w:r>
        <w:t>, cached and dormant until now.</w:t>
      </w:r>
    </w:p>
    <w:p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bidi w:val="0"/>
      </w:pPr>
      <w:bookmarkStart w:id="2" w:name="_Toc31404"/>
      <w:r>
        <w:t>I. Sovereign Defense Directorate</w:t>
      </w:r>
      <w:bookmarkEnd w:id="2"/>
    </w:p>
    <w:p>
      <w:pPr>
        <w:pStyle w:val="30"/>
        <w:keepNext w:val="0"/>
        <w:keepLines w:val="0"/>
        <w:widowControl/>
        <w:suppressLineNumbers w:val="0"/>
      </w:pPr>
      <w:r>
        <w:t xml:space="preserve">Before the collapse, the old global order had fractured into competing </w:t>
      </w:r>
      <w:r>
        <w:rPr>
          <w:rStyle w:val="35"/>
        </w:rPr>
        <w:t>Sovereign Nations</w:t>
      </w:r>
      <w:r>
        <w:t xml:space="preserve">. Each maintained its own </w:t>
      </w:r>
      <w:r>
        <w:rPr>
          <w:rStyle w:val="35"/>
        </w:rPr>
        <w:t>Sovereign Defense Directorate</w:t>
      </w:r>
      <w:r>
        <w:t xml:space="preserve">, organized into </w:t>
      </w:r>
      <w:r>
        <w:rPr>
          <w:rStyle w:val="35"/>
        </w:rPr>
        <w:t>five military branches</w:t>
      </w:r>
      <w:r>
        <w:t>.</w:t>
      </w:r>
    </w:p>
    <w:p>
      <w:pPr>
        <w:pStyle w:val="4"/>
        <w:keepNext w:val="0"/>
        <w:keepLines w:val="0"/>
        <w:widowControl/>
        <w:suppressLineNumbers w:val="0"/>
      </w:pPr>
      <w:bookmarkStart w:id="3" w:name="_Toc21849"/>
      <w:r>
        <w:rPr>
          <w:rStyle w:val="35"/>
          <w:b w:val="0"/>
          <w:bCs w:val="0"/>
        </w:rPr>
        <w:t>Military Branches</w:t>
      </w:r>
      <w:bookmarkEnd w:id="3"/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35"/>
        </w:rPr>
        <w:t>Territorial Pacification Vanguard</w:t>
      </w:r>
      <w:r>
        <w:t xml:space="preserve"> — Mechanized infantry, armored convoys, territorial defense, and border security.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35"/>
        </w:rPr>
        <w:t>Hydro-Resource Armada</w:t>
      </w:r>
      <w:r>
        <w:t xml:space="preserve"> — Naval operations, ocean security, and protection of the massive </w:t>
      </w:r>
      <w:r>
        <w:rPr>
          <w:rStyle w:val="35"/>
        </w:rPr>
        <w:t>desalinization fleets</w:t>
      </w:r>
      <w:r>
        <w:t xml:space="preserve"> that supplied coastal cities.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35"/>
        </w:rPr>
        <w:t>Atmospheric Supremacy Command</w:t>
      </w:r>
      <w:r>
        <w:t xml:space="preserve"> — Air superiority, aerial defense, and atmospheric operations.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35"/>
        </w:rPr>
        <w:t>Orbital Strike &amp; Logistics Division</w:t>
      </w:r>
      <w:r>
        <w:t xml:space="preserve"> — Satellites, orbital infrastructure, communications, and lunar operations.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35"/>
        </w:rPr>
        <w:t>Verdant Guard</w:t>
      </w:r>
      <w:r>
        <w:t xml:space="preserve"> — A classified branch responsible for covert missions, intelligence, and threats the government never acknowledged publicly.</w:t>
      </w:r>
    </w:p>
    <w:p>
      <w:pPr>
        <w:pStyle w:val="4"/>
        <w:keepNext w:val="0"/>
        <w:keepLines w:val="0"/>
        <w:widowControl/>
        <w:suppressLineNumbers w:val="0"/>
      </w:pPr>
      <w:bookmarkStart w:id="4" w:name="_Toc3291"/>
      <w:r>
        <w:rPr>
          <w:rStyle w:val="35"/>
          <w:b w:val="0"/>
          <w:bCs w:val="0"/>
        </w:rPr>
        <w:t>Officer Rank Structure</w:t>
      </w:r>
      <w:bookmarkEnd w:id="4"/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35"/>
        </w:rPr>
        <w:t>Sub-Prime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35"/>
        </w:rPr>
        <w:t>Captain-Prime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35"/>
        </w:rPr>
        <w:t>Major-Tactical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35"/>
        </w:rPr>
        <w:t>Commander-Regent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35"/>
        </w:rPr>
        <w:t>Colonel-Logis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34"/>
        </w:rPr>
        <w:t>(Higher ranks existed beyond these.)</w:t>
      </w:r>
    </w:p>
    <w:p>
      <w:pPr>
        <w:pStyle w:val="30"/>
        <w:keepNext w:val="0"/>
        <w:keepLines w:val="0"/>
        <w:widowControl/>
        <w:suppressLineNumbers w:val="0"/>
      </w:pPr>
      <w:r>
        <w:rPr>
          <w:rStyle w:val="35"/>
        </w:rPr>
        <w:t>Nakamura's rank — Commander-Regent —</w:t>
      </w:r>
      <w:r>
        <w:t xml:space="preserve"> placed him at </w:t>
      </w:r>
      <w:r>
        <w:rPr>
          <w:rStyle w:val="35"/>
        </w:rPr>
        <w:t>battalion-level command</w:t>
      </w:r>
      <w:r>
        <w:t>, a position earned through service rather than appointment.</w:t>
      </w:r>
    </w:p>
    <w:p>
      <w:pPr>
        <w:pStyle w:val="4"/>
        <w:keepNext w:val="0"/>
        <w:keepLines w:val="0"/>
        <w:widowControl/>
        <w:suppressLineNumbers w:val="0"/>
      </w:pPr>
      <w:bookmarkStart w:id="5" w:name="_Toc16935"/>
      <w:r>
        <w:rPr>
          <w:rStyle w:val="35"/>
          <w:b w:val="0"/>
          <w:bCs w:val="0"/>
        </w:rPr>
        <w:t>Military Organization</w:t>
      </w:r>
      <w:bookmarkEnd w:id="5"/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35"/>
        </w:rPr>
        <w:t>47 Joint Bases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Reported to </w:t>
      </w:r>
      <w:r>
        <w:rPr>
          <w:rStyle w:val="35"/>
        </w:rPr>
        <w:t>8 Regional Commands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All ultimately answered to the </w:t>
      </w:r>
      <w:r>
        <w:rPr>
          <w:rStyle w:val="35"/>
        </w:rPr>
        <w:t>Supreme Defense Command</w:t>
      </w:r>
      <w:r>
        <w:t xml:space="preserve"> located in </w:t>
      </w:r>
      <w:r>
        <w:rPr>
          <w:rStyle w:val="35"/>
        </w:rPr>
        <w:t>Nagano</w:t>
      </w:r>
      <w:r>
        <w:t>.</w:t>
      </w:r>
    </w:p>
    <w:p>
      <w:pPr>
        <w:pStyle w:val="30"/>
        <w:keepNext w:val="0"/>
        <w:keepLines w:val="0"/>
        <w:widowControl/>
        <w:suppressLineNumbers w:val="0"/>
      </w:pPr>
      <w:r>
        <w:t>Three of those forty-seven bases now meant something to Kael: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35"/>
        </w:rPr>
        <w:t>Izumo Coastal Base</w:t>
      </w:r>
      <w:r>
        <w:t xml:space="preserve"> — Former station of </w:t>
      </w:r>
      <w:r>
        <w:rPr>
          <w:rStyle w:val="35"/>
        </w:rPr>
        <w:t>Nakamura</w:t>
      </w:r>
      <w:r>
        <w:t xml:space="preserve">, serving under the </w:t>
      </w:r>
      <w:r>
        <w:rPr>
          <w:rStyle w:val="35"/>
        </w:rPr>
        <w:t>Hydro-Resource Armada</w:t>
      </w:r>
      <w:r>
        <w:t>.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35"/>
        </w:rPr>
        <w:t>Tenri Security Base (Nara)</w:t>
      </w:r>
      <w:r>
        <w:t xml:space="preserve"> — </w:t>
      </w:r>
      <w:r>
        <w:rPr>
          <w:rStyle w:val="35"/>
        </w:rPr>
        <w:t>Verdant Guard</w:t>
      </w:r>
      <w:r>
        <w:t xml:space="preserve"> installation. </w:t>
      </w:r>
      <w:r>
        <w:rPr>
          <w:rStyle w:val="35"/>
        </w:rPr>
        <w:t>Confirmed destroyed.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35"/>
        </w:rPr>
        <w:t>Hikone Defense Base (Shiga)</w:t>
      </w:r>
      <w:r>
        <w:t xml:space="preserve"> — </w:t>
      </w:r>
      <w:r>
        <w:rPr>
          <w:rStyle w:val="35"/>
        </w:rPr>
        <w:t>Territorial Pacification Vanguard</w:t>
      </w:r>
      <w:r>
        <w:t xml:space="preserve"> stronghold approximately </w:t>
      </w:r>
      <w:r>
        <w:rPr>
          <w:rStyle w:val="35"/>
        </w:rPr>
        <w:t>120 kilometers away</w:t>
      </w:r>
      <w:r>
        <w:t>.</w:t>
      </w:r>
    </w:p>
    <w:p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bidi w:val="0"/>
      </w:pPr>
      <w:bookmarkStart w:id="6" w:name="_Toc14203"/>
      <w:r>
        <w:t>II. Societal Caste Hierarchy</w:t>
      </w:r>
      <w:bookmarkEnd w:id="6"/>
    </w:p>
    <w:p>
      <w:pPr>
        <w:pStyle w:val="30"/>
        <w:keepNext w:val="0"/>
        <w:keepLines w:val="0"/>
        <w:widowControl/>
        <w:suppressLineNumbers w:val="0"/>
      </w:pPr>
      <w:r>
        <w:t xml:space="preserve">Long before the collapse, humanity had already stopped organizing itself by wealth alone. What mattered was </w:t>
      </w:r>
      <w:r>
        <w:rPr>
          <w:rStyle w:val="35"/>
        </w:rPr>
        <w:t>biological reality</w:t>
      </w:r>
      <w:r>
        <w:t xml:space="preserve">—how real, how natural, how </w:t>
      </w:r>
      <w:r>
        <w:rPr>
          <w:rStyle w:val="34"/>
        </w:rPr>
        <w:t>human</w:t>
      </w:r>
      <w:r>
        <w:t xml:space="preserve"> your daily life was still permitted to be.</w:t>
      </w:r>
    </w:p>
    <w:p>
      <w:pPr>
        <w:pStyle w:val="30"/>
        <w:keepNext w:val="0"/>
        <w:keepLines w:val="0"/>
        <w:widowControl/>
        <w:suppressLineNumbers w:val="0"/>
        <w:ind w:left="720"/>
      </w:pPr>
      <w:r>
        <w:rPr>
          <w:rStyle w:val="35"/>
        </w:rPr>
        <w:t>Class 4 — The Foundation</w:t>
      </w:r>
      <w:r>
        <w:t xml:space="preserve"> </w:t>
      </w:r>
      <w:r>
        <w:rPr>
          <w:rStyle w:val="34"/>
        </w:rPr>
        <w:t>(≈</w:t>
      </w:r>
      <w:r>
        <w:rPr>
          <w:rStyle w:val="34"/>
          <w:rFonts w:hint="default"/>
          <w:lang w:val="en-IN"/>
        </w:rPr>
        <w:t>95</w:t>
      </w:r>
      <w:r>
        <w:rPr>
          <w:rStyle w:val="34"/>
        </w:rPr>
        <w:t>% of the population)</w:t>
      </w:r>
      <w:r>
        <w:t xml:space="preserve"> Standardized, synthetic, comfortable. Guaranteed housing, work, and food—entirely lab-made. Kael's world, before the Awakening.</w:t>
      </w:r>
    </w:p>
    <w:p>
      <w:pPr>
        <w:pStyle w:val="30"/>
        <w:keepNext w:val="0"/>
        <w:keepLines w:val="0"/>
        <w:widowControl/>
        <w:suppressLineNumbers w:val="0"/>
        <w:ind w:left="720"/>
      </w:pPr>
      <w:r>
        <w:rPr>
          <w:rStyle w:val="35"/>
        </w:rPr>
        <w:t>Class 3 — The Enterprise Sector</w:t>
      </w:r>
      <w:r>
        <w:t xml:space="preserve"> </w:t>
      </w:r>
      <w:r>
        <w:rPr>
          <w:rStyle w:val="34"/>
        </w:rPr>
        <w:t>(≈</w:t>
      </w:r>
      <w:r>
        <w:rPr>
          <w:rStyle w:val="34"/>
          <w:rFonts w:hint="default"/>
          <w:lang w:val="en-IN"/>
        </w:rPr>
        <w:t>4.9</w:t>
      </w:r>
      <w:r>
        <w:rPr>
          <w:rStyle w:val="34"/>
        </w:rPr>
        <w:t>%)</w:t>
      </w:r>
      <w:r>
        <w:t xml:space="preserve"> Industrialists and corporate managers. Premium synthetic food, engineered to look and taste real. Immense wealth, no real political power.</w:t>
      </w:r>
    </w:p>
    <w:p>
      <w:pPr>
        <w:pStyle w:val="30"/>
        <w:keepNext w:val="0"/>
        <w:keepLines w:val="0"/>
        <w:widowControl/>
        <w:suppressLineNumbers w:val="0"/>
        <w:ind w:left="720"/>
      </w:pPr>
      <w:r>
        <w:rPr>
          <w:rStyle w:val="35"/>
        </w:rPr>
        <w:t>Class 2 — The Directorate</w:t>
      </w:r>
      <w:r>
        <w:t xml:space="preserve"> </w:t>
      </w:r>
      <w:r>
        <w:rPr>
          <w:rStyle w:val="34"/>
        </w:rPr>
        <w:t>(≈</w:t>
      </w:r>
      <w:r>
        <w:rPr>
          <w:rStyle w:val="34"/>
          <w:rFonts w:hint="default"/>
          <w:lang w:val="en-IN"/>
        </w:rPr>
        <w:t>0.1</w:t>
      </w:r>
      <w:r>
        <w:rPr>
          <w:rStyle w:val="34"/>
        </w:rPr>
        <w:t>%)</w:t>
      </w:r>
      <w:r>
        <w:t xml:space="preserve"> Judges, governors, generals, intelligence directors. Split internally: lower officials remained on synthetic rations, while high-level officials alone were granted access to the </w:t>
      </w:r>
      <w:r>
        <w:rPr>
          <w:rStyle w:val="35"/>
        </w:rPr>
        <w:t>Biosphere Rations</w:t>
      </w:r>
      <w:r>
        <w:t>—real, soil-grown food.</w:t>
      </w:r>
    </w:p>
    <w:p>
      <w:pPr>
        <w:pStyle w:val="30"/>
        <w:keepNext w:val="0"/>
        <w:keepLines w:val="0"/>
        <w:widowControl/>
        <w:suppressLineNumbers w:val="0"/>
        <w:ind w:left="720"/>
      </w:pPr>
      <w:r>
        <w:rPr>
          <w:rStyle w:val="35"/>
        </w:rPr>
        <w:t>Class 1 — The Sovereign Elite</w:t>
      </w:r>
      <w:r>
        <w:t xml:space="preserve"> </w:t>
      </w:r>
      <w:r>
        <w:rPr>
          <w:rStyle w:val="34"/>
        </w:rPr>
        <w:t>(≈0.</w:t>
      </w:r>
      <w:r>
        <w:rPr>
          <w:rStyle w:val="34"/>
          <w:rFonts w:hint="default"/>
          <w:lang w:val="en-IN"/>
        </w:rPr>
        <w:t>0</w:t>
      </w:r>
      <w:r>
        <w:rPr>
          <w:rStyle w:val="34"/>
        </w:rPr>
        <w:t>1%)</w:t>
      </w:r>
      <w:r>
        <w:t xml:space="preserve"> Global chancellors, hereditary megacorp owners, top military command. Lived within sealed </w:t>
      </w:r>
      <w:r>
        <w:rPr>
          <w:rStyle w:val="35"/>
        </w:rPr>
        <w:t>Eden Enclaves</w:t>
      </w:r>
      <w:r>
        <w:t>, with fully organic diets and simulated natural environments.</w:t>
      </w:r>
    </w:p>
    <w:p>
      <w:pPr>
        <w:pStyle w:val="30"/>
        <w:keepNext w:val="0"/>
        <w:keepLines w:val="0"/>
        <w:widowControl/>
        <w:suppressLineNumbers w:val="0"/>
      </w:pPr>
      <w:r>
        <w:t>Every privilege the archive had shown so far—flight altitude, medical access, food—traced back to this same ladder.</w:t>
      </w:r>
    </w:p>
    <w:p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bidi w:val="0"/>
      </w:pPr>
      <w:bookmarkStart w:id="7" w:name="_Toc24004"/>
      <w:r>
        <w:t>III. Sovereign Education Architecture</w:t>
      </w:r>
      <w:bookmarkEnd w:id="7"/>
    </w:p>
    <w:p>
      <w:pPr>
        <w:pStyle w:val="30"/>
        <w:keepNext w:val="0"/>
        <w:keepLines w:val="0"/>
        <w:widowControl/>
        <w:suppressLineNumbers w:val="0"/>
      </w:pPr>
      <w:r>
        <w:t xml:space="preserve">Every citizen passed through the same </w:t>
      </w:r>
      <w:r>
        <w:rPr>
          <w:rStyle w:val="35"/>
        </w:rPr>
        <w:t>Foundation Academies</w:t>
      </w:r>
      <w:r>
        <w:t xml:space="preserve">, grades 1 through 12, ending in a </w:t>
      </w:r>
      <w:r>
        <w:rPr>
          <w:rStyle w:val="35"/>
        </w:rPr>
        <w:t>Global Metric Baseline (GMB)</w:t>
      </w:r>
      <w:r>
        <w:t xml:space="preserve"> score out of 1,500. That score decided which of four college tiers a person entered.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35"/>
        </w:rPr>
        <w:t>Tier 1 (Apex)</w:t>
      </w:r>
      <w:r>
        <w:t xml:space="preserve"> — 1300–1500 points. Macro/global-scale training.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35"/>
        </w:rPr>
        <w:t>Tier 2 (High)</w:t>
      </w:r>
      <w:r>
        <w:t xml:space="preserve"> — 1000–1299 points. Regional/corporate-scale training.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35"/>
        </w:rPr>
        <w:t>Tier 3 (Mid)</w:t>
      </w:r>
      <w:r>
        <w:t xml:space="preserve"> — 600–999 points. Community/local-scale training.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35"/>
        </w:rPr>
        <w:t>Tier 4 (Common)</w:t>
      </w:r>
      <w:r>
        <w:t xml:space="preserve"> — Under 600 points. Domestic/routine-scale training.</w:t>
      </w:r>
    </w:p>
    <w:p>
      <w:pPr>
        <w:pStyle w:val="30"/>
        <w:keepNext w:val="0"/>
        <w:keepLines w:val="0"/>
        <w:widowControl/>
        <w:suppressLineNumbers w:val="0"/>
      </w:pPr>
      <w:r>
        <w:t xml:space="preserve">Every tier taught the same eight foundational disciplines—only the depth, scale, and technology available differed. Among them: </w:t>
      </w:r>
      <w:r>
        <w:rPr>
          <w:rStyle w:val="35"/>
        </w:rPr>
        <w:t>Techno-Symbiosis &amp; Compute Mechanics</w:t>
      </w:r>
      <w:r>
        <w:t>, the discipline governing programming, AI coordination, and hardware systems.</w:t>
      </w:r>
    </w:p>
    <w:p>
      <w:pPr>
        <w:pStyle w:val="30"/>
        <w:keepNext w:val="0"/>
        <w:keepLines w:val="0"/>
        <w:widowControl/>
        <w:suppressLineNumbers w:val="0"/>
      </w:pPr>
      <w:r>
        <w:rPr>
          <w:rStyle w:val="35"/>
        </w:rPr>
        <w:t>Kael</w:t>
      </w:r>
      <w:r>
        <w:t xml:space="preserve"> and </w:t>
      </w:r>
      <w:r>
        <w:rPr>
          <w:rStyle w:val="35"/>
        </w:rPr>
        <w:t>Hirota</w:t>
      </w:r>
      <w:r>
        <w:t xml:space="preserve"> had both scored into </w:t>
      </w:r>
      <w:r>
        <w:rPr>
          <w:rStyle w:val="35"/>
        </w:rPr>
        <w:t>Tier 2</w:t>
      </w:r>
      <w:r>
        <w:t xml:space="preserve">, enrolled at </w:t>
      </w:r>
      <w:r>
        <w:rPr>
          <w:rStyle w:val="35"/>
        </w:rPr>
        <w:t>Osaka Metaverse College</w:t>
      </w:r>
      <w:r>
        <w:t xml:space="preserve">—one of many colleges offering the standard curriculum, but among the highest-scoring institutions permitted to teach it at regional scale. Both had specialized in the </w:t>
      </w:r>
      <w:r>
        <w:rPr>
          <w:rStyle w:val="35"/>
        </w:rPr>
        <w:t>Cybernetics Department</w:t>
      </w:r>
      <w:r>
        <w:t>, within Techno-Symbiosis &amp; Compute Mechanics: at Tier 2, this meant advanced prompt architecture, full-stack cyber-defense orchestration, and forensic auditing of corrupted or biased code. Neither of them had known, a month ago, how little of it would matter now.</w:t>
      </w:r>
    </w:p>
    <w:p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bidi w:val="0"/>
      </w:pPr>
      <w:bookmarkStart w:id="8" w:name="_Toc17993"/>
      <w:r>
        <w:t>IV. Transit Systems</w:t>
      </w:r>
      <w:bookmarkEnd w:id="8"/>
    </w:p>
    <w:p>
      <w:pPr>
        <w:pStyle w:val="30"/>
        <w:keepNext w:val="0"/>
        <w:keepLines w:val="0"/>
        <w:widowControl/>
        <w:suppressLineNumbers w:val="0"/>
      </w:pPr>
      <w:r>
        <w:t>Ground vehicles no longer used wheels.</w:t>
      </w:r>
    </w:p>
    <w:p>
      <w:pPr>
        <w:pStyle w:val="30"/>
        <w:keepNext w:val="0"/>
        <w:keepLines w:val="0"/>
        <w:widowControl/>
        <w:suppressLineNumbers w:val="0"/>
      </w:pPr>
      <w:r>
        <w:t xml:space="preserve">Every civilian and military vehicle operated through </w:t>
      </w:r>
      <w:r>
        <w:rPr>
          <w:rStyle w:val="35"/>
        </w:rPr>
        <w:t>magnetic levitation</w:t>
      </w:r>
      <w:r>
        <w:t xml:space="preserve">, using </w:t>
      </w:r>
      <w:r>
        <w:rPr>
          <w:rStyle w:val="35"/>
        </w:rPr>
        <w:t>repulsor systems</w:t>
      </w:r>
      <w:r>
        <w:t xml:space="preserve"> instead of tires and powered by either </w:t>
      </w:r>
      <w:r>
        <w:rPr>
          <w:rStyle w:val="35"/>
        </w:rPr>
        <w:t>hydrogen cells</w:t>
      </w:r>
      <w:r>
        <w:t xml:space="preserve"> or </w:t>
      </w:r>
      <w:r>
        <w:rPr>
          <w:rStyle w:val="35"/>
        </w:rPr>
        <w:t>fusion cores</w:t>
      </w:r>
      <w:r>
        <w:t>.</w:t>
      </w:r>
    </w:p>
    <w:p>
      <w:pPr>
        <w:pStyle w:val="30"/>
        <w:keepNext w:val="0"/>
        <w:keepLines w:val="0"/>
        <w:widowControl/>
        <w:suppressLineNumbers w:val="0"/>
      </w:pPr>
    </w:p>
    <w:p>
      <w:pPr>
        <w:pStyle w:val="4"/>
        <w:keepNext w:val="0"/>
        <w:keepLines w:val="0"/>
        <w:widowControl/>
        <w:suppressLineNumbers w:val="0"/>
      </w:pPr>
      <w:bookmarkStart w:id="9" w:name="_Toc28687"/>
      <w:r>
        <w:rPr>
          <w:rStyle w:val="35"/>
          <w:b w:val="0"/>
          <w:bCs w:val="0"/>
        </w:rPr>
        <w:t>Vehicle Classes</w:t>
      </w:r>
      <w:bookmarkEnd w:id="9"/>
    </w:p>
    <w:p>
      <w:pPr>
        <w:pStyle w:val="5"/>
        <w:keepNext w:val="0"/>
        <w:keepLines w:val="0"/>
        <w:widowControl/>
        <w:suppressLineNumbers w:val="0"/>
      </w:pPr>
      <w:r>
        <w:rPr>
          <w:rStyle w:val="35"/>
          <w:b w:val="0"/>
          <w:bCs w:val="0"/>
        </w:rPr>
        <w:t>Aero-Striders</w:t>
      </w:r>
    </w:p>
    <w:p>
      <w:pPr>
        <w:pStyle w:val="30"/>
        <w:keepNext w:val="0"/>
        <w:keepLines w:val="0"/>
        <w:widowControl/>
        <w:suppressLineNumbers w:val="0"/>
      </w:pPr>
      <w:r>
        <w:t>Single-rider flying vehicles.</w:t>
      </w:r>
    </w:p>
    <w:p>
      <w:pPr>
        <w:pStyle w:val="30"/>
        <w:keepNext w:val="0"/>
        <w:keepLines w:val="0"/>
        <w:widowControl/>
        <w:suppressLineNumbers w:val="0"/>
      </w:pPr>
      <w:r>
        <w:t>Models ranged from: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35"/>
        </w:rPr>
        <w:t>Drifter</w:t>
      </w:r>
      <w:r>
        <w:t xml:space="preserve"> — Disposable low-altitude commuter available to ordinary citizens.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Style w:val="35"/>
        </w:rPr>
      </w:pPr>
      <w:r>
        <w:t>Higher-tier corporate and government models with progressively greater altitude and speed privileges.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35"/>
          <w:b w:val="0"/>
          <w:bCs w:val="0"/>
        </w:rPr>
        <w:t>Aero-Cruisers</w:t>
      </w:r>
    </w:p>
    <w:p>
      <w:pPr>
        <w:pStyle w:val="30"/>
        <w:keepNext w:val="0"/>
        <w:keepLines w:val="0"/>
        <w:widowControl/>
        <w:suppressLineNumbers w:val="0"/>
      </w:pPr>
      <w:r>
        <w:t>Multi-passenger aircraft used for: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Public transportation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Freight transport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Armored civilian carriers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Military troop deployment</w:t>
      </w:r>
    </w:p>
    <w:p>
      <w:pPr>
        <w:pStyle w:val="30"/>
        <w:keepNext w:val="0"/>
        <w:keepLines w:val="0"/>
        <w:widowControl/>
        <w:suppressLineNumbers w:val="0"/>
      </w:pPr>
      <w:r>
        <w:rPr>
          <w:rStyle w:val="35"/>
        </w:rPr>
        <w:t>Flight altitude itself was a privilege.</w:t>
      </w:r>
    </w:p>
    <w:p>
      <w:pPr>
        <w:pStyle w:val="30"/>
        <w:keepNext w:val="0"/>
        <w:keepLines w:val="0"/>
        <w:widowControl/>
        <w:suppressLineNumbers w:val="0"/>
      </w:pPr>
      <w:r>
        <w:t>The higher a citizen's social status, the higher they were legally permitted to fly.</w:t>
      </w:r>
    </w:p>
    <w:p>
      <w:pPr>
        <w:pStyle w:val="30"/>
        <w:keepNext w:val="0"/>
        <w:keepLines w:val="0"/>
        <w:widowControl/>
        <w:suppressLineNumbers w:val="0"/>
      </w:pPr>
      <w:r>
        <w:t>Now, none of it functioned.</w:t>
      </w:r>
    </w:p>
    <w:p>
      <w:pPr>
        <w:pStyle w:val="30"/>
        <w:keepNext w:val="0"/>
        <w:keepLines w:val="0"/>
        <w:widowControl/>
        <w:suppressLineNumbers w:val="0"/>
      </w:pPr>
      <w:r>
        <w:t xml:space="preserve">Without the power grid or maintenance infrastructure, every vehicle remaining in the ruins had become </w:t>
      </w:r>
      <w:r>
        <w:rPr>
          <w:rStyle w:val="35"/>
        </w:rPr>
        <w:t>dead weight</w:t>
      </w:r>
      <w:r>
        <w:t>.</w:t>
      </w:r>
    </w:p>
    <w:p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bidi w:val="0"/>
      </w:pPr>
      <w:bookmarkStart w:id="10" w:name="_Toc10351"/>
      <w:r>
        <w:t>V. Armament</w:t>
      </w:r>
      <w:bookmarkEnd w:id="10"/>
    </w:p>
    <w:p>
      <w:pPr>
        <w:pStyle w:val="30"/>
        <w:keepNext w:val="0"/>
        <w:keepLines w:val="0"/>
        <w:widowControl/>
        <w:suppressLineNumbers w:val="0"/>
      </w:pPr>
      <w:r>
        <w:t xml:space="preserve">Traditional </w:t>
      </w:r>
      <w:r>
        <w:rPr>
          <w:rStyle w:val="35"/>
        </w:rPr>
        <w:t>chemical-propellant firearms</w:t>
      </w:r>
      <w:r>
        <w:t xml:space="preserve"> had disappeared decades before the Collapse.</w:t>
      </w:r>
    </w:p>
    <w:p>
      <w:pPr>
        <w:pStyle w:val="30"/>
        <w:keepNext w:val="0"/>
        <w:keepLines w:val="0"/>
        <w:widowControl/>
        <w:suppressLineNumbers w:val="0"/>
      </w:pPr>
      <w:r>
        <w:t xml:space="preserve">They had been replaced by </w:t>
      </w:r>
      <w:r>
        <w:rPr>
          <w:rStyle w:val="35"/>
        </w:rPr>
        <w:t>energy weapons</w:t>
      </w:r>
      <w:r>
        <w:t xml:space="preserve">, manufactured from </w:t>
      </w:r>
      <w:r>
        <w:rPr>
          <w:rStyle w:val="35"/>
        </w:rPr>
        <w:t>graded energy-core materials</w:t>
      </w:r>
      <w:r>
        <w:t>.</w:t>
      </w:r>
    </w:p>
    <w:p>
      <w:pPr>
        <w:pStyle w:val="4"/>
        <w:keepNext w:val="0"/>
        <w:keepLines w:val="0"/>
        <w:widowControl/>
        <w:suppressLineNumbers w:val="0"/>
      </w:pPr>
      <w:bookmarkStart w:id="11" w:name="_Toc32549"/>
      <w:r>
        <w:rPr>
          <w:rStyle w:val="35"/>
          <w:b w:val="0"/>
          <w:bCs w:val="0"/>
        </w:rPr>
        <w:t>Known Weapon Types</w:t>
      </w:r>
      <w:bookmarkEnd w:id="11"/>
    </w:p>
    <w:p>
      <w:pPr>
        <w:pStyle w:val="30"/>
        <w:keepNext w:val="0"/>
        <w:keepLines w:val="0"/>
        <w:widowControl/>
        <w:suppressLineNumbers w:val="0"/>
        <w:ind w:left="720"/>
      </w:pPr>
      <w:r>
        <w:rPr>
          <w:rStyle w:val="35"/>
        </w:rPr>
        <w:t>Pulse Guns</w:t>
      </w:r>
      <w:r>
        <w:t xml:space="preserve"> </w:t>
      </w:r>
      <w:r>
        <w:rPr>
          <w:rStyle w:val="34"/>
        </w:rPr>
        <w:t>(Maya's weapon)</w:t>
      </w:r>
      <w:r>
        <w:t xml:space="preserve"> Standard civilian and retired-personnel firearm. Reliable, but dependent on limited energy cells.</w:t>
      </w:r>
    </w:p>
    <w:p>
      <w:pPr>
        <w:pStyle w:val="30"/>
        <w:keepNext w:val="0"/>
        <w:keepLines w:val="0"/>
        <w:widowControl/>
        <w:suppressLineNumbers w:val="0"/>
        <w:ind w:left="720"/>
      </w:pPr>
      <w:r>
        <w:rPr>
          <w:rStyle w:val="35"/>
        </w:rPr>
        <w:t>Electric Batons</w:t>
      </w:r>
      <w:r>
        <w:t xml:space="preserve"> </w:t>
      </w:r>
      <w:r>
        <w:rPr>
          <w:rStyle w:val="34"/>
        </w:rPr>
        <w:t>(Nakamura's weapon)</w:t>
      </w:r>
      <w:r>
        <w:t xml:space="preserve"> Standard close-quarters weapon for security personnel.</w:t>
      </w:r>
    </w:p>
    <w:p>
      <w:pPr>
        <w:pStyle w:val="30"/>
        <w:keepNext w:val="0"/>
        <w:keepLines w:val="0"/>
        <w:widowControl/>
        <w:suppressLineNumbers w:val="0"/>
        <w:ind w:left="720"/>
      </w:pPr>
      <w:r>
        <w:rPr>
          <w:rStyle w:val="35"/>
        </w:rPr>
        <w:t>Directorate-Grade Weapons</w:t>
      </w:r>
      <w:r>
        <w:t xml:space="preserve"> Reserved exclusively for active military personnel and vastly superior to civilian equipment.</w:t>
      </w:r>
    </w:p>
    <w:p>
      <w:pPr>
        <w:pStyle w:val="4"/>
        <w:keepNext w:val="0"/>
        <w:keepLines w:val="0"/>
        <w:widowControl/>
        <w:suppressLineNumbers w:val="0"/>
      </w:pPr>
      <w:bookmarkStart w:id="12" w:name="_Toc22707"/>
      <w:r>
        <w:rPr>
          <w:rStyle w:val="35"/>
          <w:b w:val="0"/>
          <w:bCs w:val="0"/>
        </w:rPr>
        <w:t>Kael's Weapon</w:t>
      </w:r>
      <w:bookmarkEnd w:id="12"/>
    </w:p>
    <w:p>
      <w:pPr>
        <w:pStyle w:val="30"/>
        <w:keepNext w:val="0"/>
        <w:keepLines w:val="0"/>
        <w:widowControl/>
        <w:suppressLineNumbers w:val="0"/>
      </w:pPr>
      <w:r>
        <w:t xml:space="preserve">Kael's spear, forged from </w:t>
      </w:r>
      <w:r>
        <w:rPr>
          <w:rStyle w:val="35"/>
        </w:rPr>
        <w:t>scavenged unrefined alloy</w:t>
      </w:r>
      <w:r>
        <w:t xml:space="preserve">, represented the </w:t>
      </w:r>
      <w:r>
        <w:rPr>
          <w:rStyle w:val="35"/>
        </w:rPr>
        <w:t>lowest technological weapon tier</w:t>
      </w:r>
      <w:r>
        <w:t>.</w:t>
      </w:r>
    </w:p>
    <w:p>
      <w:pPr>
        <w:pStyle w:val="30"/>
        <w:keepNext w:val="0"/>
        <w:keepLines w:val="0"/>
        <w:widowControl/>
        <w:suppressLineNumbers w:val="0"/>
      </w:pPr>
      <w:r>
        <w:t>Anything stronger required advanced materials that no surviving human had yet recovered.</w:t>
      </w:r>
    </w:p>
    <w:p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bidi w:val="0"/>
      </w:pPr>
      <w:bookmarkStart w:id="13" w:name="_Toc23401"/>
      <w:r>
        <w:t>VI. Medical Systems</w:t>
      </w:r>
      <w:bookmarkEnd w:id="13"/>
    </w:p>
    <w:p>
      <w:pPr>
        <w:pStyle w:val="30"/>
        <w:keepNext w:val="0"/>
        <w:keepLines w:val="0"/>
        <w:widowControl/>
        <w:suppressLineNumbers w:val="0"/>
      </w:pPr>
      <w:r>
        <w:t xml:space="preserve">Civilian emergency medicine centered around compact </w:t>
      </w:r>
      <w:r>
        <w:rPr>
          <w:rStyle w:val="35"/>
        </w:rPr>
        <w:t>Field Medical Kits</w:t>
      </w:r>
      <w:r>
        <w:t xml:space="preserve">, like the one carried by </w:t>
      </w:r>
      <w:r>
        <w:rPr>
          <w:rStyle w:val="35"/>
        </w:rPr>
        <w:t>Maya</w:t>
      </w:r>
      <w:r>
        <w:t>.</w:t>
      </w:r>
    </w:p>
    <w:p>
      <w:pPr>
        <w:pStyle w:val="30"/>
        <w:keepNext w:val="0"/>
        <w:keepLines w:val="0"/>
        <w:widowControl/>
        <w:suppressLineNumbers w:val="0"/>
      </w:pPr>
      <w:r>
        <w:t>Capabilities included: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35"/>
        </w:rPr>
        <w:t>Diagnostic scanning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35"/>
        </w:rPr>
        <w:t>Guided treatment protocols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35"/>
        </w:rPr>
        <w:t>Adaptive medical bandages</w:t>
      </w:r>
      <w:r>
        <w:t xml:space="preserve"> capable of sealing wounds immediately while administering treatment</w:t>
      </w:r>
    </w:p>
    <w:p>
      <w:pPr>
        <w:pStyle w:val="30"/>
        <w:keepNext w:val="0"/>
        <w:keepLines w:val="0"/>
        <w:widowControl/>
        <w:suppressLineNumbers w:val="0"/>
      </w:pPr>
      <w:r>
        <w:t>This represented the highest level of healthcare available to ordinary citizens.</w:t>
      </w:r>
    </w:p>
    <w:p>
      <w:pPr>
        <w:pStyle w:val="30"/>
        <w:keepNext w:val="0"/>
        <w:keepLines w:val="0"/>
        <w:widowControl/>
        <w:suppressLineNumbers w:val="0"/>
      </w:pPr>
      <w:r>
        <w:t xml:space="preserve">True </w:t>
      </w:r>
      <w:r>
        <w:rPr>
          <w:rStyle w:val="35"/>
        </w:rPr>
        <w:t>Regenerative Medicine</w:t>
      </w:r>
      <w:r>
        <w:t xml:space="preserve">—technology capable of rebuilding damaged tissue instead of merely stabilizing injuries—had always been restricted to the highest levels of </w:t>
      </w:r>
      <w:r>
        <w:rPr>
          <w:rStyle w:val="35"/>
        </w:rPr>
        <w:t>government</w:t>
      </w:r>
      <w:r>
        <w:t xml:space="preserve"> and </w:t>
      </w:r>
      <w:r>
        <w:rPr>
          <w:rStyle w:val="35"/>
        </w:rPr>
        <w:t>corporate authority</w:t>
      </w:r>
      <w:r>
        <w:t>.</w:t>
      </w:r>
    </w:p>
    <w:p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bidi w:val="0"/>
      </w:pPr>
      <w:bookmarkStart w:id="14" w:name="_Toc27602"/>
      <w:r>
        <w:t>VII. Food Classification</w:t>
      </w:r>
      <w:bookmarkEnd w:id="14"/>
    </w:p>
    <w:p>
      <w:pPr>
        <w:pStyle w:val="30"/>
        <w:keepNext w:val="0"/>
        <w:keepLines w:val="0"/>
        <w:widowControl/>
        <w:suppressLineNumbers w:val="0"/>
      </w:pPr>
      <w:r>
        <w:t xml:space="preserve">For over </w:t>
      </w:r>
      <w:r>
        <w:rPr>
          <w:rStyle w:val="35"/>
        </w:rPr>
        <w:t>fifty years</w:t>
      </w:r>
      <w:r>
        <w:t xml:space="preserve">, the overwhelming majority of humanity survived entirely on </w:t>
      </w:r>
      <w:r>
        <w:rPr>
          <w:rStyle w:val="35"/>
        </w:rPr>
        <w:t>synthetic food</w:t>
      </w:r>
      <w:r>
        <w:t>.</w:t>
      </w:r>
    </w:p>
    <w:p>
      <w:pPr>
        <w:pStyle w:val="30"/>
        <w:keepNext w:val="0"/>
        <w:keepLines w:val="0"/>
        <w:widowControl/>
        <w:suppressLineNumbers w:val="0"/>
      </w:pPr>
      <w:r>
        <w:t>Common examples included: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35"/>
        </w:rPr>
        <w:t>Nutrient Pods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35"/>
        </w:rPr>
        <w:t>Protein Slabs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35"/>
        </w:rPr>
        <w:t>Automated Synthetic Meals</w:t>
      </w:r>
    </w:p>
    <w:p>
      <w:pPr>
        <w:pStyle w:val="30"/>
        <w:keepNext w:val="0"/>
        <w:keepLines w:val="0"/>
        <w:widowControl/>
        <w:suppressLineNumbers w:val="0"/>
      </w:pPr>
      <w:r>
        <w:t>These were engineered to imitate flavors that most living citizens had never experienced naturally.</w:t>
      </w:r>
    </w:p>
    <w:p>
      <w:pPr>
        <w:pStyle w:val="4"/>
        <w:keepNext w:val="0"/>
        <w:keepLines w:val="0"/>
        <w:widowControl/>
        <w:suppressLineNumbers w:val="0"/>
      </w:pPr>
      <w:bookmarkStart w:id="15" w:name="_Toc23785"/>
      <w:r>
        <w:rPr>
          <w:rStyle w:val="35"/>
          <w:b w:val="0"/>
          <w:bCs w:val="0"/>
        </w:rPr>
        <w:t>Real Food</w:t>
      </w:r>
      <w:bookmarkEnd w:id="15"/>
    </w:p>
    <w:p>
      <w:pPr>
        <w:pStyle w:val="30"/>
        <w:keepNext w:val="0"/>
        <w:keepLines w:val="0"/>
        <w:widowControl/>
        <w:suppressLineNumbers w:val="0"/>
      </w:pPr>
      <w:r>
        <w:t>Authentic food still existed before the Collapse, but it was tightly controlled.</w:t>
      </w:r>
    </w:p>
    <w:p>
      <w:pPr>
        <w:pStyle w:val="30"/>
        <w:keepNext w:val="0"/>
        <w:keepLines w:val="0"/>
        <w:widowControl/>
        <w:suppressLineNumbers w:val="0"/>
      </w:pPr>
      <w:r>
        <w:t>Distribution followed the same hierarchy governing: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35"/>
        </w:rPr>
        <w:t>Flight privileges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35"/>
        </w:rPr>
        <w:t>Medical access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35"/>
        </w:rPr>
        <w:t>Government authority</w:t>
      </w:r>
    </w:p>
    <w:p>
      <w:pPr>
        <w:pStyle w:val="30"/>
        <w:keepNext w:val="0"/>
        <w:keepLines w:val="0"/>
        <w:widowControl/>
        <w:suppressLineNumbers w:val="0"/>
      </w:pPr>
      <w:r>
        <w:t>The higher one's social standing, the greater their access to genuine food.</w:t>
      </w:r>
    </w:p>
    <w:p>
      <w:pPr>
        <w:pStyle w:val="30"/>
        <w:keepNext w:val="0"/>
        <w:keepLines w:val="0"/>
        <w:widowControl/>
        <w:suppressLineNumbers w:val="0"/>
      </w:pPr>
      <w:r>
        <w:t>At the highest levels of power, real food became almost exclusive.</w:t>
      </w:r>
    </w:p>
    <w:p>
      <w:pPr>
        <w:pStyle w:val="4"/>
        <w:keepNext w:val="0"/>
        <w:keepLines w:val="0"/>
        <w:widowControl/>
        <w:suppressLineNumbers w:val="0"/>
      </w:pPr>
      <w:bookmarkStart w:id="16" w:name="_Toc7905"/>
      <w:r>
        <w:rPr>
          <w:rStyle w:val="35"/>
          <w:b w:val="0"/>
          <w:bCs w:val="0"/>
        </w:rPr>
        <w:t>Unknown Classification</w:t>
      </w:r>
      <w:bookmarkEnd w:id="16"/>
    </w:p>
    <w:p>
      <w:pPr>
        <w:pStyle w:val="30"/>
        <w:keepNext w:val="0"/>
        <w:keepLines w:val="0"/>
        <w:widowControl/>
        <w:suppressLineNumbers w:val="0"/>
      </w:pPr>
      <w:r>
        <w:t>The meat Kael had eaten in the ruins fit neither known category.</w:t>
      </w:r>
    </w:p>
    <w:p>
      <w:pPr>
        <w:pStyle w:val="30"/>
        <w:keepNext w:val="0"/>
        <w:keepLines w:val="0"/>
        <w:widowControl/>
        <w:suppressLineNumbers w:val="0"/>
      </w:pPr>
      <w:r>
        <w:t>It was:</w:t>
      </w:r>
    </w:p>
    <w:p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35"/>
        </w:rPr>
        <w:t>Not synthetic</w:t>
      </w:r>
    </w:p>
    <w:p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35"/>
        </w:rPr>
        <w:t>Not verified as safe by IRIS</w:t>
      </w:r>
    </w:p>
    <w:p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35"/>
        </w:rPr>
        <w:t>Unlike any food recorded before the Collapse</w:t>
      </w:r>
    </w:p>
    <w:p>
      <w:pPr>
        <w:pStyle w:val="30"/>
        <w:keepNext w:val="0"/>
        <w:keepLines w:val="0"/>
        <w:widowControl/>
        <w:suppressLineNumbers w:val="0"/>
      </w:pPr>
      <w:r>
        <w:t>It belonged to something entirely new—something the old world's classification systems had never anticipated.</w:t>
      </w:r>
    </w:p>
    <w:p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bidi w:val="0"/>
        <w:rPr>
          <w:b/>
          <w:bCs/>
        </w:rPr>
      </w:pPr>
      <w:r>
        <w:rPr>
          <w:b/>
          <w:bCs/>
        </w:rPr>
        <w:t>End of Archive</w:t>
      </w:r>
    </w:p>
    <w:p>
      <w:pPr>
        <w:pStyle w:val="30"/>
        <w:keepNext w:val="0"/>
        <w:keepLines w:val="0"/>
        <w:widowControl/>
        <w:suppressLineNumbers w:val="0"/>
        <w:rPr>
          <w:rFonts w:hint="default"/>
          <w:lang w:val="en-IN"/>
        </w:rPr>
      </w:pPr>
      <w:r>
        <w:t xml:space="preserve">The light faded from </w:t>
      </w:r>
      <w:r>
        <w:rPr>
          <w:rStyle w:val="35"/>
        </w:rPr>
        <w:t>Kael's wrist</w:t>
      </w:r>
      <w:r>
        <w:t>.</w:t>
      </w:r>
    </w:p>
    <w:p>
      <w:bookmarkStart w:id="17" w:name="_GoBack"/>
      <w:bookmarkEnd w:id="17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MT Extra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mbria">
    <w:altName w:val="FreeSerif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Droid Sans Fallback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Droid Sans Fallback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MT Extra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Phetsarath OT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ubbi">
    <w:panose1 w:val="00000400000000000000"/>
    <w:charset w:val="00"/>
    <w:family w:val="auto"/>
    <w:pitch w:val="default"/>
    <w:sig w:usb0="004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FreeSerif">
    <w:panose1 w:val="02020603050405020304"/>
    <w:charset w:val="00"/>
    <w:family w:val="auto"/>
    <w:pitch w:val="default"/>
    <w:sig w:usb0="E59FAFFF" w:usb1="C200FDFF" w:usb2="43501B29" w:usb3="04000043" w:csb0="600101FF" w:csb1="FFFF0000"/>
  </w:font>
  <w:font w:name="Microsoft YaHei">
    <w:altName w:val="Droid Sans Fallbac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akar">
    <w:panose1 w:val="02000600040000000000"/>
    <w:charset w:val="00"/>
    <w:family w:val="auto"/>
    <w:pitch w:val="default"/>
    <w:sig w:usb0="80040001" w:usb1="00002000" w:usb2="00000000" w:usb3="00000000" w:csb0="20000000" w:csb1="80000000"/>
  </w:font>
  <w:font w:name="Segoe UI">
    <w:altName w:val="FreeSans"/>
    <w:panose1 w:val="020B0502040204020203"/>
    <w:charset w:val="00"/>
    <w:family w:val="auto"/>
    <w:pitch w:val="default"/>
    <w:sig w:usb0="00000000" w:usb1="00000000" w:usb2="00000009" w:usb3="00000000" w:csb0="200001FF" w:csb1="00000000"/>
  </w:font>
  <w:font w:name="Segoe UI Variable Display">
    <w:altName w:val="Gubbi"/>
    <w:panose1 w:val="00000000000000000000"/>
    <w:charset w:val="00"/>
    <w:family w:val="auto"/>
    <w:pitch w:val="default"/>
    <w:sig w:usb0="00000000" w:usb1="00000000" w:usb2="00000000" w:usb3="00000000" w:csb0="2000019F" w:csb1="00000000"/>
  </w:font>
  <w:font w:name="ＭＳ ゴシック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atha">
    <w:altName w:val="Garuda"/>
    <w:panose1 w:val="020B0604020202020204"/>
    <w:charset w:val="00"/>
    <w:family w:val="swiss"/>
    <w:pitch w:val="default"/>
    <w:sig w:usb0="00000000" w:usb1="00000000" w:usb2="00000000" w:usb3="00000000" w:csb0="00000001" w:csb1="00000000"/>
  </w:font>
  <w:font w:name="DejaVa Sans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T Extra">
    <w:panose1 w:val="05050102010205020202"/>
    <w:charset w:val="00"/>
    <w:family w:val="auto"/>
    <w:pitch w:val="default"/>
    <w:sig w:usb0="8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A4B1BB49"/>
    <w:multiLevelType w:val="multilevel"/>
    <w:tmpl w:val="A4B1BB4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95F90EE"/>
    <w:multiLevelType w:val="multilevel"/>
    <w:tmpl w:val="B95F90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C70CC0E1"/>
    <w:multiLevelType w:val="multilevel"/>
    <w:tmpl w:val="C70CC0E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2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27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5">
    <w:nsid w:val="FFFFFF82"/>
    <w:multiLevelType w:val="singleLevel"/>
    <w:tmpl w:val="FFFFFF82"/>
    <w:lvl w:ilvl="0" w:tentative="0">
      <w:start w:val="1"/>
      <w:numFmt w:val="bullet"/>
      <w:pStyle w:val="22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FFFFFF83"/>
    <w:lvl w:ilvl="0" w:tentative="0">
      <w:start w:val="1"/>
      <w:numFmt w:val="bullet"/>
      <w:pStyle w:val="21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FFFFFF88"/>
    <w:lvl w:ilvl="0" w:tentative="0">
      <w:start w:val="1"/>
      <w:numFmt w:val="decimal"/>
      <w:pStyle w:val="26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8">
    <w:nsid w:val="FFFFFF89"/>
    <w:multiLevelType w:val="singleLevel"/>
    <w:tmpl w:val="FFFFFF89"/>
    <w:lvl w:ilvl="0" w:tentative="0">
      <w:start w:val="1"/>
      <w:numFmt w:val="bullet"/>
      <w:pStyle w:val="20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9">
    <w:nsid w:val="061C29A9"/>
    <w:multiLevelType w:val="multilevel"/>
    <w:tmpl w:val="061C29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0AD9A7ED"/>
    <w:multiLevelType w:val="multilevel"/>
    <w:tmpl w:val="0AD9A7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0F0BF9F1"/>
    <w:multiLevelType w:val="multilevel"/>
    <w:tmpl w:val="0F0BF9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2466C08C"/>
    <w:multiLevelType w:val="multilevel"/>
    <w:tmpl w:val="2466C08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3866E0AA"/>
    <w:multiLevelType w:val="multilevel"/>
    <w:tmpl w:val="3866E0A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4BE0BC23"/>
    <w:multiLevelType w:val="multilevel"/>
    <w:tmpl w:val="4BE0BC2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661541DC"/>
    <w:multiLevelType w:val="multilevel"/>
    <w:tmpl w:val="661541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663A161D"/>
    <w:multiLevelType w:val="multilevel"/>
    <w:tmpl w:val="663A161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4"/>
  </w:num>
  <w:num w:numId="6">
    <w:abstractNumId w:val="3"/>
  </w:num>
  <w:num w:numId="7">
    <w:abstractNumId w:val="10"/>
  </w:num>
  <w:num w:numId="8">
    <w:abstractNumId w:val="2"/>
  </w:num>
  <w:num w:numId="9">
    <w:abstractNumId w:val="13"/>
  </w:num>
  <w:num w:numId="10">
    <w:abstractNumId w:val="16"/>
  </w:num>
  <w:num w:numId="11">
    <w:abstractNumId w:val="11"/>
  </w:num>
  <w:num w:numId="12">
    <w:abstractNumId w:val="15"/>
  </w:num>
  <w:num w:numId="13">
    <w:abstractNumId w:val="14"/>
  </w:num>
  <w:num w:numId="14">
    <w:abstractNumId w:val="1"/>
  </w:num>
  <w:num w:numId="15">
    <w:abstractNumId w:val="9"/>
  </w:num>
  <w:num w:numId="16">
    <w:abstractNumId w:val="12"/>
  </w:num>
  <w:num w:numId="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EF5BD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33">
    <w:name w:val="Default Paragraph Font"/>
    <w:semiHidden/>
    <w:unhideWhenUsed/>
    <w:qFormat/>
    <w:uiPriority w:val="1"/>
  </w:style>
  <w:style w:type="table" w:default="1" w:styleId="36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basedOn w:val="1"/>
    <w:link w:val="145"/>
    <w:unhideWhenUsed/>
    <w:qFormat/>
    <w:uiPriority w:val="99"/>
    <w:pPr>
      <w:spacing w:after="120"/>
    </w:pPr>
  </w:style>
  <w:style w:type="paragraph" w:styleId="12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13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4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5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6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18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19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0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1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2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3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4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5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6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7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8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9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0">
    <w:name w:val="Normal (Web)"/>
    <w:unhideWhenUsed/>
    <w:qFormat/>
    <w:uiPriority w:val="99"/>
    <w:pPr>
      <w:spacing w:beforeAutospacing="1" w:after="160" w:afterAutospacing="1" w:line="278" w:lineRule="auto"/>
    </w:pPr>
    <w:rPr>
      <w:rFonts w:ascii="Times New Roman" w:hAnsi="Times New Roman" w:eastAsia="SimSun" w:cs="Latha"/>
      <w:sz w:val="24"/>
      <w:szCs w:val="24"/>
      <w:lang w:val="en-US" w:eastAsia="zh-CN" w:bidi="ta-IN"/>
    </w:rPr>
  </w:style>
  <w:style w:type="paragraph" w:styleId="31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styleId="34">
    <w:name w:val="Emphasis"/>
    <w:basedOn w:val="33"/>
    <w:qFormat/>
    <w:uiPriority w:val="20"/>
    <w:rPr>
      <w:i/>
      <w:iCs/>
    </w:rPr>
  </w:style>
  <w:style w:type="character" w:styleId="35">
    <w:name w:val="Strong"/>
    <w:basedOn w:val="33"/>
    <w:qFormat/>
    <w:uiPriority w:val="22"/>
    <w:rPr>
      <w:b/>
      <w:bCs/>
    </w:rPr>
  </w:style>
  <w:style w:type="table" w:styleId="37">
    <w:name w:val="Table Grid"/>
    <w:basedOn w:val="36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styleId="38">
    <w:name w:val="Light Shading"/>
    <w:basedOn w:val="36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36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36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36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36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36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36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36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36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36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36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36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36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36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36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36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36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36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36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36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36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36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BFBFBF" w:themeFill="text1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36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D3DFEE" w:themeFill="accent1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36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EFD3D3" w:themeFill="accent2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36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E6EED5" w:themeFill="accent3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36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DFD8E8" w:themeFill="accent4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36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D2EAF0" w:themeFill="accent5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36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FDE5D1" w:themeFill="accent6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36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36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36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36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36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36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36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36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>
        <w:tblLayout w:type="fixed"/>
      </w:tblPr>
      <w:tcPr>
        <w:shd w:val="clear" w:color="auto" w:fill="BFBFBF" w:themeFill="text1" w:themeFillTint="3F"/>
      </w:tcPr>
    </w:tblStylePr>
    <w:tblStylePr w:type="band1Horz">
      <w:tblPr>
        <w:tblLayout w:type="fixed"/>
      </w:tblPr>
      <w:tcPr>
        <w:shd w:val="clear" w:color="auto" w:fill="BFBFBF" w:themeFill="text1" w:themeFillTint="3F"/>
      </w:tcPr>
    </w:tblStylePr>
  </w:style>
  <w:style w:type="table" w:styleId="74">
    <w:name w:val="Medium List 1 Accent 1"/>
    <w:basedOn w:val="36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>
        <w:tblLayout w:type="fixed"/>
      </w:tblPr>
      <w:tcPr>
        <w:shd w:val="clear" w:color="auto" w:fill="D3DFEE" w:themeFill="accent1" w:themeFillTint="3F"/>
      </w:tcPr>
    </w:tblStylePr>
    <w:tblStylePr w:type="band1Horz">
      <w:tblPr>
        <w:tblLayout w:type="fixed"/>
      </w:tblPr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36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>
        <w:tblLayout w:type="fixed"/>
      </w:tblPr>
      <w:tcPr>
        <w:shd w:val="clear" w:color="auto" w:fill="EFD3D3" w:themeFill="accent2" w:themeFillTint="3F"/>
      </w:tcPr>
    </w:tblStylePr>
    <w:tblStylePr w:type="band1Horz">
      <w:tblPr>
        <w:tblLayout w:type="fixed"/>
      </w:tblPr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36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>
        <w:tblLayout w:type="fixed"/>
      </w:tblPr>
      <w:tcPr>
        <w:shd w:val="clear" w:color="auto" w:fill="E6EED5" w:themeFill="accent3" w:themeFillTint="3F"/>
      </w:tcPr>
    </w:tblStylePr>
    <w:tblStylePr w:type="band1Horz">
      <w:tblPr>
        <w:tblLayout w:type="fixed"/>
      </w:tblPr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36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>
        <w:tblLayout w:type="fixed"/>
      </w:tblPr>
      <w:tcPr>
        <w:shd w:val="clear" w:color="auto" w:fill="DFD8E8" w:themeFill="accent4" w:themeFillTint="3F"/>
      </w:tcPr>
    </w:tblStylePr>
    <w:tblStylePr w:type="band1Horz">
      <w:tblPr>
        <w:tblLayout w:type="fixed"/>
      </w:tblPr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36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>
        <w:tblLayout w:type="fixed"/>
      </w:tblPr>
      <w:tcPr>
        <w:shd w:val="clear" w:color="auto" w:fill="D2EAF0" w:themeFill="accent5" w:themeFillTint="3F"/>
      </w:tcPr>
    </w:tblStylePr>
    <w:tblStylePr w:type="band1Horz">
      <w:tblPr>
        <w:tblLayout w:type="fixed"/>
      </w:tblPr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36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>
        <w:tblLayout w:type="fixed"/>
      </w:tblPr>
      <w:tcPr>
        <w:shd w:val="clear" w:color="auto" w:fill="FDE5D1" w:themeFill="accent6" w:themeFillTint="3F"/>
      </w:tcPr>
    </w:tblStylePr>
    <w:tblStylePr w:type="band1Horz">
      <w:tblPr>
        <w:tblLayout w:type="fixed"/>
      </w:tblPr>
      <w:tcPr>
        <w:shd w:val="clear" w:color="auto" w:fill="FDE5D1" w:themeFill="accent6" w:themeFillTint="3F"/>
      </w:tcPr>
    </w:tblStylePr>
  </w:style>
  <w:style w:type="table" w:styleId="80">
    <w:name w:val="Medium List 2"/>
    <w:basedOn w:val="36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1">
    <w:name w:val="Medium List 2 Accent 1"/>
    <w:basedOn w:val="36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2">
    <w:name w:val="Medium List 2 Accent 2"/>
    <w:basedOn w:val="36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3">
    <w:name w:val="Medium List 2 Accent 3"/>
    <w:basedOn w:val="36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4">
    <w:name w:val="Medium List 2 Accent 4"/>
    <w:basedOn w:val="36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5">
    <w:name w:val="Medium List 2 Accent 5"/>
    <w:basedOn w:val="36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6">
    <w:name w:val="Medium List 2 Accent 6"/>
    <w:basedOn w:val="36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7">
    <w:name w:val="Medium Grid 1"/>
    <w:basedOn w:val="36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7F7F7F" w:themeFill="text1" w:themeFillTint="7F"/>
      </w:tcPr>
    </w:tblStylePr>
    <w:tblStylePr w:type="band1Horz">
      <w:tblPr>
        <w:tblLayout w:type="fixed"/>
      </w:tblPr>
      <w:tcPr>
        <w:shd w:val="clear" w:color="auto" w:fill="7F7F7F" w:themeFill="text1" w:themeFillTint="7F"/>
      </w:tcPr>
    </w:tblStylePr>
  </w:style>
  <w:style w:type="table" w:styleId="88">
    <w:name w:val="Medium Grid 1 Accent 1"/>
    <w:basedOn w:val="36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A7C0DE" w:themeFill="accent1" w:themeFillTint="7F"/>
      </w:tcPr>
    </w:tblStylePr>
    <w:tblStylePr w:type="band1Horz">
      <w:tblPr>
        <w:tblLayout w:type="fixed"/>
      </w:tblPr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36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DFA7A6" w:themeFill="accent2" w:themeFillTint="7F"/>
      </w:tcPr>
    </w:tblStylePr>
    <w:tblStylePr w:type="band1Horz">
      <w:tblPr>
        <w:tblLayout w:type="fixed"/>
      </w:tblPr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36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CDDDAC" w:themeFill="accent3" w:themeFillTint="7F"/>
      </w:tcPr>
    </w:tblStylePr>
    <w:tblStylePr w:type="band1Horz">
      <w:tblPr>
        <w:tblLayout w:type="fixed"/>
      </w:tblPr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36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BFB1D0" w:themeFill="accent4" w:themeFillTint="7F"/>
      </w:tcPr>
    </w:tblStylePr>
    <w:tblStylePr w:type="band1Horz">
      <w:tblPr>
        <w:tblLayout w:type="fixed"/>
      </w:tblPr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36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A5D5E2" w:themeFill="accent5" w:themeFillTint="7F"/>
      </w:tcPr>
    </w:tblStylePr>
    <w:tblStylePr w:type="band1Horz">
      <w:tblPr>
        <w:tblLayout w:type="fixed"/>
      </w:tblPr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36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FBCAA2" w:themeFill="accent6" w:themeFillTint="7F"/>
      </w:tcPr>
    </w:tblStylePr>
    <w:tblStylePr w:type="band1Horz">
      <w:tblPr>
        <w:tblLayout w:type="fixed"/>
      </w:tblPr>
      <w:tcPr>
        <w:shd w:val="clear" w:color="auto" w:fill="FBCAA2" w:themeFill="accent6" w:themeFillTint="7F"/>
      </w:tcPr>
    </w:tblStylePr>
  </w:style>
  <w:style w:type="table" w:styleId="94">
    <w:name w:val="Medium Grid 2"/>
    <w:basedOn w:val="36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>
        <w:tblLayout w:type="fixed"/>
      </w:tblPr>
      <w:tcPr>
        <w:shd w:val="clear" w:color="auto" w:fill="7F7F7F" w:themeFill="text1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5">
    <w:name w:val="Medium Grid 2 Accent 1"/>
    <w:basedOn w:val="36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>
        <w:tblLayout w:type="fixed"/>
      </w:tblPr>
      <w:tcPr>
        <w:shd w:val="clear" w:color="auto" w:fill="A7C0DE" w:themeFill="accent1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6">
    <w:name w:val="Medium Grid 2 Accent 2"/>
    <w:basedOn w:val="36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>
        <w:tblLayout w:type="fixed"/>
      </w:tblPr>
      <w:tcPr>
        <w:shd w:val="clear" w:color="auto" w:fill="DFA7A6" w:themeFill="accent2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7">
    <w:name w:val="Medium Grid 2 Accent 3"/>
    <w:basedOn w:val="36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>
        <w:tblLayout w:type="fixed"/>
      </w:tblPr>
      <w:tcPr>
        <w:shd w:val="clear" w:color="auto" w:fill="CDDDAC" w:themeFill="accent3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8">
    <w:name w:val="Medium Grid 2 Accent 4"/>
    <w:basedOn w:val="36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>
        <w:tblLayout w:type="fixed"/>
      </w:tblPr>
      <w:tcPr>
        <w:shd w:val="clear" w:color="auto" w:fill="BFB1D0" w:themeFill="accent4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9">
    <w:name w:val="Medium Grid 2 Accent 5"/>
    <w:basedOn w:val="36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>
        <w:tblLayout w:type="fixed"/>
      </w:tblPr>
      <w:tcPr>
        <w:shd w:val="clear" w:color="auto" w:fill="A5D5E2" w:themeFill="accent5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100">
    <w:name w:val="Medium Grid 2 Accent 6"/>
    <w:basedOn w:val="36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>
        <w:tblLayout w:type="fixed"/>
      </w:tblPr>
      <w:tcPr>
        <w:shd w:val="clear" w:color="auto" w:fill="FBCAA2" w:themeFill="accent6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101">
    <w:name w:val="Medium Grid 3"/>
    <w:basedOn w:val="36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36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36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36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36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36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36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36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36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36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36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36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36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36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36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>
        <w:tblLayout w:type="fixed"/>
      </w:tblPr>
      <w:tcPr>
        <w:shd w:val="clear" w:color="auto" w:fill="999999" w:themeFill="text1" w:themeFillTint="66"/>
      </w:tcPr>
    </w:tblStylePr>
    <w:tblStylePr w:type="band1Horz">
      <w:tblPr>
        <w:tblLayout w:type="fixed"/>
      </w:tblPr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36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>
        <w:tblLayout w:type="fixed"/>
      </w:tblPr>
      <w:tcPr>
        <w:shd w:val="clear" w:color="auto" w:fill="B8CCE4" w:themeFill="accent1" w:themeFillTint="66"/>
      </w:tcPr>
    </w:tblStylePr>
    <w:tblStylePr w:type="band1Horz">
      <w:tblPr>
        <w:tblLayout w:type="fixed"/>
      </w:tblPr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36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>
        <w:tblLayout w:type="fixed"/>
      </w:tblPr>
      <w:tcPr>
        <w:shd w:val="clear" w:color="auto" w:fill="E5B8B7" w:themeFill="accent2" w:themeFillTint="66"/>
      </w:tcPr>
    </w:tblStylePr>
    <w:tblStylePr w:type="band1Horz">
      <w:tblPr>
        <w:tblLayout w:type="fixed"/>
      </w:tblPr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36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>
        <w:tblLayout w:type="fixed"/>
      </w:tblPr>
      <w:tcPr>
        <w:shd w:val="clear" w:color="auto" w:fill="D6E3BC" w:themeFill="accent3" w:themeFillTint="66"/>
      </w:tcPr>
    </w:tblStylePr>
    <w:tblStylePr w:type="band1Horz">
      <w:tblPr>
        <w:tblLayout w:type="fixed"/>
      </w:tblPr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36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>
        <w:tblLayout w:type="fixed"/>
      </w:tblPr>
      <w:tcPr>
        <w:shd w:val="clear" w:color="auto" w:fill="CCC0D9" w:themeFill="accent4" w:themeFillTint="66"/>
      </w:tcPr>
    </w:tblStylePr>
    <w:tblStylePr w:type="band1Horz">
      <w:tblPr>
        <w:tblLayout w:type="fixed"/>
      </w:tblPr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36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>
        <w:tblLayout w:type="fixed"/>
      </w:tblPr>
      <w:tcPr>
        <w:shd w:val="clear" w:color="auto" w:fill="B6DDE8" w:themeFill="accent5" w:themeFillTint="66"/>
      </w:tcPr>
    </w:tblStylePr>
    <w:tblStylePr w:type="band1Horz">
      <w:tblPr>
        <w:tblLayout w:type="fixed"/>
      </w:tblPr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36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>
        <w:tblLayout w:type="fixed"/>
      </w:tblPr>
      <w:tcPr>
        <w:shd w:val="clear" w:color="auto" w:fill="FBD4B4" w:themeFill="accent6" w:themeFillTint="66"/>
      </w:tcPr>
    </w:tblStylePr>
    <w:tblStylePr w:type="band1Horz">
      <w:tblPr>
        <w:tblLayout w:type="fixed"/>
      </w:tblPr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36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>
        <w:tblLayout w:type="fixed"/>
      </w:tblPr>
      <w:tcPr>
        <w:shd w:val="clear" w:color="auto" w:fill="CCCCCC" w:themeFill="text1" w:themeFillTint="33"/>
      </w:tcPr>
    </w:tblStylePr>
  </w:style>
  <w:style w:type="table" w:styleId="123">
    <w:name w:val="Colorful List Accent 1"/>
    <w:basedOn w:val="36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>
        <w:tblLayout w:type="fixed"/>
      </w:tblPr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36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>
        <w:tblLayout w:type="fixed"/>
      </w:tblPr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36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>
        <w:tblLayout w:type="fixed"/>
      </w:tblPr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36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>
        <w:tblLayout w:type="fixed"/>
      </w:tblPr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36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>
        <w:tblLayout w:type="fixed"/>
      </w:tblPr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36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>
        <w:tblLayout w:type="fixed"/>
      </w:tblPr>
      <w:tcPr>
        <w:shd w:val="clear" w:color="auto" w:fill="FDE9D9" w:themeFill="accent6" w:themeFillTint="33"/>
      </w:tcPr>
    </w:tblStylePr>
  </w:style>
  <w:style w:type="table" w:styleId="129">
    <w:name w:val="Colorful Grid"/>
    <w:basedOn w:val="36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>
        <w:tblLayout w:type="fixed"/>
      </w:tbl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000000" w:themeFill="text1" w:themeFillShade="BF"/>
      </w:tcPr>
    </w:tblStylePr>
    <w:tblStylePr w:type="band1Vert">
      <w:tblPr>
        <w:tblLayout w:type="fixed"/>
      </w:tblPr>
      <w:tcPr>
        <w:shd w:val="clear" w:color="auto" w:fill="7F7F7F" w:themeFill="text1" w:themeFillTint="7F"/>
      </w:tcPr>
    </w:tblStylePr>
    <w:tblStylePr w:type="band1Horz">
      <w:tblPr>
        <w:tblLayout w:type="fixed"/>
      </w:tblPr>
      <w:tcPr>
        <w:shd w:val="clear" w:color="auto" w:fill="7F7F7F" w:themeFill="text1" w:themeFillTint="7F"/>
      </w:tcPr>
    </w:tblStylePr>
  </w:style>
  <w:style w:type="table" w:styleId="130">
    <w:name w:val="Colorful Grid Accent 1"/>
    <w:basedOn w:val="36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>
        <w:tblLayout w:type="fixed"/>
      </w:tbl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366091" w:themeFill="accent1" w:themeFillShade="BF"/>
      </w:tcPr>
    </w:tblStylePr>
    <w:tblStylePr w:type="band1Vert">
      <w:tblPr>
        <w:tblLayout w:type="fixed"/>
      </w:tblPr>
      <w:tcPr>
        <w:shd w:val="clear" w:color="auto" w:fill="A7C0DE" w:themeFill="accent1" w:themeFillTint="7F"/>
      </w:tcPr>
    </w:tblStylePr>
    <w:tblStylePr w:type="band1Horz">
      <w:tblPr>
        <w:tblLayout w:type="fixed"/>
      </w:tblPr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36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>
        <w:tblLayout w:type="fixed"/>
      </w:tbl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943734" w:themeFill="accent2" w:themeFillShade="BF"/>
      </w:tcPr>
    </w:tblStylePr>
    <w:tblStylePr w:type="band1Vert">
      <w:tblPr>
        <w:tblLayout w:type="fixed"/>
      </w:tblPr>
      <w:tcPr>
        <w:shd w:val="clear" w:color="auto" w:fill="DFA7A6" w:themeFill="accent2" w:themeFillTint="7F"/>
      </w:tcPr>
    </w:tblStylePr>
    <w:tblStylePr w:type="band1Horz">
      <w:tblPr>
        <w:tblLayout w:type="fixed"/>
      </w:tblPr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36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>
        <w:tblLayout w:type="fixed"/>
      </w:tbl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76923C" w:themeFill="accent3" w:themeFillShade="BF"/>
      </w:tcPr>
    </w:tblStylePr>
    <w:tblStylePr w:type="band1Vert">
      <w:tblPr>
        <w:tblLayout w:type="fixed"/>
      </w:tblPr>
      <w:tcPr>
        <w:shd w:val="clear" w:color="auto" w:fill="CDDDAC" w:themeFill="accent3" w:themeFillTint="7F"/>
      </w:tcPr>
    </w:tblStylePr>
    <w:tblStylePr w:type="band1Horz">
      <w:tblPr>
        <w:tblLayout w:type="fixed"/>
      </w:tblPr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36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>
        <w:tblLayout w:type="fixed"/>
      </w:tbl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5F497A" w:themeFill="accent4" w:themeFillShade="BF"/>
      </w:tcPr>
    </w:tblStylePr>
    <w:tblStylePr w:type="band1Vert">
      <w:tblPr>
        <w:tblLayout w:type="fixed"/>
      </w:tblPr>
      <w:tcPr>
        <w:shd w:val="clear" w:color="auto" w:fill="BFB1D0" w:themeFill="accent4" w:themeFillTint="7F"/>
      </w:tcPr>
    </w:tblStylePr>
    <w:tblStylePr w:type="band1Horz">
      <w:tblPr>
        <w:tblLayout w:type="fixed"/>
      </w:tblPr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36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>
        <w:tblLayout w:type="fixed"/>
      </w:tbl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31849B" w:themeFill="accent5" w:themeFillShade="BF"/>
      </w:tcPr>
    </w:tblStylePr>
    <w:tblStylePr w:type="band1Vert">
      <w:tblPr>
        <w:tblLayout w:type="fixed"/>
      </w:tblPr>
      <w:tcPr>
        <w:shd w:val="clear" w:color="auto" w:fill="A5D5E2" w:themeFill="accent5" w:themeFillTint="7F"/>
      </w:tcPr>
    </w:tblStylePr>
    <w:tblStylePr w:type="band1Horz">
      <w:tblPr>
        <w:tblLayout w:type="fixed"/>
      </w:tblPr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36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>
        <w:tblLayout w:type="fixed"/>
      </w:tbl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E36C09" w:themeFill="accent6" w:themeFillShade="BF"/>
      </w:tcPr>
    </w:tblStylePr>
    <w:tblStylePr w:type="band1Vert">
      <w:tblPr>
        <w:tblLayout w:type="fixed"/>
      </w:tblPr>
      <w:tcPr>
        <w:shd w:val="clear" w:color="auto" w:fill="FBCAA2" w:themeFill="accent6" w:themeFillTint="7F"/>
      </w:tcPr>
    </w:tblStylePr>
    <w:tblStylePr w:type="band1Horz">
      <w:tblPr>
        <w:tblLayout w:type="fixed"/>
      </w:tblPr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33"/>
    <w:link w:val="16"/>
    <w:qFormat/>
    <w:uiPriority w:val="99"/>
  </w:style>
  <w:style w:type="character" w:customStyle="1" w:styleId="137">
    <w:name w:val="Footer Char"/>
    <w:basedOn w:val="33"/>
    <w:link w:val="15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33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33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33"/>
    <w:link w:val="31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33"/>
    <w:link w:val="11"/>
    <w:qFormat/>
    <w:uiPriority w:val="99"/>
  </w:style>
  <w:style w:type="character" w:customStyle="1" w:styleId="146">
    <w:name w:val="Body Text 2 Char"/>
    <w:basedOn w:val="33"/>
    <w:link w:val="12"/>
    <w:qFormat/>
    <w:uiPriority w:val="99"/>
  </w:style>
  <w:style w:type="character" w:customStyle="1" w:styleId="147">
    <w:name w:val="Body Text 3 Char"/>
    <w:basedOn w:val="33"/>
    <w:link w:val="13"/>
    <w:qFormat/>
    <w:uiPriority w:val="99"/>
    <w:rPr>
      <w:sz w:val="16"/>
      <w:szCs w:val="16"/>
    </w:rPr>
  </w:style>
  <w:style w:type="character" w:customStyle="1" w:styleId="148">
    <w:name w:val="Macro Text Char"/>
    <w:basedOn w:val="33"/>
    <w:link w:val="29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33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33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33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33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33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33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33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Office_11.1.0.8865_F1E327BC-269C-435d-A152-05C5408002CA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2013-12-24T04:45:00Z</dcterms:created>
  <dc:creator>python-docx</dc:creator>
  <dc:description>generated by python-docx</dc:description>
  <cp:lastModifiedBy>Nitheesh_B2813</cp:lastModifiedBy>
  <dcterms:modified xsi:type="dcterms:W3CDTF">2026-08-25T11:17:39Z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1033-11.1.0.8865</vt:lpwstr>
  </property>
</Properties>
</file>