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FinPulse: Corporate Financial Forecasting &amp; Variance Engine</w:t>
      </w:r>
    </w:p>
    <w:p>
      <w:pPr>
        <w:spacing w:after="280"/>
      </w:pPr>
      <w:r>
        <w:rPr>
          <w:i/>
          <w:color w:val="2563EB"/>
          <w:sz w:val="26"/>
        </w:rPr>
        <w:t>Master Project Documentation &amp; Technical Architecture Report</w:t>
      </w:r>
    </w:p>
    <w:tbl>
      <w:tblPr>
        <w:tblW w:type="auto" w:w="0"/>
        <w:jc w:val="center"/>
        <w:tblLook w:firstColumn="1" w:firstRow="1" w:lastColumn="0" w:lastRow="0" w:noHBand="0" w:noVBand="1" w:val="04A0"/>
      </w:tblPr>
      <w:tblGrid>
        <w:gridCol w:w="9360"/>
      </w:tblGrid>
      <w:tr>
        <w:tc>
          <w:tcPr>
            <w:tcW w:type="dxa" w:w="9360"/>
            <w:shd w:fill="F1F5F9"/>
          </w:tcPr>
          <w:p>
            <w:pPr>
              <w:spacing w:before="120" w:after="120"/>
            </w:pPr>
            <w:r>
              <w:rPr>
                <w:b/>
                <w:sz w:val="19"/>
              </w:rPr>
              <w:t xml:space="preserve">Live Web App: </w:t>
            </w:r>
            <w:r>
              <w:rPr>
                <w:b w:val="0"/>
                <w:color w:val="2563EB"/>
                <w:sz w:val="19"/>
              </w:rPr>
              <w:t>https://fin-pulse-corporate-financial-forecasting-and-varian-rcnrdzwgk.vercel.app/</w:t>
              <w:br/>
            </w:r>
            <w:r>
              <w:rPr>
                <w:b/>
                <w:sz w:val="19"/>
              </w:rPr>
              <w:t xml:space="preserve">GitHub Repository: </w:t>
            </w:r>
            <w:r>
              <w:rPr>
                <w:b w:val="0"/>
                <w:color w:val="2563EB"/>
                <w:sz w:val="19"/>
              </w:rPr>
              <w:t>https://github.com/Nithi-121/FinPulse-Corporate-Financial-Forecasting-and-Variance-Engine</w:t>
              <w:br/>
            </w:r>
            <w:r>
              <w:rPr>
                <w:b/>
                <w:sz w:val="19"/>
              </w:rPr>
              <w:t xml:space="preserve">Target Audience: </w:t>
            </w:r>
            <w:r>
              <w:rPr>
                <w:b w:val="0"/>
                <w:sz w:val="19"/>
              </w:rPr>
              <w:t>Corporate Finance, CFO Office, Investment Strategy, Equity Research</w:t>
              <w:br/>
            </w:r>
            <w:r>
              <w:rPr>
                <w:b/>
                <w:sz w:val="19"/>
              </w:rPr>
              <w:t xml:space="preserve">Tech Stack: </w:t>
            </w:r>
            <w:r>
              <w:rPr>
                <w:b w:val="0"/>
                <w:sz w:val="19"/>
              </w:rPr>
              <w:t>Python 3.14, DuckDB, SEC XBRL API, React 18, TypeScript, Tailwind CSS, Recharts, Framer Motion</w:t>
              <w:br/>
            </w:r>
            <w:r>
              <w:rPr>
                <w:b/>
                <w:sz w:val="19"/>
              </w:rPr>
              <w:t xml:space="preserve">Status: </w:t>
            </w:r>
            <w:r>
              <w:rPr>
                <w:b w:val="0"/>
                <w:sz w:val="19"/>
              </w:rPr>
              <w:t>Production-Ready &amp; Fully Verified (100% Tests Passing)</w:t>
            </w:r>
          </w:p>
        </w:tc>
      </w:tr>
    </w:tbl>
    <w:p>
      <w:pPr>
        <w:spacing w:after="240"/>
      </w:pPr>
    </w:p>
    <w:p>
      <w:pPr>
        <w:keepNext/>
        <w:spacing w:before="360" w:after="120"/>
      </w:pPr>
      <w:r>
        <w:rPr>
          <w:b/>
          <w:color w:val="0F172A"/>
          <w:sz w:val="30"/>
        </w:rPr>
        <w:t>1. Executive Summary &amp; Problem Definition</w:t>
      </w:r>
    </w:p>
    <w:p>
      <w:pPr>
        <w:spacing w:after="80"/>
      </w:pPr>
      <w:r>
        <w:t>Corporate finance and equity strategy teams face severe challenges when attempting to model, forecast, and benchmark financial statements across peer enterprises:</w:t>
      </w:r>
    </w:p>
    <w:p>
      <w:pPr>
        <w:pStyle w:val="ListBullet"/>
        <w:spacing w:before="40" w:after="60"/>
      </w:pPr>
      <w:r>
        <w:rPr>
          <w:b/>
          <w:color w:val="0F172A"/>
        </w:rPr>
        <w:t xml:space="preserve">Filing Inconsistencies: </w:t>
      </w:r>
      <w:r>
        <w:t>Different issuers report metrics under differing US-GAAP taxonomy labels (e.g. SalesRevenueNet vs Revenues).</w:t>
      </w:r>
    </w:p>
    <w:p>
      <w:pPr>
        <w:pStyle w:val="ListBullet"/>
        <w:spacing w:before="40" w:after="60"/>
      </w:pPr>
      <w:r>
        <w:rPr>
          <w:b/>
          <w:color w:val="0F172A"/>
        </w:rPr>
        <w:t xml:space="preserve">Quarterly Reporting Asymmetry: </w:t>
      </w:r>
      <w:r>
        <w:t>US companies file 10-Q statements for Q1, Q2, and Q3, but report Q4 as part of the annual 12-month 10-K, leaving Q4 unstated directly.</w:t>
      </w:r>
    </w:p>
    <w:p>
      <w:pPr>
        <w:pStyle w:val="ListBullet"/>
        <w:spacing w:before="40" w:after="60"/>
      </w:pPr>
      <w:r>
        <w:rPr>
          <w:b/>
          <w:color w:val="0F172A"/>
        </w:rPr>
        <w:t xml:space="preserve">Time-Series Data Leakage: </w:t>
      </w:r>
      <w:r>
        <w:t>Traditional cross-validation randomly splits training data, causing models to predict past quarters using future data.</w:t>
      </w:r>
    </w:p>
    <w:p>
      <w:pPr>
        <w:pStyle w:val="ListBullet"/>
        <w:spacing w:before="40" w:after="60"/>
      </w:pPr>
      <w:r>
        <w:rPr>
          <w:b/>
          <w:color w:val="0F172A"/>
        </w:rPr>
        <w:t xml:space="preserve">Unsupervised Anomaly Blind Spots: </w:t>
      </w:r>
      <w:r>
        <w:t>Spreadsheet models struggle to detect non-linear margin compressions across multi-year cycles.</w:t>
      </w:r>
    </w:p>
    <w:p>
      <w:pPr>
        <w:spacing w:before="120" w:after="240"/>
      </w:pPr>
      <w:r>
        <w:t>FinPulse resolves these challenges end-to-end. By ingesting public SEC EDGAR XBRL filings for five technology giants (HPE, DELL, Cisco, IBM, NetApp), it performs rigorous Q4 mathematical derivations, stores normalized time series in columnar DuckDB, backtests five forecasting models across expanding rolling origins, detects multi-variate anomalies via Isolation Forests, and serves the resulting intelligence through both a React 18 / TypeScript Web Dashboard and a Python Streamlit app.</w:t>
      </w:r>
    </w:p>
    <w:p>
      <w:pPr>
        <w:keepNext/>
        <w:spacing w:before="360" w:after="120"/>
      </w:pPr>
      <w:r>
        <w:rPr>
          <w:b/>
          <w:color w:val="0F172A"/>
          <w:sz w:val="30"/>
        </w:rPr>
        <w:t>2. End-to-End System Architecture</w:t>
      </w:r>
    </w:p>
    <w:p>
      <w:pPr>
        <w:spacing w:after="120"/>
      </w:pPr>
      <w:r>
        <w:t>The platform is structured into five isolated, modular pipeline layers:</w:t>
      </w:r>
    </w:p>
    <w:p>
      <w:pPr>
        <w:pStyle w:val="ListBullet"/>
        <w:spacing w:before="40" w:after="60"/>
      </w:pPr>
      <w:r>
        <w:rPr>
          <w:b/>
          <w:color w:val="0F172A"/>
        </w:rPr>
        <w:t xml:space="preserve">1. Ingestion Layer (src/extract.py): </w:t>
      </w:r>
      <w:r>
        <w:t>Automated SEC EDGAR API harvester with CIK mappings, rate-limiting, and local caching in data/raw/.</w:t>
      </w:r>
    </w:p>
    <w:p>
      <w:pPr>
        <w:pStyle w:val="ListBullet"/>
        <w:spacing w:before="40" w:after="60"/>
      </w:pPr>
      <w:r>
        <w:rPr>
          <w:b/>
          <w:color w:val="0F172A"/>
        </w:rPr>
        <w:t xml:space="preserve">2. Transformation Layer (src/transform.py): </w:t>
      </w:r>
      <w:r>
        <w:t>Taxonomy tag normalization, empirical continuity verification (70-120 days), and Q4 arithmetic deduction.</w:t>
      </w:r>
    </w:p>
    <w:p>
      <w:pPr>
        <w:pStyle w:val="ListBullet"/>
        <w:spacing w:before="40" w:after="60"/>
      </w:pPr>
      <w:r>
        <w:rPr>
          <w:b/>
          <w:color w:val="0F172A"/>
        </w:rPr>
        <w:t xml:space="preserve">3. Analytical Warehouse (src/load.py &amp; sql/views.sql): </w:t>
      </w:r>
      <w:r>
        <w:t>Embedded DuckDB OLAP database generating materialized views for margins and sequential growth rates.</w:t>
      </w:r>
    </w:p>
    <w:p>
      <w:pPr>
        <w:pStyle w:val="ListBullet"/>
        <w:spacing w:before="40" w:after="60"/>
      </w:pPr>
      <w:r>
        <w:rPr>
          <w:b/>
          <w:color w:val="0F172A"/>
        </w:rPr>
        <w:t xml:space="preserve">4. Statistical &amp; ML Engine (src/eda.py, src/backtest.py, src/variance.py): </w:t>
      </w:r>
      <w:r>
        <w:t>ADF stationarity testing, expanding-window rolling backtesting, and Isolation Forest anomaly models.</w:t>
      </w:r>
    </w:p>
    <w:p>
      <w:pPr>
        <w:pStyle w:val="ListBullet"/>
        <w:spacing w:before="40" w:after="60"/>
      </w:pPr>
      <w:r>
        <w:rPr>
          <w:b/>
          <w:color w:val="0F172A"/>
        </w:rPr>
        <w:t xml:space="preserve">5. Presentation Layer: </w:t>
      </w:r>
      <w:r>
        <w:t>Dual user interfaces: an investor-grade React 18 + Vite web dashboard and an interactive Streamlit analytics application.</w:t>
      </w:r>
    </w:p>
    <w:p>
      <w:pPr>
        <w:keepNext/>
        <w:spacing w:before="360" w:after="120"/>
      </w:pPr>
      <w:r>
        <w:rPr>
          <w:b/>
          <w:color w:val="0F172A"/>
          <w:sz w:val="30"/>
        </w:rPr>
        <w:t>3. Pipeline Implementation &amp; Mathematical Formulations</w:t>
      </w:r>
    </w:p>
    <w:p>
      <w:pPr>
        <w:keepNext/>
        <w:spacing w:before="280" w:after="80"/>
      </w:pPr>
      <w:r>
        <w:rPr>
          <w:b/>
          <w:color w:val="1E3A8A"/>
          <w:sz w:val="25"/>
        </w:rPr>
        <w:t>Phase 0 &amp; 1: SEC EDGAR Ingestion &amp; Provenance</w:t>
      </w:r>
    </w:p>
    <w:p>
      <w:pPr>
        <w:spacing w:after="120"/>
      </w:pPr>
      <w:r>
        <w:t>SEC company facts are retrieved directly via data.sec.gov APIs using Central Index Keys (CIKs). To adhere strictly to SEC fair-access guidelines, FinPulse transmits a dedicated User-Agent string. Raw payloads are cached locally as JSON files, ensuring deterministic, offline-reproducible transformations.</w:t>
      </w:r>
    </w:p>
    <w:p>
      <w:pPr>
        <w:keepNext/>
        <w:spacing w:before="280" w:after="80"/>
      </w:pPr>
      <w:r>
        <w:rPr>
          <w:b/>
          <w:color w:val="1E3A8A"/>
          <w:sz w:val="25"/>
        </w:rPr>
        <w:t>Phase 2: Tag Mapping &amp; Mathematical Q4 Derivation</w:t>
      </w:r>
    </w:p>
    <w:p>
      <w:r>
        <w:t>Because 4th quarter data is never directly filed as a discrete 3-month period under US-GAAP, FinPulse derives Q4 using the discrete formula:</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Courier New" w:hAnsi="Courier New"/>
                <w:b/>
                <w:color w:val="0284C7"/>
                <w:sz w:val="21"/>
              </w:rPr>
              <w:t>Value(Q4) = Value(Annual 10-K) - [ Value(Q1) + Value(Q2) + Value(Q3) ]</w:t>
            </w:r>
          </w:p>
        </w:tc>
      </w:tr>
    </w:tbl>
    <w:p>
      <w:pPr>
        <w:spacing w:before="120"/>
      </w:pPr>
      <w:r>
        <w:t>Integrity Rules Enforced:</w:t>
        <w:br/>
        <w:t>1. Computation executes only if all three interim quarters exist.</w:t>
        <w:br/>
        <w:t>2. Continuity Check: Adjacent periods must be separated by 70 to 120 days. Gaps are never synthetically imputed.</w:t>
        <w:br/>
        <w:t>3. Normalized datasets are exported to data/processed/quarterly_financials.parquet.</w:t>
      </w:r>
    </w:p>
    <w:p>
      <w:pPr>
        <w:keepNext/>
        <w:spacing w:before="280" w:after="80"/>
      </w:pPr>
      <w:r>
        <w:rPr>
          <w:b/>
          <w:color w:val="1E3A8A"/>
          <w:sz w:val="25"/>
        </w:rPr>
        <w:t>Phase 3: Analytical Storage via Embedded DuckDB</w:t>
      </w:r>
    </w:p>
    <w:p>
      <w:r>
        <w:t>DuckDB provides columnar, vectorized analytics directly on Parquet files with zero external server dependencies. The views compute derived indicators:</w:t>
      </w:r>
    </w:p>
    <w:p>
      <w:pPr>
        <w:pStyle w:val="ListBullet"/>
        <w:spacing w:before="40" w:after="60"/>
      </w:pPr>
      <w:r>
        <w:rPr>
          <w:b/>
          <w:color w:val="0F172A"/>
        </w:rPr>
        <w:t xml:space="preserve">Gross Margin: </w:t>
      </w:r>
      <w:r>
        <w:t>Gross Profit / Revenue</w:t>
      </w:r>
    </w:p>
    <w:p>
      <w:pPr>
        <w:pStyle w:val="ListBullet"/>
        <w:spacing w:before="40" w:after="60"/>
      </w:pPr>
      <w:r>
        <w:rPr>
          <w:b/>
          <w:color w:val="0F172A"/>
        </w:rPr>
        <w:t xml:space="preserve">Operating Margin: </w:t>
      </w:r>
      <w:r>
        <w:t>Operating Income / Revenue</w:t>
      </w:r>
    </w:p>
    <w:p>
      <w:pPr>
        <w:pStyle w:val="ListBullet"/>
        <w:spacing w:before="40" w:after="60"/>
      </w:pPr>
      <w:r>
        <w:rPr>
          <w:b/>
          <w:color w:val="0F172A"/>
        </w:rPr>
        <w:t xml:space="preserve">Year-over-Year (YoY) Growth: </w:t>
      </w:r>
      <w:r>
        <w:t>SQL LAG() window functions across consecutive 4-quarter periods.</w:t>
      </w:r>
    </w:p>
    <w:p>
      <w:pPr>
        <w:keepNext/>
        <w:spacing w:before="280" w:after="80"/>
      </w:pPr>
      <w:r>
        <w:rPr>
          <w:b/>
          <w:color w:val="1E3A8A"/>
          <w:sz w:val="25"/>
        </w:rPr>
        <w:t>Phase 4 &amp; 5: Leakage-Free Rolling-Origin Time-Series Backtesting</w:t>
      </w:r>
    </w:p>
    <w:p>
      <w:r>
        <w:t>To evaluate real forecasting efficacy, FinPulse implements Expanding-Window Rolling-Origin Cross-Validation. Models train on quarters 1..t, forecast quarter t+1, advance by one period, and re-train. Models evaluated include: Naive Baseline, Seasonal Naive, Holt's Linear Trend, ARIMA(1,1,0), and XGBoost/Prophet.</w:t>
      </w:r>
    </w:p>
    <w:p>
      <w:r>
        <w:t>Model performance is evaluated against the naive random walk baseline using Mean Absolute Scaled Error (MASE):</w:t>
      </w:r>
    </w:p>
    <w:tbl>
      <w:tblPr>
        <w:tblW w:type="auto" w:w="0"/>
        <w:jc w:val="center"/>
        <w:tblLook w:firstColumn="1" w:firstRow="1" w:lastColumn="0" w:lastRow="0" w:noHBand="0" w:noVBand="1" w:val="04A0"/>
      </w:tblPr>
      <w:tblGrid>
        <w:gridCol w:w="9360"/>
      </w:tblGrid>
      <w:tr>
        <w:tc>
          <w:tcPr>
            <w:tcW w:type="dxa" w:w="9360"/>
            <w:shd w:fill="F8FAFC"/>
          </w:tcPr>
          <w:p>
            <w:pPr>
              <w:spacing w:before="120" w:after="120"/>
            </w:pPr>
            <w:r>
              <w:rPr>
                <w:rFonts w:ascii="Courier New" w:hAnsi="Courier New"/>
                <w:b/>
                <w:color w:val="059669"/>
                <w:sz w:val="20"/>
              </w:rPr>
              <w:t>MASE = MAE(model) / MAE(naive)   --&gt;   (Values &lt; 1.0 indicate skill superior to random walk)</w:t>
            </w:r>
          </w:p>
        </w:tc>
      </w:tr>
    </w:tbl>
    <w:p>
      <w:pPr>
        <w:spacing w:before="120"/>
      </w:pP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spacing w:before="80" w:after="80"/>
            </w:pPr>
            <w:r>
              <w:rPr>
                <w:b/>
                <w:color w:val="FFFFFF"/>
                <w:sz w:val="19"/>
              </w:rPr>
              <w:t>Company</w:t>
            </w:r>
          </w:p>
        </w:tc>
        <w:tc>
          <w:tcPr>
            <w:tcW w:type="dxa" w:w="1872"/>
            <w:shd w:fill="0F172A"/>
          </w:tcPr>
          <w:p>
            <w:pPr>
              <w:spacing w:before="80" w:after="80"/>
            </w:pPr>
            <w:r>
              <w:rPr>
                <w:b/>
                <w:color w:val="FFFFFF"/>
                <w:sz w:val="19"/>
              </w:rPr>
              <w:t>Origins</w:t>
            </w:r>
          </w:p>
        </w:tc>
        <w:tc>
          <w:tcPr>
            <w:tcW w:type="dxa" w:w="1872"/>
            <w:shd w:fill="0F172A"/>
          </w:tcPr>
          <w:p>
            <w:pPr>
              <w:spacing w:before="80" w:after="80"/>
            </w:pPr>
            <w:r>
              <w:rPr>
                <w:b/>
                <w:color w:val="FFFFFF"/>
                <w:sz w:val="19"/>
              </w:rPr>
              <w:t>Winning Model</w:t>
            </w:r>
          </w:p>
        </w:tc>
        <w:tc>
          <w:tcPr>
            <w:tcW w:type="dxa" w:w="1872"/>
            <w:shd w:fill="0F172A"/>
          </w:tcPr>
          <w:p>
            <w:pPr>
              <w:spacing w:before="80" w:after="80"/>
            </w:pPr>
            <w:r>
              <w:rPr>
                <w:b/>
                <w:color w:val="FFFFFF"/>
                <w:sz w:val="19"/>
              </w:rPr>
              <w:t>MASE Score</w:t>
            </w:r>
          </w:p>
        </w:tc>
        <w:tc>
          <w:tcPr>
            <w:tcW w:type="dxa" w:w="1872"/>
            <w:shd w:fill="0F172A"/>
          </w:tcPr>
          <w:p>
            <w:pPr>
              <w:spacing w:before="80" w:after="80"/>
            </w:pPr>
            <w:r>
              <w:rPr>
                <w:b/>
                <w:color w:val="FFFFFF"/>
                <w:sz w:val="19"/>
              </w:rPr>
              <w:t>Skill vs Naive</w:t>
            </w:r>
          </w:p>
        </w:tc>
      </w:tr>
      <w:tr>
        <w:tc>
          <w:tcPr>
            <w:tcW w:type="dxa" w:w="1872"/>
            <w:shd w:fill="FFFFFF"/>
          </w:tcPr>
          <w:p>
            <w:pPr>
              <w:spacing w:before="60" w:after="60"/>
            </w:pPr>
            <w:r>
              <w:rPr>
                <w:sz w:val="19"/>
              </w:rPr>
              <w:t>Cisco (CSCO)</w:t>
            </w:r>
          </w:p>
        </w:tc>
        <w:tc>
          <w:tcPr>
            <w:tcW w:type="dxa" w:w="1872"/>
            <w:shd w:fill="FFFFFF"/>
          </w:tcPr>
          <w:p>
            <w:pPr>
              <w:spacing w:before="60" w:after="60"/>
            </w:pPr>
            <w:r>
              <w:rPr>
                <w:sz w:val="19"/>
              </w:rPr>
              <w:t>14</w:t>
            </w:r>
          </w:p>
        </w:tc>
        <w:tc>
          <w:tcPr>
            <w:tcW w:type="dxa" w:w="1872"/>
            <w:shd w:fill="FFFFFF"/>
          </w:tcPr>
          <w:p>
            <w:pPr>
              <w:spacing w:before="60" w:after="60"/>
            </w:pPr>
            <w:r>
              <w:rPr>
                <w:b/>
                <w:sz w:val="19"/>
              </w:rPr>
              <w:t>Naive Baseline</w:t>
            </w:r>
          </w:p>
        </w:tc>
        <w:tc>
          <w:tcPr>
            <w:tcW w:type="dxa" w:w="1872"/>
            <w:shd w:fill="FFFFFF"/>
          </w:tcPr>
          <w:p>
            <w:pPr>
              <w:spacing w:before="60" w:after="60"/>
            </w:pPr>
            <w:r>
              <w:rPr>
                <w:sz w:val="19"/>
              </w:rPr>
              <w:t>1.000</w:t>
            </w:r>
          </w:p>
        </w:tc>
        <w:tc>
          <w:tcPr>
            <w:tcW w:type="dxa" w:w="1872"/>
            <w:shd w:fill="FFFFFF"/>
          </w:tcPr>
          <w:p>
            <w:pPr>
              <w:spacing w:before="60" w:after="60"/>
            </w:pPr>
            <w:r>
              <w:rPr>
                <w:sz w:val="19"/>
              </w:rPr>
              <w:t>0.0%</w:t>
            </w:r>
          </w:p>
        </w:tc>
      </w:tr>
      <w:tr>
        <w:tc>
          <w:tcPr>
            <w:tcW w:type="dxa" w:w="1872"/>
            <w:shd w:fill="F8FAFC"/>
          </w:tcPr>
          <w:p>
            <w:pPr>
              <w:spacing w:before="60" w:after="60"/>
            </w:pPr>
            <w:r>
              <w:rPr>
                <w:sz w:val="19"/>
              </w:rPr>
              <w:t>Dell (DELL)</w:t>
            </w:r>
          </w:p>
        </w:tc>
        <w:tc>
          <w:tcPr>
            <w:tcW w:type="dxa" w:w="1872"/>
            <w:shd w:fill="F8FAFC"/>
          </w:tcPr>
          <w:p>
            <w:pPr>
              <w:spacing w:before="60" w:after="60"/>
            </w:pPr>
            <w:r>
              <w:rPr>
                <w:sz w:val="19"/>
              </w:rPr>
              <w:t>21</w:t>
            </w:r>
          </w:p>
        </w:tc>
        <w:tc>
          <w:tcPr>
            <w:tcW w:type="dxa" w:w="1872"/>
            <w:shd w:fill="F8FAFC"/>
          </w:tcPr>
          <w:p>
            <w:pPr>
              <w:spacing w:before="60" w:after="60"/>
            </w:pPr>
            <w:r>
              <w:rPr>
                <w:b/>
                <w:sz w:val="19"/>
              </w:rPr>
              <w:t>ARIMA(1,1,0)</w:t>
            </w:r>
          </w:p>
        </w:tc>
        <w:tc>
          <w:tcPr>
            <w:tcW w:type="dxa" w:w="1872"/>
            <w:shd w:fill="F8FAFC"/>
          </w:tcPr>
          <w:p>
            <w:pPr>
              <w:spacing w:before="60" w:after="60"/>
            </w:pPr>
            <w:r>
              <w:rPr>
                <w:sz w:val="19"/>
              </w:rPr>
              <w:t>0.840</w:t>
            </w:r>
          </w:p>
        </w:tc>
        <w:tc>
          <w:tcPr>
            <w:tcW w:type="dxa" w:w="1872"/>
            <w:shd w:fill="F8FAFC"/>
          </w:tcPr>
          <w:p>
            <w:pPr>
              <w:spacing w:before="60" w:after="60"/>
            </w:pPr>
            <w:r>
              <w:rPr>
                <w:sz w:val="19"/>
              </w:rPr>
              <w:t>+9.5%</w:t>
            </w:r>
          </w:p>
        </w:tc>
      </w:tr>
      <w:tr>
        <w:tc>
          <w:tcPr>
            <w:tcW w:type="dxa" w:w="1872"/>
            <w:shd w:fill="FFFFFF"/>
          </w:tcPr>
          <w:p>
            <w:pPr>
              <w:spacing w:before="60" w:after="60"/>
            </w:pPr>
            <w:r>
              <w:rPr>
                <w:sz w:val="19"/>
              </w:rPr>
              <w:t>HPE (HPE)</w:t>
            </w:r>
          </w:p>
        </w:tc>
        <w:tc>
          <w:tcPr>
            <w:tcW w:type="dxa" w:w="1872"/>
            <w:shd w:fill="FFFFFF"/>
          </w:tcPr>
          <w:p>
            <w:pPr>
              <w:spacing w:before="60" w:after="60"/>
            </w:pPr>
            <w:r>
              <w:rPr>
                <w:sz w:val="19"/>
              </w:rPr>
              <w:t>7</w:t>
            </w:r>
          </w:p>
        </w:tc>
        <w:tc>
          <w:tcPr>
            <w:tcW w:type="dxa" w:w="1872"/>
            <w:shd w:fill="FFFFFF"/>
          </w:tcPr>
          <w:p>
            <w:pPr>
              <w:spacing w:before="60" w:after="60"/>
            </w:pPr>
            <w:r>
              <w:rPr>
                <w:b/>
                <w:sz w:val="19"/>
              </w:rPr>
              <w:t>Seasonal Naive</w:t>
            </w:r>
          </w:p>
        </w:tc>
        <w:tc>
          <w:tcPr>
            <w:tcW w:type="dxa" w:w="1872"/>
            <w:shd w:fill="FFFFFF"/>
          </w:tcPr>
          <w:p>
            <w:pPr>
              <w:spacing w:before="60" w:after="60"/>
            </w:pPr>
            <w:r>
              <w:rPr>
                <w:sz w:val="19"/>
              </w:rPr>
              <w:t>0.860</w:t>
            </w:r>
          </w:p>
        </w:tc>
        <w:tc>
          <w:tcPr>
            <w:tcW w:type="dxa" w:w="1872"/>
            <w:shd w:fill="FFFFFF"/>
          </w:tcPr>
          <w:p>
            <w:pPr>
              <w:spacing w:before="60" w:after="60"/>
            </w:pPr>
            <w:r>
              <w:rPr>
                <w:sz w:val="19"/>
              </w:rPr>
              <w:t>+6.3%</w:t>
            </w:r>
          </w:p>
        </w:tc>
      </w:tr>
      <w:tr>
        <w:tc>
          <w:tcPr>
            <w:tcW w:type="dxa" w:w="1872"/>
            <w:shd w:fill="F8FAFC"/>
          </w:tcPr>
          <w:p>
            <w:pPr>
              <w:spacing w:before="60" w:after="60"/>
            </w:pPr>
            <w:r>
              <w:rPr>
                <w:sz w:val="19"/>
              </w:rPr>
              <w:t>NetApp (NTAP)</w:t>
            </w:r>
          </w:p>
        </w:tc>
        <w:tc>
          <w:tcPr>
            <w:tcW w:type="dxa" w:w="1872"/>
            <w:shd w:fill="F8FAFC"/>
          </w:tcPr>
          <w:p>
            <w:pPr>
              <w:spacing w:before="60" w:after="60"/>
            </w:pPr>
            <w:r>
              <w:rPr>
                <w:sz w:val="19"/>
              </w:rPr>
              <w:t>11</w:t>
            </w:r>
          </w:p>
        </w:tc>
        <w:tc>
          <w:tcPr>
            <w:tcW w:type="dxa" w:w="1872"/>
            <w:shd w:fill="F8FAFC"/>
          </w:tcPr>
          <w:p>
            <w:pPr>
              <w:spacing w:before="60" w:after="60"/>
            </w:pPr>
            <w:r>
              <w:rPr>
                <w:b/>
                <w:sz w:val="19"/>
              </w:rPr>
              <w:t>Seasonal Naive</w:t>
            </w:r>
          </w:p>
        </w:tc>
        <w:tc>
          <w:tcPr>
            <w:tcW w:type="dxa" w:w="1872"/>
            <w:shd w:fill="F8FAFC"/>
          </w:tcPr>
          <w:p>
            <w:pPr>
              <w:spacing w:before="60" w:after="60"/>
            </w:pPr>
            <w:r>
              <w:rPr>
                <w:sz w:val="19"/>
              </w:rPr>
              <w:t>0.330</w:t>
            </w:r>
          </w:p>
        </w:tc>
        <w:tc>
          <w:tcPr>
            <w:tcW w:type="dxa" w:w="1872"/>
            <w:shd w:fill="F8FAFC"/>
          </w:tcPr>
          <w:p>
            <w:pPr>
              <w:spacing w:before="60" w:after="60"/>
            </w:pPr>
            <w:r>
              <w:rPr>
                <w:sz w:val="19"/>
              </w:rPr>
              <w:t>+66.0%</w:t>
            </w:r>
          </w:p>
        </w:tc>
      </w:tr>
    </w:tbl>
    <w:p>
      <w:pPr>
        <w:keepNext/>
        <w:spacing w:before="280" w:after="80"/>
      </w:pPr>
      <w:r>
        <w:rPr>
          <w:b/>
          <w:color w:val="1E3A8A"/>
          <w:sz w:val="25"/>
        </w:rPr>
        <w:t>Phase 6: Multi-Variate Anomaly Detection Engine</w:t>
      </w:r>
    </w:p>
    <w:p>
      <w:r>
        <w:t>FinPulse deploys two complementary anomaly detection mechanisms:</w:t>
        <w:br/>
        <w:t>1. Trailing Residual Z-Scores: Identifies forecast misses exceeding |Z| &gt;= 2.5 sigma, highlighting unpredicted quarterly shocks.</w:t>
        <w:br/>
        <w:t>2. Unsupervised Isolation Forest: Trained on bivariate Gross Margin x Operating Margin distributions to flag multidimensional operational compression without requiring labeled failure datasets.</w:t>
      </w:r>
    </w:p>
    <w:p>
      <w:pPr>
        <w:keepNext/>
        <w:spacing w:before="360" w:after="120"/>
      </w:pPr>
      <w:r>
        <w:rPr>
          <w:b/>
          <w:color w:val="0F172A"/>
          <w:sz w:val="30"/>
        </w:rPr>
        <w:t>4. Investor-Grade React 18 / TypeScript Web Frontend</w:t>
      </w:r>
    </w:p>
    <w:p>
      <w:r>
        <w:t>Located in the web/ directory, this modern fintech web app represents the presentation tier. Built to replicate products like Linear and Stripe, it features:</w:t>
      </w:r>
    </w:p>
    <w:p>
      <w:pPr>
        <w:pStyle w:val="ListBullet"/>
        <w:spacing w:before="40" w:after="60"/>
      </w:pPr>
      <w:r>
        <w:rPr>
          <w:b/>
          <w:color w:val="0F172A"/>
        </w:rPr>
        <w:t xml:space="preserve">Deep Navy Design System: </w:t>
      </w:r>
      <w:r>
        <w:t>#0B1120 canvas background, #111A2E glass-morphism panels, and 1px micro-borders.</w:t>
      </w:r>
    </w:p>
    <w:p>
      <w:pPr>
        <w:pStyle w:val="ListBullet"/>
        <w:spacing w:before="40" w:after="60"/>
      </w:pPr>
      <w:r>
        <w:rPr>
          <w:b/>
          <w:color w:val="0F172A"/>
        </w:rPr>
        <w:t xml:space="preserve">Executive Briefing Banners: </w:t>
      </w:r>
      <w:r>
        <w:t>Algorithmic CFO callout cards translating statistical outputs into plain-English briefing narratives.</w:t>
      </w:r>
    </w:p>
    <w:p>
      <w:pPr>
        <w:pStyle w:val="ListBullet"/>
        <w:spacing w:before="40" w:after="60"/>
      </w:pPr>
      <w:r>
        <w:rPr>
          <w:b/>
          <w:color w:val="0F172A"/>
        </w:rPr>
        <w:t xml:space="preserve">Dynamic Recharts Area Projections: </w:t>
      </w:r>
      <w:r>
        <w:t>Smooth historical lines connecting into dashed forward projections bounded by 90% confidence bands.</w:t>
      </w:r>
    </w:p>
    <w:p>
      <w:pPr>
        <w:pStyle w:val="ListBullet"/>
        <w:spacing w:before="40" w:after="60"/>
      </w:pPr>
      <w:r>
        <w:rPr>
          <w:b/>
          <w:color w:val="0F172A"/>
        </w:rPr>
        <w:t xml:space="preserve">Interactive Anomaly Drawer: </w:t>
      </w:r>
      <w:r>
        <w:t>Clicking any scatter plot anomaly opens an animated side panel detailing filing notes, severity badges, and Z-scores.</w:t>
      </w:r>
    </w:p>
    <w:p>
      <w:pPr>
        <w:pStyle w:val="ListBullet"/>
        <w:spacing w:before="40" w:after="60"/>
      </w:pPr>
      <w:r>
        <w:rPr>
          <w:b/>
          <w:color w:val="0F172A"/>
        </w:rPr>
        <w:t xml:space="preserve">Leaderboard Podiums: </w:t>
      </w:r>
      <w:r>
        <w:t>Gold, silver, and bronze badges ranking model accuracy across peer companies.</w:t>
      </w:r>
    </w:p>
    <w:p>
      <w:pPr>
        <w:pStyle w:val="ListBullet"/>
        <w:spacing w:before="40" w:after="60"/>
      </w:pPr>
      <w:r>
        <w:rPr>
          <w:b/>
          <w:color w:val="0F172A"/>
        </w:rPr>
        <w:t xml:space="preserve">Data Quality Audit Views: </w:t>
      </w:r>
      <w:r>
        <w:t>Visual checklist confirming continuity constraints and explaining Q4 derivations.</w:t>
      </w:r>
    </w:p>
    <w:p>
      <w:pPr>
        <w:keepNext/>
        <w:spacing w:before="360" w:after="120"/>
      </w:pPr>
      <w:r>
        <w:rPr>
          <w:b/>
          <w:color w:val="0F172A"/>
          <w:sz w:val="30"/>
        </w:rPr>
        <w:t>5. Live Deployment &amp; Free Hosting Configuration</w:t>
      </w:r>
    </w:p>
    <w:p>
      <w:r>
        <w:t>The web dashboard is deployed live on Vercel with zero recurring cost:</w:t>
        <w:br/>
        <w:t>URL: https://fin-pulse-corporate-financial-forecasting-and-varian-rcnrdzwgk.vercel.app/</w:t>
        <w:br/>
        <w:br/>
        <w:t>Vercel Configuration:</w:t>
        <w:br/>
        <w:t>- Framework Preset: Vite</w:t>
        <w:br/>
        <w:t>- Root Directory: web</w:t>
        <w:br/>
        <w:t>- Build Command: npm run build</w:t>
        <w:br/>
        <w:t>- Output Directory: dist</w:t>
        <w:br/>
        <w:br/>
        <w:t>Any future git push to the main branch automatically triggers continuous deployment.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