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600" w:line="276" w:lineRule="auto"/>
        <w:jc w:val="center"/>
      </w:pPr>
      <w:r>
        <w:rPr>
          <w:b/>
          <w:i w:val="0"/>
          <w:sz w:val="32"/>
        </w:rPr>
        <w:t>SonicAtlas: An Interactive In-Browser Exploratory Data Analysis Platform for Multi-Dimensional Audio Features and Lyrics of Spotify Tracks Across Genres and Eras</w:t>
      </w:r>
    </w:p>
    <w:p>
      <w:pPr>
        <w:spacing w:before="0" w:after="200" w:line="276" w:lineRule="auto"/>
        <w:jc w:val="center"/>
      </w:pPr>
      <w:r>
        <w:rPr>
          <w:b/>
          <w:i/>
          <w:sz w:val="26"/>
        </w:rPr>
        <w:t>Submitted by</w:t>
      </w:r>
    </w:p>
    <w:p>
      <w:pPr>
        <w:spacing w:before="0" w:after="80" w:line="276" w:lineRule="auto"/>
        <w:jc w:val="center"/>
      </w:pPr>
      <w:r>
        <w:rPr>
          <w:b w:val="0"/>
          <w:i w:val="0"/>
          <w:sz w:val="26"/>
        </w:rPr>
        <w:t>25BDS0318    Sharvesh Prabhu</w:t>
      </w:r>
    </w:p>
    <w:p>
      <w:pPr>
        <w:spacing w:before="0" w:after="80" w:line="276" w:lineRule="auto"/>
        <w:jc w:val="center"/>
      </w:pPr>
      <w:r>
        <w:rPr>
          <w:b w:val="0"/>
          <w:i w:val="0"/>
          <w:sz w:val="26"/>
        </w:rPr>
        <w:t>25BDS0308    Nithin S</w:t>
      </w:r>
    </w:p>
    <w:p>
      <w:pPr>
        <w:spacing w:before="600" w:after="160" w:line="276" w:lineRule="auto"/>
        <w:jc w:val="center"/>
      </w:pPr>
      <w:r>
        <w:rPr>
          <w:b/>
          <w:i/>
          <w:sz w:val="24"/>
        </w:rPr>
        <w:t>In partial fulfillment of the requirements for the completion of the</w:t>
      </w:r>
    </w:p>
    <w:p>
      <w:pPr>
        <w:spacing w:before="0" w:after="160" w:line="276" w:lineRule="auto"/>
        <w:jc w:val="center"/>
      </w:pPr>
      <w:r>
        <w:rPr>
          <w:b/>
          <w:i w:val="0"/>
          <w:sz w:val="26"/>
        </w:rPr>
        <w:t>Project-based Course</w:t>
      </w:r>
    </w:p>
    <w:p>
      <w:pPr>
        <w:spacing w:before="0" w:after="480" w:line="276" w:lineRule="auto"/>
        <w:jc w:val="center"/>
      </w:pPr>
      <w:r>
        <w:rPr>
          <w:b/>
          <w:i w:val="0"/>
          <w:sz w:val="26"/>
        </w:rPr>
        <w:t>BACSE301 EXPLORATORY DATA ANALYSIS</w:t>
      </w:r>
    </w:p>
    <w:tbl>
      <w:tblPr>
        <w:tblW w:type="auto" w:w="0"/>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026"/>
      </w:tblGrid>
      <w:tr>
        <w:trPr>
          <w:trHeight w:val="1814"/>
        </w:trPr>
        <w:tc>
          <w:tcPr>
            <w:tcW w:type="dxa" w:w="3402"/>
          </w:tcPr>
          <w:p>
            <w:pPr>
              <w:spacing w:before="560"/>
              <w:jc w:val="center"/>
            </w:pPr>
            <w:r>
              <w:rPr>
                <w:i/>
                <w:sz w:val="20"/>
              </w:rPr>
              <w:t>[Paste official VIT logo here]</w:t>
            </w:r>
          </w:p>
        </w:tc>
      </w:tr>
    </w:tbl>
    <w:p>
      <w:pPr>
        <w:spacing w:before="520" w:after="120" w:line="276" w:lineRule="auto"/>
        <w:jc w:val="center"/>
      </w:pPr>
      <w:r>
        <w:rPr>
          <w:b/>
          <w:i w:val="0"/>
          <w:sz w:val="26"/>
        </w:rPr>
        <w:t>SCHOOL OF COMPUTER SCIENCE AND ENGINEERING</w:t>
      </w:r>
    </w:p>
    <w:p>
      <w:pPr>
        <w:spacing w:before="0" w:after="400" w:line="276" w:lineRule="auto"/>
        <w:jc w:val="center"/>
      </w:pPr>
      <w:r>
        <w:rPr>
          <w:b/>
          <w:i w:val="0"/>
          <w:sz w:val="30"/>
        </w:rPr>
        <w:t>VELLORE INSTITUTE OF TECHNOLOGY, VELLORE</w:t>
      </w:r>
    </w:p>
    <w:p>
      <w:pPr>
        <w:spacing w:before="0" w:after="120" w:line="276" w:lineRule="auto"/>
        <w:jc w:val="center"/>
      </w:pPr>
      <w:r>
        <w:rPr>
          <w:b/>
          <w:i w:val="0"/>
          <w:sz w:val="26"/>
        </w:rPr>
        <w:t>October 2026</w:t>
      </w:r>
    </w:p>
    <w:p>
      <w:pPr>
        <w:spacing w:after="0"/>
      </w:pPr>
      <w:r>
        <w:br w:type="page"/>
      </w:r>
    </w:p>
    <w:p>
      <w:pPr>
        <w:jc w:val="center"/>
      </w:pPr>
      <w:r>
        <w:rPr>
          <w:b/>
          <w:sz w:val="28"/>
        </w:rPr>
        <w:t>TABLE OF CONTENTS</w:t>
      </w:r>
    </w:p>
    <w:tbl>
      <w:tblPr>
        <w:tblW w:type="auto" w:w="0"/>
        <w:tblLayout w:type="fixed"/>
        <w:tblLook w:firstColumn="1" w:firstRow="1" w:lastColumn="0" w:lastRow="0" w:noHBand="0" w:noVBand="1" w:val="04A0"/>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002"/>
        <w:gridCol w:w="6788"/>
        <w:gridCol w:w="1224"/>
      </w:tblGrid>
      <w:tr>
        <w:tc>
          <w:tcPr>
            <w:tcW w:type="dxa" w:w="1002"/>
          </w:tcPr>
          <w:p>
            <w:pPr>
              <w:jc w:val="center"/>
            </w:pPr>
            <w:r>
              <w:rPr>
                <w:b/>
              </w:rPr>
              <w:t>Sl.No</w:t>
            </w:r>
          </w:p>
        </w:tc>
        <w:tc>
          <w:tcPr>
            <w:tcW w:type="dxa" w:w="6788"/>
          </w:tcPr>
          <w:p>
            <w:pPr>
              <w:jc w:val="center"/>
            </w:pPr>
            <w:r>
              <w:rPr>
                <w:b/>
              </w:rPr>
              <w:t>Contents</w:t>
            </w:r>
          </w:p>
        </w:tc>
        <w:tc>
          <w:tcPr>
            <w:tcW w:type="dxa" w:w="1224"/>
          </w:tcPr>
          <w:p>
            <w:pPr>
              <w:jc w:val="center"/>
            </w:pPr>
            <w:r>
              <w:rPr>
                <w:b/>
              </w:rPr>
              <w:t>Page No.</w:t>
            </w:r>
          </w:p>
        </w:tc>
      </w:tr>
      <w:tr>
        <w:tc>
          <w:tcPr>
            <w:tcW w:type="dxa" w:w="1002"/>
          </w:tcPr>
          <w:p>
            <w:pPr>
              <w:spacing w:after="40" w:line="276" w:lineRule="auto"/>
              <w:jc w:val="center"/>
            </w:pPr>
            <w:r>
              <w:rPr>
                <w:b/>
              </w:rPr>
              <w:t>1.</w:t>
            </w:r>
          </w:p>
        </w:tc>
        <w:tc>
          <w:tcPr>
            <w:tcW w:type="dxa" w:w="6788"/>
          </w:tcPr>
          <w:p>
            <w:pPr>
              <w:spacing w:after="40" w:line="276" w:lineRule="auto"/>
              <w:jc w:val="left"/>
            </w:pPr>
            <w:r>
              <w:rPr>
                <w:b/>
              </w:rPr>
              <w:t>ABSTRACT</w:t>
            </w:r>
          </w:p>
        </w:tc>
        <w:tc>
          <w:tcPr>
            <w:tcW w:type="dxa" w:w="1224"/>
          </w:tcPr>
          <w:p>
            <w:pPr>
              <w:spacing w:after="40" w:line="276" w:lineRule="auto"/>
              <w:jc w:val="center"/>
            </w:pPr>
            <w:r>
              <w:rPr>
                <w:b w:val="0"/>
              </w:rPr>
              <w:t>3</w:t>
            </w:r>
          </w:p>
        </w:tc>
      </w:tr>
      <w:tr>
        <w:tc>
          <w:tcPr>
            <w:tcW w:type="dxa" w:w="1002"/>
          </w:tcPr>
          <w:p>
            <w:pPr>
              <w:spacing w:after="40" w:line="276" w:lineRule="auto"/>
              <w:jc w:val="center"/>
            </w:pPr>
            <w:r>
              <w:rPr>
                <w:b/>
              </w:rPr>
              <w:t>2.</w:t>
            </w:r>
          </w:p>
        </w:tc>
        <w:tc>
          <w:tcPr>
            <w:tcW w:type="dxa" w:w="6788"/>
          </w:tcPr>
          <w:p>
            <w:pPr>
              <w:spacing w:after="40" w:line="276" w:lineRule="auto"/>
              <w:jc w:val="left"/>
            </w:pPr>
            <w:r>
              <w:rPr>
                <w:b/>
              </w:rPr>
              <w:t>INTRODUCTION</w:t>
            </w:r>
          </w:p>
        </w:tc>
        <w:tc>
          <w:tcPr>
            <w:tcW w:type="dxa" w:w="1224"/>
          </w:tcPr>
          <w:p>
            <w:pPr>
              <w:spacing w:after="40" w:line="276" w:lineRule="auto"/>
              <w:jc w:val="center"/>
            </w:pPr>
            <w:r>
              <w:rPr>
                <w:b w:val="0"/>
              </w:rPr>
              <w:t>4</w:t>
            </w:r>
          </w:p>
        </w:tc>
      </w:tr>
      <w:tr>
        <w:tc>
          <w:tcPr>
            <w:tcW w:type="dxa" w:w="1002"/>
          </w:tcPr>
          <w:p>
            <w:pPr>
              <w:spacing w:after="40" w:line="276" w:lineRule="auto"/>
              <w:jc w:val="center"/>
            </w:pPr>
            <w:r>
              <w:rPr>
                <w:b w:val="0"/>
              </w:rPr>
            </w:r>
          </w:p>
        </w:tc>
        <w:tc>
          <w:tcPr>
            <w:tcW w:type="dxa" w:w="6788"/>
          </w:tcPr>
          <w:p>
            <w:pPr>
              <w:spacing w:after="40" w:line="276" w:lineRule="auto"/>
              <w:jc w:val="left"/>
            </w:pPr>
            <w:r>
              <w:rPr>
                <w:b w:val="0"/>
              </w:rPr>
              <w:t>2.1 Background</w:t>
            </w:r>
          </w:p>
        </w:tc>
        <w:tc>
          <w:tcPr>
            <w:tcW w:type="dxa" w:w="1224"/>
          </w:tcPr>
          <w:p>
            <w:pPr>
              <w:spacing w:after="40" w:line="276" w:lineRule="auto"/>
              <w:jc w:val="center"/>
            </w:pPr>
            <w:r>
              <w:rPr>
                <w:b w:val="0"/>
              </w:rPr>
              <w:t>4</w:t>
            </w:r>
          </w:p>
        </w:tc>
      </w:tr>
      <w:tr>
        <w:tc>
          <w:tcPr>
            <w:tcW w:type="dxa" w:w="1002"/>
          </w:tcPr>
          <w:p>
            <w:pPr>
              <w:spacing w:after="40" w:line="276" w:lineRule="auto"/>
              <w:jc w:val="center"/>
            </w:pPr>
            <w:r>
              <w:rPr>
                <w:b w:val="0"/>
              </w:rPr>
            </w:r>
          </w:p>
        </w:tc>
        <w:tc>
          <w:tcPr>
            <w:tcW w:type="dxa" w:w="6788"/>
          </w:tcPr>
          <w:p>
            <w:pPr>
              <w:spacing w:after="40" w:line="276" w:lineRule="auto"/>
              <w:jc w:val="left"/>
            </w:pPr>
            <w:r>
              <w:rPr>
                <w:b w:val="0"/>
              </w:rPr>
              <w:t>2.2 Motivations</w:t>
            </w:r>
          </w:p>
        </w:tc>
        <w:tc>
          <w:tcPr>
            <w:tcW w:type="dxa" w:w="1224"/>
          </w:tcPr>
          <w:p>
            <w:pPr>
              <w:spacing w:after="40" w:line="276" w:lineRule="auto"/>
              <w:jc w:val="center"/>
            </w:pPr>
            <w:r>
              <w:rPr>
                <w:b w:val="0"/>
              </w:rPr>
              <w:t>4</w:t>
            </w:r>
          </w:p>
        </w:tc>
      </w:tr>
      <w:tr>
        <w:tc>
          <w:tcPr>
            <w:tcW w:type="dxa" w:w="1002"/>
          </w:tcPr>
          <w:p>
            <w:pPr>
              <w:spacing w:after="40" w:line="276" w:lineRule="auto"/>
              <w:jc w:val="center"/>
            </w:pPr>
            <w:r>
              <w:rPr>
                <w:b w:val="0"/>
              </w:rPr>
            </w:r>
          </w:p>
        </w:tc>
        <w:tc>
          <w:tcPr>
            <w:tcW w:type="dxa" w:w="6788"/>
          </w:tcPr>
          <w:p>
            <w:pPr>
              <w:spacing w:after="40" w:line="276" w:lineRule="auto"/>
              <w:jc w:val="left"/>
            </w:pPr>
            <w:r>
              <w:rPr>
                <w:b w:val="0"/>
              </w:rPr>
              <w:t>2.3 Scope of the Project</w:t>
            </w:r>
          </w:p>
        </w:tc>
        <w:tc>
          <w:tcPr>
            <w:tcW w:type="dxa" w:w="1224"/>
          </w:tcPr>
          <w:p>
            <w:pPr>
              <w:spacing w:after="40" w:line="276" w:lineRule="auto"/>
              <w:jc w:val="center"/>
            </w:pPr>
            <w:r>
              <w:rPr>
                <w:b w:val="0"/>
              </w:rPr>
              <w:t>5</w:t>
            </w:r>
          </w:p>
        </w:tc>
      </w:tr>
      <w:tr>
        <w:tc>
          <w:tcPr>
            <w:tcW w:type="dxa" w:w="1002"/>
          </w:tcPr>
          <w:p>
            <w:pPr>
              <w:spacing w:after="40" w:line="276" w:lineRule="auto"/>
              <w:jc w:val="center"/>
            </w:pPr>
            <w:r>
              <w:rPr>
                <w:b/>
              </w:rPr>
              <w:t>3.</w:t>
            </w:r>
          </w:p>
        </w:tc>
        <w:tc>
          <w:tcPr>
            <w:tcW w:type="dxa" w:w="6788"/>
          </w:tcPr>
          <w:p>
            <w:pPr>
              <w:spacing w:after="40" w:line="276" w:lineRule="auto"/>
              <w:jc w:val="left"/>
            </w:pPr>
            <w:r>
              <w:rPr>
                <w:b/>
              </w:rPr>
              <w:t>PROJECT DESCRIPTION AND GOALS</w:t>
            </w:r>
          </w:p>
        </w:tc>
        <w:tc>
          <w:tcPr>
            <w:tcW w:type="dxa" w:w="1224"/>
          </w:tcPr>
          <w:p>
            <w:pPr>
              <w:spacing w:after="40" w:line="276" w:lineRule="auto"/>
              <w:jc w:val="center"/>
            </w:pPr>
            <w:r>
              <w:rPr>
                <w:b w:val="0"/>
              </w:rPr>
              <w:t>6</w:t>
            </w:r>
          </w:p>
        </w:tc>
      </w:tr>
      <w:tr>
        <w:tc>
          <w:tcPr>
            <w:tcW w:type="dxa" w:w="1002"/>
          </w:tcPr>
          <w:p>
            <w:pPr>
              <w:spacing w:after="40" w:line="276" w:lineRule="auto"/>
              <w:jc w:val="center"/>
            </w:pPr>
            <w:r>
              <w:rPr>
                <w:b w:val="0"/>
              </w:rPr>
            </w:r>
          </w:p>
        </w:tc>
        <w:tc>
          <w:tcPr>
            <w:tcW w:type="dxa" w:w="6788"/>
          </w:tcPr>
          <w:p>
            <w:pPr>
              <w:spacing w:after="40" w:line="276" w:lineRule="auto"/>
              <w:jc w:val="left"/>
            </w:pPr>
            <w:r>
              <w:rPr>
                <w:b w:val="0"/>
              </w:rPr>
              <w:t>3.1 Literature Review</w:t>
            </w:r>
          </w:p>
        </w:tc>
        <w:tc>
          <w:tcPr>
            <w:tcW w:type="dxa" w:w="1224"/>
          </w:tcPr>
          <w:p>
            <w:pPr>
              <w:spacing w:after="40" w:line="276" w:lineRule="auto"/>
              <w:jc w:val="center"/>
            </w:pPr>
            <w:r>
              <w:rPr>
                <w:b w:val="0"/>
              </w:rPr>
              <w:t>6</w:t>
            </w:r>
          </w:p>
        </w:tc>
      </w:tr>
      <w:tr>
        <w:tc>
          <w:tcPr>
            <w:tcW w:type="dxa" w:w="1002"/>
          </w:tcPr>
          <w:p>
            <w:pPr>
              <w:spacing w:after="40" w:line="276" w:lineRule="auto"/>
              <w:jc w:val="center"/>
            </w:pPr>
            <w:r>
              <w:rPr>
                <w:b w:val="0"/>
              </w:rPr>
            </w:r>
          </w:p>
        </w:tc>
        <w:tc>
          <w:tcPr>
            <w:tcW w:type="dxa" w:w="6788"/>
          </w:tcPr>
          <w:p>
            <w:pPr>
              <w:spacing w:after="40" w:line="276" w:lineRule="auto"/>
              <w:jc w:val="left"/>
            </w:pPr>
            <w:r>
              <w:rPr>
                <w:b w:val="0"/>
              </w:rPr>
              <w:t>3.2 Gaps Identified</w:t>
            </w:r>
          </w:p>
        </w:tc>
        <w:tc>
          <w:tcPr>
            <w:tcW w:type="dxa" w:w="1224"/>
          </w:tcPr>
          <w:p>
            <w:pPr>
              <w:spacing w:after="40" w:line="276" w:lineRule="auto"/>
              <w:jc w:val="center"/>
            </w:pPr>
            <w:r>
              <w:rPr>
                <w:b w:val="0"/>
              </w:rPr>
              <w:t>11</w:t>
            </w:r>
          </w:p>
        </w:tc>
      </w:tr>
      <w:tr>
        <w:tc>
          <w:tcPr>
            <w:tcW w:type="dxa" w:w="1002"/>
          </w:tcPr>
          <w:p>
            <w:pPr>
              <w:spacing w:after="40" w:line="276" w:lineRule="auto"/>
              <w:jc w:val="center"/>
            </w:pPr>
            <w:r>
              <w:rPr>
                <w:b w:val="0"/>
              </w:rPr>
            </w:r>
          </w:p>
        </w:tc>
        <w:tc>
          <w:tcPr>
            <w:tcW w:type="dxa" w:w="6788"/>
          </w:tcPr>
          <w:p>
            <w:pPr>
              <w:spacing w:after="40" w:line="276" w:lineRule="auto"/>
              <w:jc w:val="left"/>
            </w:pPr>
            <w:r>
              <w:rPr>
                <w:b w:val="0"/>
              </w:rPr>
              <w:t>3.3 Objectives</w:t>
            </w:r>
          </w:p>
        </w:tc>
        <w:tc>
          <w:tcPr>
            <w:tcW w:type="dxa" w:w="1224"/>
          </w:tcPr>
          <w:p>
            <w:pPr>
              <w:spacing w:after="40" w:line="276" w:lineRule="auto"/>
              <w:jc w:val="center"/>
            </w:pPr>
            <w:r>
              <w:rPr>
                <w:b w:val="0"/>
              </w:rPr>
              <w:t>11</w:t>
            </w:r>
          </w:p>
        </w:tc>
      </w:tr>
      <w:tr>
        <w:tc>
          <w:tcPr>
            <w:tcW w:type="dxa" w:w="1002"/>
          </w:tcPr>
          <w:p>
            <w:pPr>
              <w:spacing w:after="40" w:line="276" w:lineRule="auto"/>
              <w:jc w:val="center"/>
            </w:pPr>
            <w:r>
              <w:rPr>
                <w:b w:val="0"/>
              </w:rPr>
            </w:r>
          </w:p>
        </w:tc>
        <w:tc>
          <w:tcPr>
            <w:tcW w:type="dxa" w:w="6788"/>
          </w:tcPr>
          <w:p>
            <w:pPr>
              <w:spacing w:after="40" w:line="276" w:lineRule="auto"/>
              <w:jc w:val="left"/>
            </w:pPr>
            <w:r>
              <w:rPr>
                <w:b w:val="0"/>
              </w:rPr>
              <w:t>3.4 Problem Statement</w:t>
            </w:r>
          </w:p>
        </w:tc>
        <w:tc>
          <w:tcPr>
            <w:tcW w:type="dxa" w:w="1224"/>
          </w:tcPr>
          <w:p>
            <w:pPr>
              <w:spacing w:after="40" w:line="276" w:lineRule="auto"/>
              <w:jc w:val="center"/>
            </w:pPr>
            <w:r>
              <w:rPr>
                <w:b w:val="0"/>
              </w:rPr>
              <w:t>12</w:t>
            </w:r>
          </w:p>
        </w:tc>
      </w:tr>
      <w:tr>
        <w:tc>
          <w:tcPr>
            <w:tcW w:type="dxa" w:w="1002"/>
          </w:tcPr>
          <w:p>
            <w:pPr>
              <w:spacing w:after="40" w:line="276" w:lineRule="auto"/>
              <w:jc w:val="center"/>
            </w:pPr>
            <w:r>
              <w:rPr>
                <w:b/>
              </w:rPr>
              <w:t>4.</w:t>
            </w:r>
          </w:p>
        </w:tc>
        <w:tc>
          <w:tcPr>
            <w:tcW w:type="dxa" w:w="6788"/>
          </w:tcPr>
          <w:p>
            <w:pPr>
              <w:spacing w:after="40" w:line="276" w:lineRule="auto"/>
              <w:jc w:val="left"/>
            </w:pPr>
            <w:r>
              <w:rPr>
                <w:b/>
              </w:rPr>
              <w:t>PROPOSED WORK</w:t>
            </w:r>
          </w:p>
        </w:tc>
        <w:tc>
          <w:tcPr>
            <w:tcW w:type="dxa" w:w="1224"/>
          </w:tcPr>
          <w:p>
            <w:pPr>
              <w:spacing w:after="40" w:line="276" w:lineRule="auto"/>
              <w:jc w:val="center"/>
            </w:pPr>
            <w:r>
              <w:rPr>
                <w:b w:val="0"/>
              </w:rPr>
              <w:t>13</w:t>
            </w:r>
          </w:p>
        </w:tc>
      </w:tr>
      <w:tr>
        <w:tc>
          <w:tcPr>
            <w:tcW w:type="dxa" w:w="1002"/>
          </w:tcPr>
          <w:p>
            <w:pPr>
              <w:spacing w:after="40" w:line="276" w:lineRule="auto"/>
              <w:jc w:val="center"/>
            </w:pPr>
            <w:r>
              <w:rPr>
                <w:b w:val="0"/>
              </w:rPr>
            </w:r>
          </w:p>
        </w:tc>
        <w:tc>
          <w:tcPr>
            <w:tcW w:type="dxa" w:w="6788"/>
          </w:tcPr>
          <w:p>
            <w:pPr>
              <w:spacing w:after="40" w:line="276" w:lineRule="auto"/>
              <w:jc w:val="left"/>
            </w:pPr>
            <w:r>
              <w:rPr>
                <w:b w:val="0"/>
              </w:rPr>
              <w:t>4.1 Data Acquisition, Cleaning and Preprocessing of Large-Scale Spotify Audio and Lyrics Data</w:t>
            </w:r>
          </w:p>
        </w:tc>
        <w:tc>
          <w:tcPr>
            <w:tcW w:type="dxa" w:w="1224"/>
          </w:tcPr>
          <w:p>
            <w:pPr>
              <w:spacing w:after="40" w:line="276" w:lineRule="auto"/>
              <w:jc w:val="center"/>
            </w:pPr>
            <w:r>
              <w:rPr>
                <w:b w:val="0"/>
              </w:rPr>
              <w:t>13</w:t>
            </w:r>
          </w:p>
        </w:tc>
      </w:tr>
      <w:tr>
        <w:tc>
          <w:tcPr>
            <w:tcW w:type="dxa" w:w="1002"/>
          </w:tcPr>
          <w:p>
            <w:pPr>
              <w:spacing w:after="40" w:line="276" w:lineRule="auto"/>
              <w:jc w:val="center"/>
            </w:pPr>
            <w:r>
              <w:rPr>
                <w:b w:val="0"/>
              </w:rPr>
            </w:r>
          </w:p>
        </w:tc>
        <w:tc>
          <w:tcPr>
            <w:tcW w:type="dxa" w:w="6788"/>
          </w:tcPr>
          <w:p>
            <w:pPr>
              <w:spacing w:after="40" w:line="276" w:lineRule="auto"/>
              <w:jc w:val="left"/>
            </w:pPr>
            <w:r>
              <w:rPr>
                <w:b w:val="0"/>
              </w:rPr>
              <w:t>4.2 Descriptive Statistics, Multivariate Visual Storytelling, Dimensionality Reduction and Time-Series Dynamics of Musical Characteristics</w:t>
            </w:r>
          </w:p>
        </w:tc>
        <w:tc>
          <w:tcPr>
            <w:tcW w:type="dxa" w:w="1224"/>
          </w:tcPr>
          <w:p>
            <w:pPr>
              <w:spacing w:after="40" w:line="276" w:lineRule="auto"/>
              <w:jc w:val="center"/>
            </w:pPr>
            <w:r>
              <w:rPr>
                <w:b w:val="0"/>
              </w:rPr>
              <w:t>17</w:t>
            </w:r>
          </w:p>
        </w:tc>
      </w:tr>
      <w:tr>
        <w:tc>
          <w:tcPr>
            <w:tcW w:type="dxa" w:w="1002"/>
          </w:tcPr>
          <w:p>
            <w:pPr>
              <w:spacing w:after="40" w:line="276" w:lineRule="auto"/>
              <w:jc w:val="center"/>
            </w:pPr>
            <w:r>
              <w:rPr>
                <w:b w:val="0"/>
              </w:rPr>
            </w:r>
          </w:p>
        </w:tc>
        <w:tc>
          <w:tcPr>
            <w:tcW w:type="dxa" w:w="6788"/>
          </w:tcPr>
          <w:p>
            <w:pPr>
              <w:spacing w:after="40" w:line="276" w:lineRule="auto"/>
              <w:jc w:val="left"/>
            </w:pPr>
            <w:r>
              <w:rPr>
                <w:b w:val="0"/>
              </w:rPr>
              <w:t>4.3 The SonicAtlas Interactive Query Platform: Architecture, Text Mining, Hypothesis Testing and Evaluation Framework</w:t>
            </w:r>
          </w:p>
        </w:tc>
        <w:tc>
          <w:tcPr>
            <w:tcW w:type="dxa" w:w="1224"/>
          </w:tcPr>
          <w:p>
            <w:pPr>
              <w:spacing w:after="40" w:line="276" w:lineRule="auto"/>
              <w:jc w:val="center"/>
            </w:pPr>
            <w:r>
              <w:rPr>
                <w:b w:val="0"/>
              </w:rPr>
              <w:t>30</w:t>
            </w:r>
          </w:p>
        </w:tc>
      </w:tr>
      <w:tr>
        <w:tc>
          <w:tcPr>
            <w:tcW w:type="dxa" w:w="1002"/>
          </w:tcPr>
          <w:p>
            <w:pPr>
              <w:spacing w:after="40" w:line="276" w:lineRule="auto"/>
              <w:jc w:val="center"/>
            </w:pPr>
            <w:r>
              <w:rPr>
                <w:b/>
              </w:rPr>
              <w:t>5.</w:t>
            </w:r>
          </w:p>
        </w:tc>
        <w:tc>
          <w:tcPr>
            <w:tcW w:type="dxa" w:w="6788"/>
          </w:tcPr>
          <w:p>
            <w:pPr>
              <w:spacing w:after="40" w:line="276" w:lineRule="auto"/>
              <w:jc w:val="left"/>
            </w:pPr>
            <w:r>
              <w:rPr>
                <w:b/>
              </w:rPr>
              <w:t>CONCLUSION</w:t>
            </w:r>
          </w:p>
        </w:tc>
        <w:tc>
          <w:tcPr>
            <w:tcW w:type="dxa" w:w="1224"/>
          </w:tcPr>
          <w:p>
            <w:pPr>
              <w:spacing w:after="40" w:line="276" w:lineRule="auto"/>
              <w:jc w:val="center"/>
            </w:pPr>
            <w:r>
              <w:rPr>
                <w:b w:val="0"/>
              </w:rPr>
              <w:t>38</w:t>
            </w:r>
          </w:p>
        </w:tc>
      </w:tr>
      <w:tr>
        <w:tc>
          <w:tcPr>
            <w:tcW w:type="dxa" w:w="1002"/>
          </w:tcPr>
          <w:p>
            <w:pPr>
              <w:spacing w:after="40" w:line="276" w:lineRule="auto"/>
              <w:jc w:val="center"/>
            </w:pPr>
            <w:r>
              <w:rPr>
                <w:b/>
              </w:rPr>
              <w:t>6.</w:t>
            </w:r>
          </w:p>
        </w:tc>
        <w:tc>
          <w:tcPr>
            <w:tcW w:type="dxa" w:w="6788"/>
          </w:tcPr>
          <w:p>
            <w:pPr>
              <w:spacing w:after="40" w:line="276" w:lineRule="auto"/>
              <w:jc w:val="left"/>
            </w:pPr>
            <w:r>
              <w:rPr>
                <w:b/>
              </w:rPr>
              <w:t>PROJECT OUTCOME</w:t>
            </w:r>
          </w:p>
        </w:tc>
        <w:tc>
          <w:tcPr>
            <w:tcW w:type="dxa" w:w="1224"/>
          </w:tcPr>
          <w:p>
            <w:pPr>
              <w:spacing w:after="40" w:line="276" w:lineRule="auto"/>
              <w:jc w:val="center"/>
            </w:pPr>
            <w:r>
              <w:rPr>
                <w:b w:val="0"/>
              </w:rPr>
              <w:t>39</w:t>
            </w:r>
          </w:p>
        </w:tc>
      </w:tr>
      <w:tr>
        <w:tc>
          <w:tcPr>
            <w:tcW w:type="dxa" w:w="1002"/>
          </w:tcPr>
          <w:p>
            <w:pPr>
              <w:spacing w:after="40" w:line="276" w:lineRule="auto"/>
              <w:jc w:val="center"/>
            </w:pPr>
            <w:r>
              <w:rPr>
                <w:b/>
              </w:rPr>
              <w:t>7.</w:t>
            </w:r>
          </w:p>
        </w:tc>
        <w:tc>
          <w:tcPr>
            <w:tcW w:type="dxa" w:w="6788"/>
          </w:tcPr>
          <w:p>
            <w:pPr>
              <w:spacing w:after="40" w:line="276" w:lineRule="auto"/>
              <w:jc w:val="left"/>
            </w:pPr>
            <w:r>
              <w:rPr>
                <w:b/>
              </w:rPr>
              <w:t>REFERENCES</w:t>
            </w:r>
          </w:p>
        </w:tc>
        <w:tc>
          <w:tcPr>
            <w:tcW w:type="dxa" w:w="1224"/>
          </w:tcPr>
          <w:p>
            <w:pPr>
              <w:spacing w:after="40" w:line="276" w:lineRule="auto"/>
              <w:jc w:val="center"/>
            </w:pPr>
            <w:r>
              <w:rPr>
                <w:b w:val="0"/>
              </w:rPr>
              <w:t>40</w:t>
            </w:r>
          </w:p>
        </w:tc>
      </w:tr>
    </w:tbl>
    <w:p>
      <w:pPr>
        <w:spacing w:after="0"/>
      </w:pPr>
      <w:r>
        <w:br w:type="page"/>
      </w:r>
    </w:p>
    <w:p>
      <w:pPr>
        <w:pStyle w:val="Heading1"/>
        <w:jc w:val="center"/>
      </w:pPr>
      <w:r>
        <w:t>1. ABSTRACT</w:t>
      </w:r>
    </w:p>
    <w:p>
      <w:pPr>
        <w:jc w:val="both"/>
      </w:pPr>
      <w:r>
        <w:rPr>
          <w:b w:val="0"/>
          <w:i w:val="0"/>
        </w:rPr>
        <w:t>Streaming platforms describe every track with a vector of model-derived audio descriptors, yet most public analyses of these descriptors stay inside static notebooks that only their authors can explore. This project presents SonicAtlas, an exploratory data analysis (EDA) study and an in-browser query platform built on 1,204,025 Spotify tracks released between 1900 and 2020, a genre-labelled table of 89,740 unique tracks across 114 genres, and a sample of Genius lyrics. Impossible values were repaired with MICE imputation, skewed fields were transformed, and outliers were flagged rather than removed. Descriptive statistics follow the course conventions (n-1 variance, Tukey quartiles, G1 and G2). Energy is tightly tied to loudness (r = 0.82) and opposed to acousticness (r = -0.80). Between 1959 and 2020 mean loudness rose from -17.4 dB to -9.7 dB while acousticness fell from 0.86 to 0.31. PCA needs 7 components for 90% of the variance; t-SNE keeps local structure best (trustworthiness 0.98). Genre explains 42.5% of the variance in danceability (ANOVA, p &lt; 0.001). All results are served through a static website that runs SQL on Parquet files inside the browser with DuckDB-WASM.</w:t>
      </w:r>
    </w:p>
    <w:p>
      <w:pPr>
        <w:jc w:val="both"/>
      </w:pPr>
      <w:r>
        <w:rPr>
          <w:b/>
          <w:i w:val="0"/>
        </w:rPr>
        <w:t>Keywords:</w:t>
      </w:r>
      <w:r>
        <w:rPr>
          <w:b w:val="0"/>
          <w:i w:val="0"/>
        </w:rPr>
        <w:t xml:space="preserve"> exploratory data analysis, Spotify audio features, dimensionality reduction, time series, lyrics mining, DuckDB-WASM, interactive visual analytics</w:t>
      </w:r>
    </w:p>
    <w:p>
      <w:pPr>
        <w:spacing w:after="0"/>
      </w:pPr>
      <w:r>
        <w:br w:type="page"/>
      </w:r>
    </w:p>
    <w:p>
      <w:pPr>
        <w:pStyle w:val="Heading1"/>
        <w:jc w:val="center"/>
      </w:pPr>
      <w:r>
        <w:t>2. INTRODUCTION</w:t>
      </w:r>
    </w:p>
    <w:p>
      <w:pPr>
        <w:pStyle w:val="Heading2"/>
        <w:jc w:val="left"/>
      </w:pPr>
      <w:r>
        <w:t>2.1 Background</w:t>
      </w:r>
    </w:p>
    <w:p>
      <w:pPr>
        <w:jc w:val="both"/>
      </w:pPr>
      <w:r>
        <w:rPr>
          <w:b w:val="0"/>
          <w:i w:val="0"/>
        </w:rPr>
        <w:t>Digital music services now hold catalogues of tens of millions of recordings. To organise and recommend this material, Spotify and similar services compute numerical descriptors for each recording: danceability, energy, valence (musical positivity), acousticness, instrumentalness, speechiness, liveness, loudness in decibels, tempo in beats per minute, key, mode and duration. Until late 2024 these values were available through a public Web API, and researchers and hobbyists collected them into large open tables that are still shared on Kaggle. Because the audio-features endpoint is no longer open to new applications, these archived tables have become the main public window onto the acoustic profile of recorded music.</w:t>
      </w:r>
    </w:p>
    <w:p>
      <w:pPr>
        <w:jc w:val="both"/>
      </w:pPr>
      <w:r>
        <w:rPr>
          <w:b w:val="0"/>
          <w:i w:val="0"/>
        </w:rPr>
        <w:t>Musicologists and data scientists have used such descriptors to ask how popular music has changed over time [9], [10], whether success can be predicted from sound [6], [7], and how genres differ [3], [4]. Lyrics add a second, textual view of the same songs; sentiment tools such as VADER [11] make it possible to compare the emotion of the words with the emotion of the sound. Exploratory Data Analysis, the practice of summarising and visualising data before building models, is the natural framework for this kind of open-ended question, and modern dimensionality-reduction methods such as PCA, t-SNE and LLE [16], [17], [18] allow a ten-dimensional audio space to be drawn as a readable map.</w:t>
      </w:r>
    </w:p>
    <w:p>
      <w:pPr>
        <w:pStyle w:val="Heading2"/>
        <w:jc w:val="left"/>
      </w:pPr>
      <w:r>
        <w:t>2.2 Motivations</w:t>
      </w:r>
    </w:p>
    <w:p>
      <w:pPr>
        <w:jc w:val="both"/>
      </w:pPr>
      <w:r>
        <w:rPr>
          <w:b w:val="0"/>
          <w:i w:val="0"/>
        </w:rPr>
        <w:t>Three observations motivated this project. First, most published analyses of Spotify features are static: a paper or notebook shows a fixed set of charts, and a reader who wants a different genre, decade or feature has to download the data and repeat the work. Second, automated EDA tools such as YData-Profiling, Sweetviz and D-Tale [29], [30], [31], [42] produce useful overviews but know nothing about music, so they cannot answer domain questions such as “when did recorded music become louder?”. Third, a browser-based analytical database (DuckDB compiled to WebAssembly) now makes it possible to run SQL over hundreds of thousands of rows on the reader’s own laptop with no server, which removes the hosting cost that usually stops student projects from becoming shared tools.</w:t>
      </w:r>
    </w:p>
    <w:p>
      <w:pPr>
        <w:jc w:val="both"/>
      </w:pPr>
      <w:r>
        <w:rPr>
          <w:b w:val="0"/>
          <w:i w:val="0"/>
        </w:rPr>
        <w:t>The course itself provided a further motivation. The BACSE301 syllabus covers descriptive statistics, correlation, multivariate plots (parallel coordinates and Andrews curves), PCA, SVD, t-SNE, LLE and time-series decomposition. A music catalogue exercises every one of these techniques on real, messy, large-scale data, and the faculty’s reading on a Streamlit-based EDA web application [25] showed that packaging an analysis as an interactive application is itself a recognised research contribution.</w:t>
      </w:r>
    </w:p>
    <w:p>
      <w:pPr>
        <w:pStyle w:val="Heading2"/>
        <w:jc w:val="left"/>
      </w:pPr>
      <w:r>
        <w:t>2.3 Scope of the Project</w:t>
      </w:r>
    </w:p>
    <w:p>
      <w:pPr>
        <w:jc w:val="both"/>
      </w:pPr>
      <w:r>
        <w:rPr>
          <w:b w:val="0"/>
          <w:i w:val="0"/>
        </w:rPr>
        <w:t>The project covers the full path from public raw files to a published, queryable tool. Its scope is organised into three core areas: (i) data engineering, which includes acquisition of three public Kaggle datasets, auditing, type conversion, MICE imputation of impossible values, transformation, scaling, outlier flagging and joining genre labels to the main catalogue; (ii) statistical and visual exploration, which includes descriptive statistics in the course conventions, correlation analysis, multivariate genre fingerprints, PCA/SVD, t-SNE, LLE and UMAP maps, clustering, time-series trend, seasonality and change-point analysis, hypothesis tests, feature selection and lyrics text mining; and (iii) the SonicAtlas platform, a static web application in which users filter, query, compare and map the data inside their own browser.</w:t>
      </w:r>
    </w:p>
    <w:p>
      <w:pPr>
        <w:jc w:val="both"/>
      </w:pPr>
      <w:r>
        <w:rPr>
          <w:b w:val="0"/>
          <w:i w:val="0"/>
        </w:rPr>
        <w:t>The project does not collect new audio, does not call the restricted Spotify Web API, and does not train a production recommender. Spotify’s descriptors are themselves outputs of proprietary models, so all conclusions are about these descriptors rather than about the underlying sound waves.</w:t>
      </w:r>
    </w:p>
    <w:p>
      <w:pPr>
        <w:spacing w:after="0"/>
      </w:pPr>
      <w:r>
        <w:br w:type="page"/>
      </w:r>
    </w:p>
    <w:p>
      <w:pPr>
        <w:pStyle w:val="Heading1"/>
        <w:jc w:val="center"/>
      </w:pPr>
      <w:r>
        <w:t>3. PROJECT DESCRIPTION AND GOALS</w:t>
      </w:r>
    </w:p>
    <w:p>
      <w:pPr>
        <w:pStyle w:val="Heading2"/>
        <w:jc w:val="left"/>
      </w:pPr>
      <w:r>
        <w:t>3.1 Literature Review</w:t>
      </w:r>
    </w:p>
    <w:p>
      <w:pPr>
        <w:jc w:val="both"/>
      </w:pPr>
      <w:r>
        <w:rPr>
          <w:b w:val="0"/>
          <w:i w:val="0"/>
        </w:rPr>
        <w:t>The review below covers 25 published works that were opened and checked through their DOI, arXiv or publisher pages; candidate papers were located with the research-discovery tools listed in the course handout [43], and the serial number of each row in the table equals its reference number in Section 7. They span audio-feature analysis, genre classification, popularity and trend studies, the long-term evolution of loudness and timbre, lyrics sentiment, recommendation, dimensionality reduction, automated EDA and in-browser analytics. TABLE I summarises each work, why it matters for SonicAtlas, and the drawback that SonicAtlas tries to address.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501"/>
        <w:gridCol w:w="1113"/>
        <w:gridCol w:w="1280"/>
        <w:gridCol w:w="1391"/>
        <w:gridCol w:w="1502"/>
        <w:gridCol w:w="1836"/>
        <w:gridCol w:w="1391"/>
      </w:tblGrid>
      <w:tr>
        <w:trPr>
          <w:tblHeader w:val="true"/>
        </w:trPr>
        <w:tc>
          <w:tcPr>
            <w:tcW w:type="dxa" w:w="501"/>
          </w:tcPr>
          <w:p>
            <w:pPr>
              <w:spacing w:line="240" w:lineRule="auto" w:after="0"/>
              <w:jc w:val="center"/>
            </w:pPr>
            <w:r/>
            <w:r>
              <w:rPr>
                <w:b/>
                <w:sz w:val="16"/>
              </w:rPr>
              <w:t>Sr. No</w:t>
            </w:r>
          </w:p>
        </w:tc>
        <w:tc>
          <w:tcPr>
            <w:tcW w:type="dxa" w:w="1113"/>
          </w:tcPr>
          <w:p>
            <w:pPr>
              <w:spacing w:line="240" w:lineRule="auto" w:after="0"/>
              <w:jc w:val="center"/>
            </w:pPr>
            <w:r/>
            <w:r>
              <w:rPr>
                <w:b/>
                <w:sz w:val="16"/>
              </w:rPr>
              <w:t>Author's Name</w:t>
            </w:r>
          </w:p>
        </w:tc>
        <w:tc>
          <w:tcPr>
            <w:tcW w:type="dxa" w:w="1280"/>
          </w:tcPr>
          <w:p>
            <w:pPr>
              <w:spacing w:line="240" w:lineRule="auto" w:after="0"/>
              <w:jc w:val="center"/>
            </w:pPr>
            <w:r/>
            <w:r>
              <w:rPr>
                <w:b/>
                <w:sz w:val="16"/>
              </w:rPr>
              <w:t>Title of Paper</w:t>
            </w:r>
          </w:p>
        </w:tc>
        <w:tc>
          <w:tcPr>
            <w:tcW w:type="dxa" w:w="1391"/>
          </w:tcPr>
          <w:p>
            <w:pPr>
              <w:spacing w:line="240" w:lineRule="auto" w:after="0"/>
              <w:jc w:val="center"/>
            </w:pPr>
            <w:r/>
            <w:r>
              <w:rPr>
                <w:b/>
                <w:sz w:val="16"/>
              </w:rPr>
              <w:t>Journal Name and link</w:t>
            </w:r>
          </w:p>
        </w:tc>
        <w:tc>
          <w:tcPr>
            <w:tcW w:type="dxa" w:w="1502"/>
          </w:tcPr>
          <w:p>
            <w:pPr>
              <w:spacing w:line="240" w:lineRule="auto" w:after="0"/>
              <w:jc w:val="center"/>
            </w:pPr>
            <w:r/>
            <w:r>
              <w:rPr>
                <w:b/>
                <w:sz w:val="16"/>
              </w:rPr>
              <w:t>Why this paper matters?</w:t>
            </w:r>
          </w:p>
        </w:tc>
        <w:tc>
          <w:tcPr>
            <w:tcW w:type="dxa" w:w="1836"/>
          </w:tcPr>
          <w:p>
            <w:pPr>
              <w:spacing w:line="240" w:lineRule="auto" w:after="0"/>
              <w:jc w:val="center"/>
            </w:pPr>
            <w:r/>
            <w:r>
              <w:rPr>
                <w:b/>
                <w:sz w:val="16"/>
              </w:rPr>
              <w:t>Description of their Work</w:t>
            </w:r>
          </w:p>
        </w:tc>
        <w:tc>
          <w:tcPr>
            <w:tcW w:type="dxa" w:w="1391"/>
          </w:tcPr>
          <w:p>
            <w:pPr>
              <w:spacing w:line="240" w:lineRule="auto" w:after="0"/>
              <w:jc w:val="center"/>
            </w:pPr>
            <w:r/>
            <w:r>
              <w:rPr>
                <w:b/>
                <w:sz w:val="16"/>
              </w:rPr>
              <w:t>Drawbacks Found in that</w:t>
            </w:r>
          </w:p>
        </w:tc>
      </w:tr>
      <w:tr>
        <w:tc>
          <w:tcPr>
            <w:tcW w:type="dxa" w:w="501"/>
          </w:tcPr>
          <w:p>
            <w:pPr>
              <w:spacing w:line="240" w:lineRule="auto" w:after="0"/>
              <w:jc w:val="center"/>
            </w:pPr>
            <w:r>
              <w:rPr>
                <w:b w:val="0"/>
                <w:i w:val="0"/>
                <w:sz w:val="16"/>
              </w:rPr>
              <w:t>1</w:t>
            </w:r>
          </w:p>
        </w:tc>
        <w:tc>
          <w:tcPr>
            <w:tcW w:type="dxa" w:w="1113"/>
          </w:tcPr>
          <w:p>
            <w:pPr>
              <w:spacing w:line="240" w:lineRule="auto" w:after="0"/>
              <w:jc w:val="left"/>
            </w:pPr>
            <w:r>
              <w:rPr>
                <w:b w:val="0"/>
                <w:i w:val="0"/>
                <w:sz w:val="16"/>
              </w:rPr>
              <w:t>T. Bertin-Mahieux, D. P. W. Ellis, B. Whitman, P. Lamere</w:t>
            </w:r>
          </w:p>
        </w:tc>
        <w:tc>
          <w:tcPr>
            <w:tcW w:type="dxa" w:w="1280"/>
          </w:tcPr>
          <w:p>
            <w:pPr>
              <w:spacing w:line="240" w:lineRule="auto" w:after="0"/>
              <w:jc w:val="left"/>
            </w:pPr>
            <w:r>
              <w:rPr>
                <w:b w:val="0"/>
                <w:i w:val="0"/>
                <w:sz w:val="16"/>
              </w:rPr>
              <w:t>The Million Song Dataset</w:t>
            </w:r>
          </w:p>
        </w:tc>
        <w:tc>
          <w:tcPr>
            <w:tcW w:type="dxa" w:w="1391"/>
          </w:tcPr>
          <w:p>
            <w:pPr>
              <w:spacing w:line="240" w:lineRule="auto" w:after="0"/>
              <w:jc w:val="left"/>
            </w:pPr>
            <w:r>
              <w:rPr>
                <w:sz w:val="16"/>
              </w:rPr>
              <w:t xml:space="preserve">Proc. 12th International Society for Music Information Retrieval Conference (ISMIR 2011), Miami, FL, USA, pp. 591-596, 2011 </w:t>
            </w:r>
            <w:hyperlink r:id="rId10">
              <w:r>
                <w:rPr>
                  <w:rFonts w:ascii="Times New Roman" w:hAnsi="Times New Roman"/>
                  <w:color w:val="0000EE"/>
                  <w:u w:val="single"/>
                  <w:sz w:val="14"/>
                </w:rPr>
                <w:t xml:space="preserve">https://ismir2011.ismir.net/papers/OS6-1.pdf</w:t>
              </w:r>
            </w:hyperlink>
          </w:p>
        </w:tc>
        <w:tc>
          <w:tcPr>
            <w:tcW w:type="dxa" w:w="1502"/>
          </w:tcPr>
          <w:p>
            <w:pPr>
              <w:spacing w:line="240" w:lineRule="auto" w:after="0"/>
              <w:jc w:val="left"/>
            </w:pPr>
            <w:r>
              <w:rPr>
                <w:b w:val="0"/>
                <w:i w:val="0"/>
                <w:sz w:val="16"/>
              </w:rPr>
              <w:t>It is the large-scale ancestor of the Echo Nest/Spotify-style audio descriptors (loudness, tempo, timbre) that SonicAtlas profiles across genres and eras.</w:t>
            </w:r>
          </w:p>
        </w:tc>
        <w:tc>
          <w:tcPr>
            <w:tcW w:type="dxa" w:w="1836"/>
          </w:tcPr>
          <w:p>
            <w:pPr>
              <w:spacing w:line="240" w:lineRule="auto" w:after="0"/>
              <w:jc w:val="left"/>
            </w:pPr>
            <w:r>
              <w:rPr>
                <w:b w:val="0"/>
                <w:i w:val="0"/>
                <w:sz w:val="16"/>
              </w:rPr>
              <w:t>The authors release a free collection of pre-computed audio features and metadata for one million commercial popular-music tracks and describe how it was assembled and linked to other resources. As a showcase they predict a track's release year from its audio descriptors and report encouraging results.</w:t>
            </w:r>
          </w:p>
        </w:tc>
        <w:tc>
          <w:tcPr>
            <w:tcW w:type="dxa" w:w="1391"/>
          </w:tcPr>
          <w:p>
            <w:pPr>
              <w:spacing w:line="240" w:lineRule="auto" w:after="0"/>
              <w:jc w:val="left"/>
            </w:pPr>
            <w:r>
              <w:rPr>
                <w:b w:val="0"/>
                <w:i w:val="0"/>
                <w:sz w:val="16"/>
              </w:rPr>
              <w:t>Raw audio is not distributed and the features are frozen Echo Nest outputs, so the paper offers a dataset rather than any exploratory or interactive analysis of it.</w:t>
            </w:r>
          </w:p>
        </w:tc>
      </w:tr>
      <w:tr>
        <w:tc>
          <w:tcPr>
            <w:tcW w:type="dxa" w:w="501"/>
          </w:tcPr>
          <w:p>
            <w:pPr>
              <w:spacing w:line="240" w:lineRule="auto" w:after="0"/>
              <w:jc w:val="center"/>
            </w:pPr>
            <w:r>
              <w:rPr>
                <w:b w:val="0"/>
                <w:i w:val="0"/>
                <w:sz w:val="16"/>
              </w:rPr>
              <w:t>2</w:t>
            </w:r>
          </w:p>
        </w:tc>
        <w:tc>
          <w:tcPr>
            <w:tcW w:type="dxa" w:w="1113"/>
          </w:tcPr>
          <w:p>
            <w:pPr>
              <w:spacing w:line="240" w:lineRule="auto" w:after="0"/>
              <w:jc w:val="left"/>
            </w:pPr>
            <w:r>
              <w:rPr>
                <w:b w:val="0"/>
                <w:i w:val="0"/>
                <w:sz w:val="16"/>
              </w:rPr>
              <w:t>R. Panda, R. Malheiro, R. P. Paiva</w:t>
            </w:r>
          </w:p>
        </w:tc>
        <w:tc>
          <w:tcPr>
            <w:tcW w:type="dxa" w:w="1280"/>
          </w:tcPr>
          <w:p>
            <w:pPr>
              <w:spacing w:line="240" w:lineRule="auto" w:after="0"/>
              <w:jc w:val="left"/>
            </w:pPr>
            <w:r>
              <w:rPr>
                <w:b w:val="0"/>
                <w:i w:val="0"/>
                <w:sz w:val="16"/>
              </w:rPr>
              <w:t>Novel Audio Features for Music Emotion Recognition</w:t>
            </w:r>
          </w:p>
        </w:tc>
        <w:tc>
          <w:tcPr>
            <w:tcW w:type="dxa" w:w="1391"/>
          </w:tcPr>
          <w:p>
            <w:pPr>
              <w:spacing w:line="240" w:lineRule="auto" w:after="0"/>
              <w:jc w:val="left"/>
            </w:pPr>
            <w:r>
              <w:rPr>
                <w:sz w:val="16"/>
              </w:rPr>
              <w:t xml:space="preserve">IEEE Transactions on Affective Computing, vol. 11, no. 4, pp. 614-626, 2020 </w:t>
            </w:r>
            <w:hyperlink r:id="rId11">
              <w:r>
                <w:rPr>
                  <w:rFonts w:ascii="Times New Roman" w:hAnsi="Times New Roman"/>
                  <w:color w:val="0000EE"/>
                  <w:u w:val="single"/>
                  <w:sz w:val="14"/>
                </w:rPr>
                <w:t xml:space="preserve">https://doi.org/10.1109/TAFFC.2018.2820691</w:t>
              </w:r>
            </w:hyperlink>
          </w:p>
        </w:tc>
        <w:tc>
          <w:tcPr>
            <w:tcW w:type="dxa" w:w="1502"/>
          </w:tcPr>
          <w:p>
            <w:pPr>
              <w:spacing w:line="240" w:lineRule="auto" w:after="0"/>
              <w:jc w:val="left"/>
            </w:pPr>
            <w:r>
              <w:rPr>
                <w:b w:val="0"/>
                <w:i w:val="0"/>
                <w:sz w:val="16"/>
              </w:rPr>
              <w:t>It links low-level audio descriptors to perceived emotion, which helps interpret Spotify's valence and energy fields that SonicAtlas maps.</w:t>
            </w:r>
          </w:p>
        </w:tc>
        <w:tc>
          <w:tcPr>
            <w:tcW w:type="dxa" w:w="1836"/>
          </w:tcPr>
          <w:p>
            <w:pPr>
              <w:spacing w:line="240" w:lineRule="auto" w:after="0"/>
              <w:jc w:val="left"/>
            </w:pPr>
            <w:r>
              <w:rPr>
                <w:b w:val="0"/>
                <w:i w:val="0"/>
                <w:sz w:val="16"/>
              </w:rPr>
              <w:t>The work audits which musical concepts existing feature extractors miss and proposes new descriptors for texture and expressive technique, evaluated on a new 900-clip dataset labelled by Russell's emotion quadrants. Adding the new features raised the F1-score of emotion classification by roughly nine points over a baseline-only feature set.</w:t>
            </w:r>
          </w:p>
        </w:tc>
        <w:tc>
          <w:tcPr>
            <w:tcW w:type="dxa" w:w="1391"/>
          </w:tcPr>
          <w:p>
            <w:pPr>
              <w:spacing w:line="240" w:lineRule="auto" w:after="0"/>
              <w:jc w:val="left"/>
            </w:pPr>
            <w:r>
              <w:rPr>
                <w:b w:val="0"/>
                <w:i w:val="0"/>
                <w:sz w:val="16"/>
              </w:rPr>
              <w:t>The dataset is small (900 clips) and focused on classification accuracy; it does not study genre or decade trends and provides no exploratory tool.</w:t>
            </w:r>
          </w:p>
        </w:tc>
      </w:tr>
      <w:tr>
        <w:tc>
          <w:tcPr>
            <w:tcW w:type="dxa" w:w="501"/>
          </w:tcPr>
          <w:p>
            <w:pPr>
              <w:spacing w:line="240" w:lineRule="auto" w:after="0"/>
              <w:jc w:val="center"/>
            </w:pPr>
            <w:r>
              <w:rPr>
                <w:b w:val="0"/>
                <w:i w:val="0"/>
                <w:sz w:val="16"/>
              </w:rPr>
              <w:t>3</w:t>
            </w:r>
          </w:p>
        </w:tc>
        <w:tc>
          <w:tcPr>
            <w:tcW w:type="dxa" w:w="1113"/>
          </w:tcPr>
          <w:p>
            <w:pPr>
              <w:spacing w:line="240" w:lineRule="auto" w:after="0"/>
              <w:jc w:val="left"/>
            </w:pPr>
            <w:r>
              <w:rPr>
                <w:b w:val="0"/>
                <w:i w:val="0"/>
                <w:sz w:val="16"/>
              </w:rPr>
              <w:t>G. Tzanetakis, P. Cook</w:t>
            </w:r>
          </w:p>
        </w:tc>
        <w:tc>
          <w:tcPr>
            <w:tcW w:type="dxa" w:w="1280"/>
          </w:tcPr>
          <w:p>
            <w:pPr>
              <w:spacing w:line="240" w:lineRule="auto" w:after="0"/>
              <w:jc w:val="left"/>
            </w:pPr>
            <w:r>
              <w:rPr>
                <w:b w:val="0"/>
                <w:i w:val="0"/>
                <w:sz w:val="16"/>
              </w:rPr>
              <w:t>Musical genre classification of audio signals</w:t>
            </w:r>
          </w:p>
        </w:tc>
        <w:tc>
          <w:tcPr>
            <w:tcW w:type="dxa" w:w="1391"/>
          </w:tcPr>
          <w:p>
            <w:pPr>
              <w:spacing w:line="240" w:lineRule="auto" w:after="0"/>
              <w:jc w:val="left"/>
            </w:pPr>
            <w:r>
              <w:rPr>
                <w:sz w:val="16"/>
              </w:rPr>
              <w:t xml:space="preserve">IEEE Transactions on Speech and Audio Processing, vol. 10, no. 5, pp. 293-302, Jul. 2002 </w:t>
            </w:r>
            <w:hyperlink r:id="rId12">
              <w:r>
                <w:rPr>
                  <w:rFonts w:ascii="Times New Roman" w:hAnsi="Times New Roman"/>
                  <w:color w:val="0000EE"/>
                  <w:u w:val="single"/>
                  <w:sz w:val="14"/>
                </w:rPr>
                <w:t xml:space="preserve">https://doi.org/10.1109/TSA.2002.800560</w:t>
              </w:r>
            </w:hyperlink>
          </w:p>
        </w:tc>
        <w:tc>
          <w:tcPr>
            <w:tcW w:type="dxa" w:w="1502"/>
          </w:tcPr>
          <w:p>
            <w:pPr>
              <w:spacing w:line="240" w:lineRule="auto" w:after="0"/>
              <w:jc w:val="left"/>
            </w:pPr>
            <w:r>
              <w:rPr>
                <w:b w:val="0"/>
                <w:i w:val="0"/>
                <w:sz w:val="16"/>
              </w:rPr>
              <w:t>It is the canonical baseline showing that hand-crafted timbre, rhythm and pitch features separate genres, the same premise behind SonicAtlas's genre comparisons.</w:t>
            </w:r>
          </w:p>
        </w:tc>
        <w:tc>
          <w:tcPr>
            <w:tcW w:type="dxa" w:w="1836"/>
          </w:tcPr>
          <w:p>
            <w:pPr>
              <w:spacing w:line="240" w:lineRule="auto" w:after="0"/>
              <w:jc w:val="left"/>
            </w:pPr>
            <w:r>
              <w:rPr>
                <w:b w:val="0"/>
                <w:i w:val="0"/>
                <w:sz w:val="16"/>
              </w:rPr>
              <w:t>The paper proposes three feature families describing timbral texture, rhythmic content and pitch content, and uses them to classify audio into a hierarchy of genres. It analyses how much each feature set contributes and introduced the dataset later known as GTZAN.</w:t>
            </w:r>
          </w:p>
        </w:tc>
        <w:tc>
          <w:tcPr>
            <w:tcW w:type="dxa" w:w="1391"/>
          </w:tcPr>
          <w:p>
            <w:pPr>
              <w:spacing w:line="240" w:lineRule="auto" w:after="0"/>
              <w:jc w:val="left"/>
            </w:pPr>
            <w:r>
              <w:rPr>
                <w:b w:val="0"/>
                <w:i w:val="0"/>
                <w:sz w:val="16"/>
              </w:rPr>
              <w:t>It works on a few hundred short clips and reports classifier accuracy only, with no temporal (era) analysis, lyrics, or interactive exploration.</w:t>
            </w:r>
          </w:p>
        </w:tc>
      </w:tr>
      <w:tr>
        <w:tc>
          <w:tcPr>
            <w:tcW w:type="dxa" w:w="501"/>
          </w:tcPr>
          <w:p>
            <w:pPr>
              <w:spacing w:line="240" w:lineRule="auto" w:after="0"/>
              <w:jc w:val="center"/>
            </w:pPr>
            <w:r>
              <w:rPr>
                <w:b w:val="0"/>
                <w:i w:val="0"/>
                <w:sz w:val="16"/>
              </w:rPr>
              <w:t>4</w:t>
            </w:r>
          </w:p>
        </w:tc>
        <w:tc>
          <w:tcPr>
            <w:tcW w:type="dxa" w:w="1113"/>
          </w:tcPr>
          <w:p>
            <w:pPr>
              <w:spacing w:line="240" w:lineRule="auto" w:after="0"/>
              <w:jc w:val="left"/>
            </w:pPr>
            <w:r>
              <w:rPr>
                <w:b w:val="0"/>
                <w:i w:val="0"/>
                <w:sz w:val="16"/>
              </w:rPr>
              <w:t>K. Choi, G. Fazekas, M. Sandler, K. Cho</w:t>
            </w:r>
          </w:p>
        </w:tc>
        <w:tc>
          <w:tcPr>
            <w:tcW w:type="dxa" w:w="1280"/>
          </w:tcPr>
          <w:p>
            <w:pPr>
              <w:spacing w:line="240" w:lineRule="auto" w:after="0"/>
              <w:jc w:val="left"/>
            </w:pPr>
            <w:r>
              <w:rPr>
                <w:b w:val="0"/>
                <w:i w:val="0"/>
                <w:sz w:val="16"/>
              </w:rPr>
              <w:t>Convolutional recurrent neural networks for music classification</w:t>
            </w:r>
          </w:p>
        </w:tc>
        <w:tc>
          <w:tcPr>
            <w:tcW w:type="dxa" w:w="1391"/>
          </w:tcPr>
          <w:p>
            <w:pPr>
              <w:spacing w:line="240" w:lineRule="auto" w:after="0"/>
              <w:jc w:val="left"/>
            </w:pPr>
            <w:r>
              <w:rPr>
                <w:sz w:val="16"/>
              </w:rPr>
              <w:t xml:space="preserve">Proc. 2017 IEEE International Conference on Acoustics, Speech and Signal Processing (ICASSP), New Orleans, LA, USA, pp. 2392-2396, 2017 </w:t>
            </w:r>
            <w:hyperlink r:id="rId13">
              <w:r>
                <w:rPr>
                  <w:rFonts w:ascii="Times New Roman" w:hAnsi="Times New Roman"/>
                  <w:color w:val="0000EE"/>
                  <w:u w:val="single"/>
                  <w:sz w:val="14"/>
                </w:rPr>
                <w:t xml:space="preserve">https://doi.org/10.1109/ICASSP.2017.7952585</w:t>
              </w:r>
            </w:hyperlink>
          </w:p>
        </w:tc>
        <w:tc>
          <w:tcPr>
            <w:tcW w:type="dxa" w:w="1502"/>
          </w:tcPr>
          <w:p>
            <w:pPr>
              <w:spacing w:line="240" w:lineRule="auto" w:after="0"/>
              <w:jc w:val="left"/>
            </w:pPr>
            <w:r>
              <w:rPr>
                <w:b w:val="0"/>
                <w:i w:val="0"/>
                <w:sz w:val="16"/>
              </w:rPr>
              <w:t>It represents the deep-learning route to genre/tag prediction that SonicAtlas contrasts with its transparent, feature-level EDA.</w:t>
            </w:r>
          </w:p>
        </w:tc>
        <w:tc>
          <w:tcPr>
            <w:tcW w:type="dxa" w:w="1836"/>
          </w:tcPr>
          <w:p>
            <w:pPr>
              <w:spacing w:line="240" w:lineRule="auto" w:after="0"/>
              <w:jc w:val="left"/>
            </w:pPr>
            <w:r>
              <w:rPr>
                <w:b w:val="0"/>
                <w:i w:val="0"/>
                <w:sz w:val="16"/>
              </w:rPr>
              <w:t>The authors combine convolutional layers for local feature extraction with recurrent layers that summarise the sequence over time for music tagging. Compared with three CNN designs at matched parameter counts, the hybrid model gave strong accuracy for its size and training cost.</w:t>
            </w:r>
          </w:p>
        </w:tc>
        <w:tc>
          <w:tcPr>
            <w:tcW w:type="dxa" w:w="1391"/>
          </w:tcPr>
          <w:p>
            <w:pPr>
              <w:spacing w:line="240" w:lineRule="auto" w:after="0"/>
              <w:jc w:val="left"/>
            </w:pPr>
            <w:r>
              <w:rPr>
                <w:b w:val="0"/>
                <w:i w:val="0"/>
                <w:sz w:val="16"/>
              </w:rPr>
              <w:t>The models learn opaque representations from spectrograms, which makes it hard to explain which musical properties drive a genre label, and no exploratory interface is offered.</w:t>
            </w:r>
          </w:p>
        </w:tc>
      </w:tr>
      <w:tr>
        <w:tc>
          <w:tcPr>
            <w:tcW w:type="dxa" w:w="501"/>
          </w:tcPr>
          <w:p>
            <w:pPr>
              <w:spacing w:line="240" w:lineRule="auto" w:after="0"/>
              <w:jc w:val="center"/>
            </w:pPr>
            <w:r>
              <w:rPr>
                <w:b w:val="0"/>
                <w:i w:val="0"/>
                <w:sz w:val="16"/>
              </w:rPr>
              <w:t>5</w:t>
            </w:r>
          </w:p>
        </w:tc>
        <w:tc>
          <w:tcPr>
            <w:tcW w:type="dxa" w:w="1113"/>
          </w:tcPr>
          <w:p>
            <w:pPr>
              <w:spacing w:line="240" w:lineRule="auto" w:after="0"/>
              <w:jc w:val="center"/>
            </w:pPr>
            <w:r>
              <w:rPr>
                <w:b w:val="0"/>
                <w:i w:val="0"/>
                <w:sz w:val="16"/>
              </w:rPr>
              <w:t>B. L. Sturm</w:t>
            </w:r>
          </w:p>
        </w:tc>
        <w:tc>
          <w:tcPr>
            <w:tcW w:type="dxa" w:w="1280"/>
          </w:tcPr>
          <w:p>
            <w:pPr>
              <w:spacing w:line="240" w:lineRule="auto" w:after="0"/>
              <w:jc w:val="left"/>
            </w:pPr>
            <w:r>
              <w:rPr>
                <w:b w:val="0"/>
                <w:i w:val="0"/>
                <w:sz w:val="16"/>
              </w:rPr>
              <w:t>The GTZAN dataset: Its contents, its faults, their effects on evaluation, and its future use</w:t>
            </w:r>
          </w:p>
        </w:tc>
        <w:tc>
          <w:tcPr>
            <w:tcW w:type="dxa" w:w="1391"/>
          </w:tcPr>
          <w:p>
            <w:pPr>
              <w:spacing w:line="240" w:lineRule="auto" w:after="0"/>
              <w:jc w:val="left"/>
            </w:pPr>
            <w:r>
              <w:rPr>
                <w:sz w:val="16"/>
              </w:rPr>
              <w:t xml:space="preserve">arXiv preprint arXiv:1306.1461, 2013 </w:t>
            </w:r>
            <w:hyperlink r:id="rId14">
              <w:r>
                <w:rPr>
                  <w:rFonts w:ascii="Times New Roman" w:hAnsi="Times New Roman"/>
                  <w:color w:val="0000EE"/>
                  <w:u w:val="single"/>
                  <w:sz w:val="14"/>
                </w:rPr>
                <w:t xml:space="preserve">https://arxiv.org/abs/1306.1461</w:t>
              </w:r>
            </w:hyperlink>
          </w:p>
        </w:tc>
        <w:tc>
          <w:tcPr>
            <w:tcW w:type="dxa" w:w="1502"/>
          </w:tcPr>
          <w:p>
            <w:pPr>
              <w:spacing w:line="240" w:lineRule="auto" w:after="0"/>
              <w:jc w:val="left"/>
            </w:pPr>
            <w:r>
              <w:rPr>
                <w:b w:val="0"/>
                <w:i w:val="0"/>
                <w:sz w:val="16"/>
              </w:rPr>
              <w:t>It warns that genre datasets contain duplicates and mislabels, motivating the data-quality and duplicate checks SonicAtlas runs before comparing genres.</w:t>
            </w:r>
          </w:p>
        </w:tc>
        <w:tc>
          <w:tcPr>
            <w:tcW w:type="dxa" w:w="1836"/>
          </w:tcPr>
          <w:p>
            <w:pPr>
              <w:spacing w:line="240" w:lineRule="auto" w:after="0"/>
              <w:jc w:val="left"/>
            </w:pPr>
            <w:r>
              <w:rPr>
                <w:b w:val="0"/>
                <w:i w:val="0"/>
                <w:sz w:val="16"/>
              </w:rPr>
              <w:t>Sturm catalogues the repetitions, mislabelled excerpts and distortions in GTZAN and surveys how often prior work used it without noticing. He shows the faults change the evaluation of several genre-recognition systems in different ways and argues for careful rather than blind use of the dataset.</w:t>
            </w:r>
          </w:p>
        </w:tc>
        <w:tc>
          <w:tcPr>
            <w:tcW w:type="dxa" w:w="1391"/>
          </w:tcPr>
          <w:p>
            <w:pPr>
              <w:spacing w:line="240" w:lineRule="auto" w:after="0"/>
              <w:jc w:val="left"/>
            </w:pPr>
            <w:r>
              <w:rPr>
                <w:b w:val="0"/>
                <w:i w:val="0"/>
                <w:sz w:val="16"/>
              </w:rPr>
              <w:t>It is a critique of one small benchmark and does not provide tools for auditing large Spotify-scale tables interactively.</w:t>
            </w:r>
          </w:p>
        </w:tc>
      </w:tr>
      <w:tr>
        <w:tc>
          <w:tcPr>
            <w:tcW w:type="dxa" w:w="501"/>
          </w:tcPr>
          <w:p>
            <w:pPr>
              <w:spacing w:line="240" w:lineRule="auto" w:after="0"/>
              <w:jc w:val="center"/>
            </w:pPr>
            <w:r>
              <w:rPr>
                <w:b w:val="0"/>
                <w:i w:val="0"/>
                <w:sz w:val="16"/>
              </w:rPr>
              <w:t>6</w:t>
            </w:r>
          </w:p>
        </w:tc>
        <w:tc>
          <w:tcPr>
            <w:tcW w:type="dxa" w:w="1113"/>
          </w:tcPr>
          <w:p>
            <w:pPr>
              <w:spacing w:line="240" w:lineRule="auto" w:after="0"/>
              <w:jc w:val="left"/>
            </w:pPr>
            <w:r>
              <w:rPr>
                <w:b w:val="0"/>
                <w:i w:val="0"/>
                <w:sz w:val="16"/>
              </w:rPr>
              <w:t>M. Interiano, K. Kazemi, L. Wang, J. Yang, Z. Yu, N. L. Komarova</w:t>
            </w:r>
          </w:p>
        </w:tc>
        <w:tc>
          <w:tcPr>
            <w:tcW w:type="dxa" w:w="1280"/>
          </w:tcPr>
          <w:p>
            <w:pPr>
              <w:spacing w:line="240" w:lineRule="auto" w:after="0"/>
              <w:jc w:val="left"/>
            </w:pPr>
            <w:r>
              <w:rPr>
                <w:b w:val="0"/>
                <w:i w:val="0"/>
                <w:sz w:val="16"/>
              </w:rPr>
              <w:t>Musical trends and predictability of success in contemporary songs in and out of the top charts</w:t>
            </w:r>
          </w:p>
        </w:tc>
        <w:tc>
          <w:tcPr>
            <w:tcW w:type="dxa" w:w="1391"/>
          </w:tcPr>
          <w:p>
            <w:pPr>
              <w:spacing w:line="240" w:lineRule="auto" w:after="0"/>
              <w:jc w:val="left"/>
            </w:pPr>
            <w:r>
              <w:rPr>
                <w:sz w:val="16"/>
              </w:rPr>
              <w:t xml:space="preserve">Royal Society Open Science, vol. 5, no. 5, Art. no. 171274, 2018 </w:t>
            </w:r>
            <w:hyperlink r:id="rId15">
              <w:r>
                <w:rPr>
                  <w:rFonts w:ascii="Times New Roman" w:hAnsi="Times New Roman"/>
                  <w:color w:val="0000EE"/>
                  <w:u w:val="single"/>
                  <w:sz w:val="14"/>
                </w:rPr>
                <w:t xml:space="preserve">https://doi.org/10.1098/rsos.171274</w:t>
              </w:r>
            </w:hyperlink>
          </w:p>
        </w:tc>
        <w:tc>
          <w:tcPr>
            <w:tcW w:type="dxa" w:w="1502"/>
          </w:tcPr>
          <w:p>
            <w:pPr>
              <w:spacing w:line="240" w:lineRule="auto" w:after="0"/>
              <w:jc w:val="left"/>
            </w:pPr>
            <w:r>
              <w:rPr>
                <w:b w:val="0"/>
                <w:i w:val="0"/>
                <w:sz w:val="16"/>
              </w:rPr>
              <w:t>It is the closest prior study to SonicAtlas, tracking acoustic descriptors across three decades and relating them to chart success.</w:t>
            </w:r>
          </w:p>
        </w:tc>
        <w:tc>
          <w:tcPr>
            <w:tcW w:type="dxa" w:w="1836"/>
          </w:tcPr>
          <w:p>
            <w:pPr>
              <w:spacing w:line="240" w:lineRule="auto" w:after="0"/>
              <w:jc w:val="left"/>
            </w:pPr>
            <w:r>
              <w:rPr>
                <w:b w:val="0"/>
                <w:i w:val="0"/>
                <w:sz w:val="16"/>
              </w:rPr>
              <w:t>Using over half a million UK releases from 1985-2015, the authors find long-term declines in 'happiness' and 'brightness' and a small rise in 'sadness', while chart hits tend to be happier, more party-like and less relaxed than typical releases. They then train random-forest models on acoustic features to estimate how predictable chart success is.</w:t>
            </w:r>
          </w:p>
        </w:tc>
        <w:tc>
          <w:tcPr>
            <w:tcW w:type="dxa" w:w="1391"/>
          </w:tcPr>
          <w:p>
            <w:pPr>
              <w:spacing w:line="240" w:lineRule="auto" w:after="0"/>
              <w:jc w:val="left"/>
            </w:pPr>
            <w:r>
              <w:rPr>
                <w:b w:val="0"/>
                <w:i w:val="0"/>
                <w:sz w:val="16"/>
              </w:rPr>
              <w:t>Findings are reported as static figures for one market, without lyrics content or an interactive environment for others to re-slice the data.</w:t>
            </w:r>
          </w:p>
        </w:tc>
      </w:tr>
      <w:tr>
        <w:tc>
          <w:tcPr>
            <w:tcW w:type="dxa" w:w="501"/>
          </w:tcPr>
          <w:p>
            <w:pPr>
              <w:spacing w:line="240" w:lineRule="auto" w:after="0"/>
              <w:jc w:val="center"/>
            </w:pPr>
            <w:r>
              <w:rPr>
                <w:b w:val="0"/>
                <w:i w:val="0"/>
                <w:sz w:val="16"/>
              </w:rPr>
              <w:t>7</w:t>
            </w:r>
          </w:p>
        </w:tc>
        <w:tc>
          <w:tcPr>
            <w:tcW w:type="dxa" w:w="1113"/>
          </w:tcPr>
          <w:p>
            <w:pPr>
              <w:spacing w:line="240" w:lineRule="auto" w:after="0"/>
              <w:jc w:val="left"/>
            </w:pPr>
            <w:r>
              <w:rPr>
                <w:b w:val="0"/>
                <w:i w:val="0"/>
                <w:sz w:val="16"/>
              </w:rPr>
              <w:t>N. Askin, M. Mauskapf</w:t>
            </w:r>
          </w:p>
        </w:tc>
        <w:tc>
          <w:tcPr>
            <w:tcW w:type="dxa" w:w="1280"/>
          </w:tcPr>
          <w:p>
            <w:pPr>
              <w:spacing w:line="240" w:lineRule="auto" w:after="0"/>
              <w:jc w:val="left"/>
            </w:pPr>
            <w:r>
              <w:rPr>
                <w:b w:val="0"/>
                <w:i w:val="0"/>
                <w:sz w:val="16"/>
              </w:rPr>
              <w:t>What Makes Popular Culture Popular? Product Features and Optimal Differentiation in Music</w:t>
            </w:r>
          </w:p>
        </w:tc>
        <w:tc>
          <w:tcPr>
            <w:tcW w:type="dxa" w:w="1391"/>
          </w:tcPr>
          <w:p>
            <w:pPr>
              <w:spacing w:line="240" w:lineRule="auto" w:after="0"/>
              <w:jc w:val="left"/>
            </w:pPr>
            <w:r>
              <w:rPr>
                <w:sz w:val="16"/>
              </w:rPr>
              <w:t xml:space="preserve">American Sociological Review, vol. 82, no. 5, pp. 910-944, Oct. 2017 </w:t>
            </w:r>
            <w:hyperlink r:id="rId16">
              <w:r>
                <w:rPr>
                  <w:rFonts w:ascii="Times New Roman" w:hAnsi="Times New Roman"/>
                  <w:color w:val="0000EE"/>
                  <w:u w:val="single"/>
                  <w:sz w:val="14"/>
                </w:rPr>
                <w:t xml:space="preserve">https://doi.org/10.1177/0003122417728662</w:t>
              </w:r>
            </w:hyperlink>
          </w:p>
        </w:tc>
        <w:tc>
          <w:tcPr>
            <w:tcW w:type="dxa" w:w="1502"/>
          </w:tcPr>
          <w:p>
            <w:pPr>
              <w:spacing w:line="240" w:lineRule="auto" w:after="0"/>
              <w:jc w:val="left"/>
            </w:pPr>
            <w:r>
              <w:rPr>
                <w:b w:val="0"/>
                <w:i w:val="0"/>
                <w:sz w:val="16"/>
              </w:rPr>
              <w:t>It shows that a song's position in audio-feature space relative to its peers matters for success, supporting SonicAtlas's similarity-map view.</w:t>
            </w:r>
          </w:p>
        </w:tc>
        <w:tc>
          <w:tcPr>
            <w:tcW w:type="dxa" w:w="1836"/>
          </w:tcPr>
          <w:p>
            <w:pPr>
              <w:spacing w:line="240" w:lineRule="auto" w:after="0"/>
              <w:jc w:val="left"/>
            </w:pPr>
            <w:r>
              <w:rPr>
                <w:b w:val="0"/>
                <w:i w:val="0"/>
                <w:sz w:val="16"/>
              </w:rPr>
              <w:t>Building audio-feature profiles for about 27,000 Billboard Hot 100 songs, the authors test whether feature-space typicality predicts chart performance beyond artist and label effects. They find that songs that are somewhat, but not overly, distinct from contemporaries do best.</w:t>
            </w:r>
          </w:p>
        </w:tc>
        <w:tc>
          <w:tcPr>
            <w:tcW w:type="dxa" w:w="1391"/>
          </w:tcPr>
          <w:p>
            <w:pPr>
              <w:spacing w:line="240" w:lineRule="auto" w:after="0"/>
              <w:jc w:val="left"/>
            </w:pPr>
            <w:r>
              <w:rPr>
                <w:b w:val="0"/>
                <w:i w:val="0"/>
                <w:sz w:val="16"/>
              </w:rPr>
              <w:t>The analysis is a regression study on chart songs only, so non-hits, lyrics and interactive exploration are outside its scope.</w:t>
            </w:r>
          </w:p>
        </w:tc>
      </w:tr>
      <w:tr>
        <w:tc>
          <w:tcPr>
            <w:tcW w:type="dxa" w:w="501"/>
          </w:tcPr>
          <w:p>
            <w:pPr>
              <w:spacing w:line="240" w:lineRule="auto" w:after="0"/>
              <w:jc w:val="center"/>
            </w:pPr>
            <w:r>
              <w:rPr>
                <w:b w:val="0"/>
                <w:i w:val="0"/>
                <w:sz w:val="16"/>
              </w:rPr>
              <w:t>8</w:t>
            </w:r>
          </w:p>
        </w:tc>
        <w:tc>
          <w:tcPr>
            <w:tcW w:type="dxa" w:w="1113"/>
          </w:tcPr>
          <w:p>
            <w:pPr>
              <w:spacing w:line="240" w:lineRule="auto" w:after="0"/>
              <w:jc w:val="left"/>
            </w:pPr>
            <w:r>
              <w:rPr>
                <w:b w:val="0"/>
                <w:i w:val="0"/>
                <w:sz w:val="16"/>
              </w:rPr>
              <w:t>D. Herremans, D. Martens, K. Sörensen</w:t>
            </w:r>
          </w:p>
        </w:tc>
        <w:tc>
          <w:tcPr>
            <w:tcW w:type="dxa" w:w="1280"/>
          </w:tcPr>
          <w:p>
            <w:pPr>
              <w:spacing w:line="240" w:lineRule="auto" w:after="0"/>
              <w:jc w:val="left"/>
            </w:pPr>
            <w:r>
              <w:rPr>
                <w:b w:val="0"/>
                <w:i w:val="0"/>
                <w:sz w:val="16"/>
              </w:rPr>
              <w:t>Dance Hit Song Prediction</w:t>
            </w:r>
          </w:p>
        </w:tc>
        <w:tc>
          <w:tcPr>
            <w:tcW w:type="dxa" w:w="1391"/>
          </w:tcPr>
          <w:p>
            <w:pPr>
              <w:spacing w:line="240" w:lineRule="auto" w:after="0"/>
              <w:jc w:val="left"/>
            </w:pPr>
            <w:r>
              <w:rPr>
                <w:sz w:val="16"/>
              </w:rPr>
              <w:t xml:space="preserve">Journal of New Music Research, vol. 43, no. 3, pp. 291-302, 2014 </w:t>
            </w:r>
            <w:hyperlink r:id="rId17">
              <w:r>
                <w:rPr>
                  <w:rFonts w:ascii="Times New Roman" w:hAnsi="Times New Roman"/>
                  <w:color w:val="0000EE"/>
                  <w:u w:val="single"/>
                  <w:sz w:val="14"/>
                </w:rPr>
                <w:t xml:space="preserve">https://doi.org/10.1080/09298215.2014.881888</w:t>
              </w:r>
            </w:hyperlink>
          </w:p>
        </w:tc>
        <w:tc>
          <w:tcPr>
            <w:tcW w:type="dxa" w:w="1502"/>
          </w:tcPr>
          <w:p>
            <w:pPr>
              <w:spacing w:line="240" w:lineRule="auto" w:after="0"/>
              <w:jc w:val="left"/>
            </w:pPr>
            <w:r>
              <w:rPr>
                <w:b w:val="0"/>
                <w:i w:val="0"/>
                <w:sz w:val="16"/>
              </w:rPr>
              <w:t>It is a reference point for using audio descriptors to separate hits from non-hits within a single genre, a slice SonicAtlas can reproduce.</w:t>
            </w:r>
          </w:p>
        </w:tc>
        <w:tc>
          <w:tcPr>
            <w:tcW w:type="dxa" w:w="1836"/>
          </w:tcPr>
          <w:p>
            <w:pPr>
              <w:spacing w:line="240" w:lineRule="auto" w:after="0"/>
              <w:jc w:val="left"/>
            </w:pPr>
            <w:r>
              <w:rPr>
                <w:b w:val="0"/>
                <w:i w:val="0"/>
                <w:sz w:val="16"/>
              </w:rPr>
              <w:t>The authors assemble dance chart songs from 1985 to 2013 with basic and temporally aware audio features and compare several classifiers. Their best model distinguishes top-10 dance hits from lower-ranked entries reasonably well.</w:t>
            </w:r>
          </w:p>
        </w:tc>
        <w:tc>
          <w:tcPr>
            <w:tcW w:type="dxa" w:w="1391"/>
          </w:tcPr>
          <w:p>
            <w:pPr>
              <w:spacing w:line="240" w:lineRule="auto" w:after="0"/>
              <w:jc w:val="left"/>
            </w:pPr>
            <w:r>
              <w:rPr>
                <w:b w:val="0"/>
                <w:i w:val="0"/>
                <w:sz w:val="16"/>
              </w:rPr>
              <w:t>It covers only one genre and frames popularity as binary classification, offering no cross-genre, cross-era or lyrics perspective.</w:t>
            </w:r>
          </w:p>
        </w:tc>
      </w:tr>
      <w:tr>
        <w:tc>
          <w:tcPr>
            <w:tcW w:type="dxa" w:w="501"/>
          </w:tcPr>
          <w:p>
            <w:pPr>
              <w:spacing w:line="240" w:lineRule="auto" w:after="0"/>
              <w:jc w:val="center"/>
            </w:pPr>
            <w:r>
              <w:rPr>
                <w:b w:val="0"/>
                <w:i w:val="0"/>
                <w:sz w:val="16"/>
              </w:rPr>
              <w:t>9</w:t>
            </w:r>
          </w:p>
        </w:tc>
        <w:tc>
          <w:tcPr>
            <w:tcW w:type="dxa" w:w="1113"/>
          </w:tcPr>
          <w:p>
            <w:pPr>
              <w:spacing w:line="240" w:lineRule="auto" w:after="0"/>
              <w:jc w:val="left"/>
            </w:pPr>
            <w:r>
              <w:rPr>
                <w:b w:val="0"/>
                <w:i w:val="0"/>
                <w:sz w:val="16"/>
              </w:rPr>
              <w:t>J. Serrà, Á. Corral, M. Boguñá, M. Haro, J. Ll. Arcos</w:t>
            </w:r>
          </w:p>
        </w:tc>
        <w:tc>
          <w:tcPr>
            <w:tcW w:type="dxa" w:w="1280"/>
          </w:tcPr>
          <w:p>
            <w:pPr>
              <w:spacing w:line="240" w:lineRule="auto" w:after="0"/>
              <w:jc w:val="left"/>
            </w:pPr>
            <w:r>
              <w:rPr>
                <w:b w:val="0"/>
                <w:i w:val="0"/>
                <w:sz w:val="16"/>
              </w:rPr>
              <w:t>Measuring the Evolution of Contemporary Western Popular Music</w:t>
            </w:r>
          </w:p>
        </w:tc>
        <w:tc>
          <w:tcPr>
            <w:tcW w:type="dxa" w:w="1391"/>
          </w:tcPr>
          <w:p>
            <w:pPr>
              <w:spacing w:line="240" w:lineRule="auto" w:after="0"/>
              <w:jc w:val="left"/>
            </w:pPr>
            <w:r>
              <w:rPr>
                <w:sz w:val="16"/>
              </w:rPr>
              <w:t xml:space="preserve">Scientific Reports, vol. 2, Art. no. 521, Jul. 2012 </w:t>
            </w:r>
            <w:hyperlink r:id="rId18">
              <w:r>
                <w:rPr>
                  <w:rFonts w:ascii="Times New Roman" w:hAnsi="Times New Roman"/>
                  <w:color w:val="0000EE"/>
                  <w:u w:val="single"/>
                  <w:sz w:val="14"/>
                </w:rPr>
                <w:t xml:space="preserve">https://doi.org/10.1038/srep00521</w:t>
              </w:r>
            </w:hyperlink>
          </w:p>
        </w:tc>
        <w:tc>
          <w:tcPr>
            <w:tcW w:type="dxa" w:w="1502"/>
          </w:tcPr>
          <w:p>
            <w:pPr>
              <w:spacing w:line="240" w:lineRule="auto" w:after="0"/>
              <w:jc w:val="left"/>
            </w:pPr>
            <w:r>
              <w:rPr>
                <w:b w:val="0"/>
                <w:i w:val="0"/>
                <w:sz w:val="16"/>
              </w:rPr>
              <w:t>It provides the headline 'louder and more homogeneous' finding that SonicAtlas can check with Spotify loudness and timbre-like features by decade.</w:t>
            </w:r>
          </w:p>
        </w:tc>
        <w:tc>
          <w:tcPr>
            <w:tcW w:type="dxa" w:w="1836"/>
          </w:tcPr>
          <w:p>
            <w:pPr>
              <w:spacing w:line="240" w:lineRule="auto" w:after="0"/>
              <w:jc w:val="left"/>
            </w:pPr>
            <w:r>
              <w:rPr>
                <w:b w:val="0"/>
                <w:i w:val="0"/>
                <w:sz w:val="16"/>
              </w:rPr>
              <w:t>Analysing pitch, timbre and loudness descriptors over more than fifty years of Western pop, the authors find many statistical regularities are stable. They nonetheless report narrower pitch transitions, a more uniform timbral palette and steadily rising loudness.</w:t>
            </w:r>
          </w:p>
        </w:tc>
        <w:tc>
          <w:tcPr>
            <w:tcW w:type="dxa" w:w="1391"/>
          </w:tcPr>
          <w:p>
            <w:pPr>
              <w:spacing w:line="240" w:lineRule="auto" w:after="0"/>
              <w:jc w:val="left"/>
            </w:pPr>
            <w:r>
              <w:rPr>
                <w:b w:val="0"/>
                <w:i w:val="0"/>
                <w:sz w:val="16"/>
              </w:rPr>
              <w:t>It relies on Million Song Dataset descriptors and static plots, without genre-level breakdowns, lyrics, or an interactive way to verify the trends.</w:t>
            </w:r>
          </w:p>
        </w:tc>
      </w:tr>
      <w:tr>
        <w:tc>
          <w:tcPr>
            <w:tcW w:type="dxa" w:w="501"/>
          </w:tcPr>
          <w:p>
            <w:pPr>
              <w:spacing w:line="240" w:lineRule="auto" w:after="0"/>
              <w:jc w:val="center"/>
            </w:pPr>
            <w:r>
              <w:rPr>
                <w:b w:val="0"/>
                <w:i w:val="0"/>
                <w:sz w:val="16"/>
              </w:rPr>
              <w:t>10</w:t>
            </w:r>
          </w:p>
        </w:tc>
        <w:tc>
          <w:tcPr>
            <w:tcW w:type="dxa" w:w="1113"/>
          </w:tcPr>
          <w:p>
            <w:pPr>
              <w:spacing w:line="240" w:lineRule="auto" w:after="0"/>
              <w:jc w:val="left"/>
            </w:pPr>
            <w:r>
              <w:rPr>
                <w:b w:val="0"/>
                <w:i w:val="0"/>
                <w:sz w:val="16"/>
              </w:rPr>
              <w:t>M. Mauch, R. M. MacCallum, M. Levy, A. M. Leroi</w:t>
            </w:r>
          </w:p>
        </w:tc>
        <w:tc>
          <w:tcPr>
            <w:tcW w:type="dxa" w:w="1280"/>
          </w:tcPr>
          <w:p>
            <w:pPr>
              <w:spacing w:line="240" w:lineRule="auto" w:after="0"/>
              <w:jc w:val="left"/>
            </w:pPr>
            <w:r>
              <w:rPr>
                <w:b w:val="0"/>
                <w:i w:val="0"/>
                <w:sz w:val="16"/>
              </w:rPr>
              <w:t>The evolution of popular music: USA 1960-2010</w:t>
            </w:r>
          </w:p>
        </w:tc>
        <w:tc>
          <w:tcPr>
            <w:tcW w:type="dxa" w:w="1391"/>
          </w:tcPr>
          <w:p>
            <w:pPr>
              <w:spacing w:line="240" w:lineRule="auto" w:after="0"/>
              <w:jc w:val="left"/>
            </w:pPr>
            <w:r>
              <w:rPr>
                <w:sz w:val="16"/>
              </w:rPr>
              <w:t xml:space="preserve">Royal Society Open Science, vol. 2, no. 5, Art. no. 150081, 2015 </w:t>
            </w:r>
            <w:hyperlink r:id="rId19">
              <w:r>
                <w:rPr>
                  <w:rFonts w:ascii="Times New Roman" w:hAnsi="Times New Roman"/>
                  <w:color w:val="0000EE"/>
                  <w:u w:val="single"/>
                  <w:sz w:val="14"/>
                </w:rPr>
                <w:t xml:space="preserve">https://doi.org/10.1098/rsos.150081</w:t>
              </w:r>
            </w:hyperlink>
          </w:p>
        </w:tc>
        <w:tc>
          <w:tcPr>
            <w:tcW w:type="dxa" w:w="1502"/>
          </w:tcPr>
          <w:p>
            <w:pPr>
              <w:spacing w:line="240" w:lineRule="auto" w:after="0"/>
              <w:jc w:val="left"/>
            </w:pPr>
            <w:r>
              <w:rPr>
                <w:b w:val="0"/>
                <w:i w:val="0"/>
                <w:sz w:val="16"/>
              </w:rPr>
              <w:t>It models stylistic change and diversity across decades, directly informing SonicAtlas's era-level comparisons and change-point view.</w:t>
            </w:r>
          </w:p>
        </w:tc>
        <w:tc>
          <w:tcPr>
            <w:tcW w:type="dxa" w:w="1836"/>
          </w:tcPr>
          <w:p>
            <w:pPr>
              <w:spacing w:line="240" w:lineRule="auto" w:after="0"/>
              <w:jc w:val="left"/>
            </w:pPr>
            <w:r>
              <w:rPr>
                <w:b w:val="0"/>
                <w:i w:val="0"/>
                <w:sz w:val="16"/>
              </w:rPr>
              <w:t>Studying about 17,000 Billboard Hot 100 recordings, the authors extract harmonic and timbral topics, cluster songs into audio-based styles and measure diversity over time. They test classic theories of cultural change against measured diversity and find that evolution was largely continuous yet interrupted by a small number of rapid stylistic shifts.</w:t>
            </w:r>
          </w:p>
        </w:tc>
        <w:tc>
          <w:tcPr>
            <w:tcW w:type="dxa" w:w="1391"/>
          </w:tcPr>
          <w:p>
            <w:pPr>
              <w:spacing w:line="240" w:lineRule="auto" w:after="0"/>
              <w:jc w:val="left"/>
            </w:pPr>
            <w:r>
              <w:rPr>
                <w:b w:val="0"/>
                <w:i w:val="0"/>
                <w:sz w:val="16"/>
              </w:rPr>
              <w:t>Only US chart songs from 30-second previews are used and results are static; lyrics and non-chart music are not examined.</w:t>
            </w:r>
          </w:p>
        </w:tc>
      </w:tr>
      <w:tr>
        <w:tc>
          <w:tcPr>
            <w:tcW w:type="dxa" w:w="501"/>
          </w:tcPr>
          <w:p>
            <w:pPr>
              <w:spacing w:line="240" w:lineRule="auto" w:after="0"/>
              <w:jc w:val="center"/>
            </w:pPr>
            <w:r>
              <w:rPr>
                <w:b w:val="0"/>
                <w:i w:val="0"/>
                <w:sz w:val="16"/>
              </w:rPr>
              <w:t>11</w:t>
            </w:r>
          </w:p>
        </w:tc>
        <w:tc>
          <w:tcPr>
            <w:tcW w:type="dxa" w:w="1113"/>
          </w:tcPr>
          <w:p>
            <w:pPr>
              <w:spacing w:line="240" w:lineRule="auto" w:after="0"/>
              <w:jc w:val="left"/>
            </w:pPr>
            <w:r>
              <w:rPr>
                <w:b w:val="0"/>
                <w:i w:val="0"/>
                <w:sz w:val="16"/>
              </w:rPr>
              <w:t>C. Hutto, E. Gilbert</w:t>
            </w:r>
          </w:p>
        </w:tc>
        <w:tc>
          <w:tcPr>
            <w:tcW w:type="dxa" w:w="1280"/>
          </w:tcPr>
          <w:p>
            <w:pPr>
              <w:spacing w:line="240" w:lineRule="auto" w:after="0"/>
              <w:jc w:val="left"/>
            </w:pPr>
            <w:r>
              <w:rPr>
                <w:b w:val="0"/>
                <w:i w:val="0"/>
                <w:sz w:val="16"/>
              </w:rPr>
              <w:t>VADER: A Parsimonious Rule-Based Model for Sentiment Analysis of Social Media Text</w:t>
            </w:r>
          </w:p>
        </w:tc>
        <w:tc>
          <w:tcPr>
            <w:tcW w:type="dxa" w:w="1391"/>
          </w:tcPr>
          <w:p>
            <w:pPr>
              <w:spacing w:line="240" w:lineRule="auto" w:after="0"/>
              <w:jc w:val="left"/>
            </w:pPr>
            <w:r>
              <w:rPr>
                <w:sz w:val="16"/>
              </w:rPr>
              <w:t xml:space="preserve">Proc. International AAAI Conference on Web and Social Media (ICWSM), vol. 8, no. 1, pp. 216-225, 2014 </w:t>
            </w:r>
            <w:hyperlink r:id="rId20">
              <w:r>
                <w:rPr>
                  <w:rFonts w:ascii="Times New Roman" w:hAnsi="Times New Roman"/>
                  <w:color w:val="0000EE"/>
                  <w:u w:val="single"/>
                  <w:sz w:val="14"/>
                </w:rPr>
                <w:t xml:space="preserve">https://doi.org/10.1609/icwsm.v8i1.14550</w:t>
              </w:r>
            </w:hyperlink>
          </w:p>
        </w:tc>
        <w:tc>
          <w:tcPr>
            <w:tcW w:type="dxa" w:w="1502"/>
          </w:tcPr>
          <w:p>
            <w:pPr>
              <w:spacing w:line="240" w:lineRule="auto" w:after="0"/>
              <w:jc w:val="left"/>
            </w:pPr>
            <w:r>
              <w:rPr>
                <w:b w:val="0"/>
                <w:i w:val="0"/>
                <w:sz w:val="16"/>
              </w:rPr>
              <w:t>VADER is a lightweight lexicon scorer suitable for computing lyric sentiment over many songs, one of the options SonicAtlas uses or compares against TextBlob.</w:t>
            </w:r>
          </w:p>
        </w:tc>
        <w:tc>
          <w:tcPr>
            <w:tcW w:type="dxa" w:w="1836"/>
          </w:tcPr>
          <w:p>
            <w:pPr>
              <w:spacing w:line="240" w:lineRule="auto" w:after="0"/>
              <w:jc w:val="left"/>
            </w:pPr>
            <w:r>
              <w:rPr>
                <w:b w:val="0"/>
                <w:i w:val="0"/>
                <w:sz w:val="16"/>
              </w:rPr>
              <w:t>The authors build and validate a sentiment lexicon with intensity scores and add grammatical rules for cues such as negation, capitalisation and punctuation. The resulting model rivals or beats eleven established lexicon and machine-learning baselines on short social-media text.</w:t>
            </w:r>
          </w:p>
        </w:tc>
        <w:tc>
          <w:tcPr>
            <w:tcW w:type="dxa" w:w="1391"/>
          </w:tcPr>
          <w:p>
            <w:pPr>
              <w:spacing w:line="240" w:lineRule="auto" w:after="0"/>
              <w:jc w:val="left"/>
            </w:pPr>
            <w:r>
              <w:rPr>
                <w:b w:val="0"/>
                <w:i w:val="0"/>
                <w:sz w:val="16"/>
              </w:rPr>
              <w:t>It was tuned on tweets and reviews, not poetic or slang-heavy lyrics, and handles only English, so lyric scores need caution.</w:t>
            </w:r>
          </w:p>
        </w:tc>
      </w:tr>
      <w:tr>
        <w:tc>
          <w:tcPr>
            <w:tcW w:type="dxa" w:w="501"/>
          </w:tcPr>
          <w:p>
            <w:pPr>
              <w:spacing w:line="240" w:lineRule="auto" w:after="0"/>
              <w:jc w:val="center"/>
            </w:pPr>
            <w:r>
              <w:rPr>
                <w:b w:val="0"/>
                <w:i w:val="0"/>
                <w:sz w:val="16"/>
              </w:rPr>
              <w:t>12</w:t>
            </w:r>
          </w:p>
        </w:tc>
        <w:tc>
          <w:tcPr>
            <w:tcW w:type="dxa" w:w="1113"/>
          </w:tcPr>
          <w:p>
            <w:pPr>
              <w:spacing w:line="240" w:lineRule="auto" w:after="0"/>
              <w:jc w:val="left"/>
            </w:pPr>
            <w:r>
              <w:rPr>
                <w:b w:val="0"/>
                <w:i w:val="0"/>
                <w:sz w:val="16"/>
              </w:rPr>
              <w:t>C. O. Brand, A. Acerbi, A. Mesoudi</w:t>
            </w:r>
          </w:p>
        </w:tc>
        <w:tc>
          <w:tcPr>
            <w:tcW w:type="dxa" w:w="1280"/>
          </w:tcPr>
          <w:p>
            <w:pPr>
              <w:spacing w:line="240" w:lineRule="auto" w:after="0"/>
              <w:jc w:val="left"/>
            </w:pPr>
            <w:r>
              <w:rPr>
                <w:b w:val="0"/>
                <w:i w:val="0"/>
                <w:sz w:val="16"/>
              </w:rPr>
              <w:t>Cultural evolution of emotional expression in 50 years of song lyrics</w:t>
            </w:r>
          </w:p>
        </w:tc>
        <w:tc>
          <w:tcPr>
            <w:tcW w:type="dxa" w:w="1391"/>
          </w:tcPr>
          <w:p>
            <w:pPr>
              <w:spacing w:line="240" w:lineRule="auto" w:after="0"/>
              <w:jc w:val="left"/>
            </w:pPr>
            <w:r>
              <w:rPr>
                <w:sz w:val="16"/>
              </w:rPr>
              <w:t xml:space="preserve">Evolutionary Human Sciences, vol. 1, Art. no. e11, 2019 </w:t>
            </w:r>
            <w:hyperlink r:id="rId21">
              <w:r>
                <w:rPr>
                  <w:rFonts w:ascii="Times New Roman" w:hAnsi="Times New Roman"/>
                  <w:color w:val="0000EE"/>
                  <w:u w:val="single"/>
                  <w:sz w:val="14"/>
                </w:rPr>
                <w:t xml:space="preserve">https://doi.org/10.1017/ehs.2019.11</w:t>
              </w:r>
            </w:hyperlink>
          </w:p>
        </w:tc>
        <w:tc>
          <w:tcPr>
            <w:tcW w:type="dxa" w:w="1502"/>
          </w:tcPr>
          <w:p>
            <w:pPr>
              <w:spacing w:line="240" w:lineRule="auto" w:after="0"/>
              <w:jc w:val="left"/>
            </w:pPr>
            <w:r>
              <w:rPr>
                <w:b w:val="0"/>
                <w:i w:val="0"/>
                <w:sz w:val="16"/>
              </w:rPr>
              <w:t>It documents rising negativity in pop lyrics over 1965-2015, a trend SonicAtlas can test against lyric sentiment by decade.</w:t>
            </w:r>
          </w:p>
        </w:tc>
        <w:tc>
          <w:tcPr>
            <w:tcW w:type="dxa" w:w="1836"/>
          </w:tcPr>
          <w:p>
            <w:pPr>
              <w:spacing w:line="240" w:lineRule="auto" w:after="0"/>
              <w:jc w:val="left"/>
            </w:pPr>
            <w:r>
              <w:rPr>
                <w:b w:val="0"/>
                <w:i w:val="0"/>
                <w:sz w:val="16"/>
              </w:rPr>
              <w:t>Using two lyric corpora (about 4,900 chart songs and 159,000 songs) spanning 1965-2015, the authors test whether cultural-transmission biases explain the growth of negative emotional content. Negative lyrics fare somewhat better in charts, but much of the trend is explained by unbiased copying of past frequencies.</w:t>
            </w:r>
          </w:p>
        </w:tc>
        <w:tc>
          <w:tcPr>
            <w:tcW w:type="dxa" w:w="1391"/>
          </w:tcPr>
          <w:p>
            <w:pPr>
              <w:spacing w:line="240" w:lineRule="auto" w:after="0"/>
              <w:jc w:val="left"/>
            </w:pPr>
            <w:r>
              <w:rPr>
                <w:b w:val="0"/>
                <w:i w:val="0"/>
                <w:sz w:val="16"/>
              </w:rPr>
              <w:t>Audio features are not considered alongside the text, and the study is a modelling paper with no exploratory interface. Note: it appeared in Evolutionary Human Sciences, not Scientific Reports.</w:t>
            </w:r>
          </w:p>
        </w:tc>
      </w:tr>
      <w:tr>
        <w:tc>
          <w:tcPr>
            <w:tcW w:type="dxa" w:w="501"/>
          </w:tcPr>
          <w:p>
            <w:pPr>
              <w:spacing w:line="240" w:lineRule="auto" w:after="0"/>
              <w:jc w:val="center"/>
            </w:pPr>
            <w:r>
              <w:rPr>
                <w:b w:val="0"/>
                <w:i w:val="0"/>
                <w:sz w:val="16"/>
              </w:rPr>
              <w:t>13</w:t>
            </w:r>
          </w:p>
        </w:tc>
        <w:tc>
          <w:tcPr>
            <w:tcW w:type="dxa" w:w="1113"/>
          </w:tcPr>
          <w:p>
            <w:pPr>
              <w:spacing w:line="240" w:lineRule="auto" w:after="0"/>
              <w:jc w:val="left"/>
            </w:pPr>
            <w:r>
              <w:rPr>
                <w:b w:val="0"/>
                <w:i w:val="0"/>
                <w:sz w:val="16"/>
              </w:rPr>
              <w:t>M. Fell, C. Sporleder</w:t>
            </w:r>
          </w:p>
        </w:tc>
        <w:tc>
          <w:tcPr>
            <w:tcW w:type="dxa" w:w="1280"/>
          </w:tcPr>
          <w:p>
            <w:pPr>
              <w:spacing w:line="240" w:lineRule="auto" w:after="0"/>
              <w:jc w:val="left"/>
            </w:pPr>
            <w:r>
              <w:rPr>
                <w:b w:val="0"/>
                <w:i w:val="0"/>
                <w:sz w:val="16"/>
              </w:rPr>
              <w:t>Lyrics-based Analysis and Classification of Music</w:t>
            </w:r>
          </w:p>
        </w:tc>
        <w:tc>
          <w:tcPr>
            <w:tcW w:type="dxa" w:w="1391"/>
          </w:tcPr>
          <w:p>
            <w:pPr>
              <w:spacing w:line="240" w:lineRule="auto" w:after="0"/>
              <w:jc w:val="left"/>
            </w:pPr>
            <w:r>
              <w:rPr>
                <w:sz w:val="16"/>
              </w:rPr>
              <w:t xml:space="preserve">Proc. COLING 2014, the 25th International Conference on Computational Linguistics: Technical Papers, Dublin, Ireland, pp. 620-631, Aug. 2014 </w:t>
            </w:r>
            <w:hyperlink r:id="rId22">
              <w:r>
                <w:rPr>
                  <w:rFonts w:ascii="Times New Roman" w:hAnsi="Times New Roman"/>
                  <w:color w:val="0000EE"/>
                  <w:u w:val="single"/>
                  <w:sz w:val="14"/>
                </w:rPr>
                <w:t xml:space="preserve">https://aclanthology.org/C14-1059/</w:t>
              </w:r>
            </w:hyperlink>
          </w:p>
        </w:tc>
        <w:tc>
          <w:tcPr>
            <w:tcW w:type="dxa" w:w="1502"/>
          </w:tcPr>
          <w:p>
            <w:pPr>
              <w:spacing w:line="240" w:lineRule="auto" w:after="0"/>
              <w:jc w:val="left"/>
            </w:pPr>
            <w:r>
              <w:rPr>
                <w:b w:val="0"/>
                <w:i w:val="0"/>
                <w:sz w:val="16"/>
              </w:rPr>
              <w:t>Its stylistic lyric features (vocabulary, style, semantics, structure) suggest which text statistics SonicAtlas can profile per genre and era.</w:t>
            </w:r>
          </w:p>
        </w:tc>
        <w:tc>
          <w:tcPr>
            <w:tcW w:type="dxa" w:w="1836"/>
          </w:tcPr>
          <w:p>
            <w:pPr>
              <w:spacing w:line="240" w:lineRule="auto" w:after="0"/>
              <w:jc w:val="left"/>
            </w:pPr>
            <w:r>
              <w:rPr>
                <w:b w:val="0"/>
                <w:i w:val="0"/>
                <w:sz w:val="16"/>
              </w:rPr>
              <w:t>The authors design lyric features capturing vocabulary, style, semantics, world orientation and song structure and combine them with n-gram models. The combination improves three tasks: genre detection, separating best from worst songs, and estimating publication period.</w:t>
            </w:r>
          </w:p>
        </w:tc>
        <w:tc>
          <w:tcPr>
            <w:tcW w:type="dxa" w:w="1391"/>
          </w:tcPr>
          <w:p>
            <w:pPr>
              <w:spacing w:line="240" w:lineRule="auto" w:after="0"/>
              <w:jc w:val="left"/>
            </w:pPr>
            <w:r>
              <w:rPr>
                <w:b w:val="0"/>
                <w:i w:val="0"/>
                <w:sz w:val="16"/>
              </w:rPr>
              <w:t>It uses lyrics only, ignoring audio features, and reports classification results rather than exploratory visual analysis.</w:t>
            </w:r>
          </w:p>
        </w:tc>
      </w:tr>
      <w:tr>
        <w:tc>
          <w:tcPr>
            <w:tcW w:type="dxa" w:w="501"/>
          </w:tcPr>
          <w:p>
            <w:pPr>
              <w:spacing w:line="240" w:lineRule="auto" w:after="0"/>
              <w:jc w:val="center"/>
            </w:pPr>
            <w:r>
              <w:rPr>
                <w:b w:val="0"/>
                <w:i w:val="0"/>
                <w:sz w:val="16"/>
              </w:rPr>
              <w:t>14</w:t>
            </w:r>
          </w:p>
        </w:tc>
        <w:tc>
          <w:tcPr>
            <w:tcW w:type="dxa" w:w="1113"/>
          </w:tcPr>
          <w:p>
            <w:pPr>
              <w:spacing w:line="240" w:lineRule="auto" w:after="0"/>
              <w:jc w:val="left"/>
            </w:pPr>
            <w:r>
              <w:rPr>
                <w:b w:val="0"/>
                <w:i w:val="0"/>
                <w:sz w:val="16"/>
              </w:rPr>
              <w:t>A. van den Oord, S. Dieleman, B. Schrauwen</w:t>
            </w:r>
          </w:p>
        </w:tc>
        <w:tc>
          <w:tcPr>
            <w:tcW w:type="dxa" w:w="1280"/>
          </w:tcPr>
          <w:p>
            <w:pPr>
              <w:spacing w:line="240" w:lineRule="auto" w:after="0"/>
              <w:jc w:val="left"/>
            </w:pPr>
            <w:r>
              <w:rPr>
                <w:b w:val="0"/>
                <w:i w:val="0"/>
                <w:sz w:val="16"/>
              </w:rPr>
              <w:t>Deep content-based music recommendation</w:t>
            </w:r>
          </w:p>
        </w:tc>
        <w:tc>
          <w:tcPr>
            <w:tcW w:type="dxa" w:w="1391"/>
          </w:tcPr>
          <w:p>
            <w:pPr>
              <w:spacing w:line="240" w:lineRule="auto" w:after="0"/>
              <w:jc w:val="left"/>
            </w:pPr>
            <w:r>
              <w:rPr>
                <w:sz w:val="16"/>
              </w:rPr>
              <w:t xml:space="preserve">Advances in Neural Information Processing Systems 26 (NIPS 2013), 2013 </w:t>
            </w:r>
            <w:hyperlink r:id="rId23">
              <w:r>
                <w:rPr>
                  <w:rFonts w:ascii="Times New Roman" w:hAnsi="Times New Roman"/>
                  <w:color w:val="0000EE"/>
                  <w:u w:val="single"/>
                  <w:sz w:val="14"/>
                </w:rPr>
                <w:t xml:space="preserve">https://papers.nips.cc/paper_files/paper/2013/hash/b3ba8f1bee1238a2f37603d90b58898d-Abstract.html</w:t>
              </w:r>
            </w:hyperlink>
          </w:p>
        </w:tc>
        <w:tc>
          <w:tcPr>
            <w:tcW w:type="dxa" w:w="1502"/>
          </w:tcPr>
          <w:p>
            <w:pPr>
              <w:spacing w:line="240" w:lineRule="auto" w:after="0"/>
              <w:jc w:val="left"/>
            </w:pPr>
            <w:r>
              <w:rPr>
                <w:b w:val="0"/>
                <w:i w:val="0"/>
                <w:sz w:val="16"/>
              </w:rPr>
              <w:t>It motivates content-based similarity from audio, which SonicAtlas offers as a nearest-neighbour 'songs like this' view over Spotify features.</w:t>
            </w:r>
          </w:p>
        </w:tc>
        <w:tc>
          <w:tcPr>
            <w:tcW w:type="dxa" w:w="1836"/>
          </w:tcPr>
          <w:p>
            <w:pPr>
              <w:spacing w:line="240" w:lineRule="auto" w:after="0"/>
              <w:jc w:val="left"/>
            </w:pPr>
            <w:r>
              <w:rPr>
                <w:b w:val="0"/>
                <w:i w:val="0"/>
                <w:sz w:val="16"/>
              </w:rPr>
              <w:t>To tackle the cold-start problem, the authors predict collaborative-filtering latent factors directly from audio, comparing bag-of-words audio features with deep CNNs on the Million Song Dataset. Predicted factors yield sensible recommendations and CNNs clearly outperform the traditional pipeline.</w:t>
            </w:r>
          </w:p>
        </w:tc>
        <w:tc>
          <w:tcPr>
            <w:tcW w:type="dxa" w:w="1391"/>
          </w:tcPr>
          <w:p>
            <w:pPr>
              <w:spacing w:line="240" w:lineRule="auto" w:after="0"/>
              <w:jc w:val="left"/>
            </w:pPr>
            <w:r>
              <w:rPr>
                <w:b w:val="0"/>
                <w:i w:val="0"/>
                <w:sz w:val="16"/>
              </w:rPr>
              <w:t>It targets recommendation accuracy with learned black-box embeddings, not interpretable exploration of features, and uses no lyrics.</w:t>
            </w:r>
          </w:p>
        </w:tc>
      </w:tr>
      <w:tr>
        <w:tc>
          <w:tcPr>
            <w:tcW w:type="dxa" w:w="501"/>
          </w:tcPr>
          <w:p>
            <w:pPr>
              <w:spacing w:line="240" w:lineRule="auto" w:after="0"/>
              <w:jc w:val="center"/>
            </w:pPr>
            <w:r>
              <w:rPr>
                <w:b w:val="0"/>
                <w:i w:val="0"/>
                <w:sz w:val="16"/>
              </w:rPr>
              <w:t>15</w:t>
            </w:r>
          </w:p>
        </w:tc>
        <w:tc>
          <w:tcPr>
            <w:tcW w:type="dxa" w:w="1113"/>
          </w:tcPr>
          <w:p>
            <w:pPr>
              <w:spacing w:line="240" w:lineRule="auto" w:after="0"/>
              <w:jc w:val="left"/>
            </w:pPr>
            <w:r>
              <w:rPr>
                <w:b w:val="0"/>
                <w:i w:val="0"/>
                <w:sz w:val="16"/>
              </w:rPr>
              <w:t>M. Schedl, H. Zamani, C.-W. Chen, Y. Deldjoo, M. Elahi</w:t>
            </w:r>
          </w:p>
        </w:tc>
        <w:tc>
          <w:tcPr>
            <w:tcW w:type="dxa" w:w="1280"/>
          </w:tcPr>
          <w:p>
            <w:pPr>
              <w:spacing w:line="240" w:lineRule="auto" w:after="0"/>
              <w:jc w:val="left"/>
            </w:pPr>
            <w:r>
              <w:rPr>
                <w:b w:val="0"/>
                <w:i w:val="0"/>
                <w:sz w:val="16"/>
              </w:rPr>
              <w:t>Current challenges and visions in music recommender systems research</w:t>
            </w:r>
          </w:p>
        </w:tc>
        <w:tc>
          <w:tcPr>
            <w:tcW w:type="dxa" w:w="1391"/>
          </w:tcPr>
          <w:p>
            <w:pPr>
              <w:spacing w:line="240" w:lineRule="auto" w:after="0"/>
              <w:jc w:val="left"/>
            </w:pPr>
            <w:r>
              <w:rPr>
                <w:sz w:val="16"/>
              </w:rPr>
              <w:t xml:space="preserve">International Journal of Multimedia Information Retrieval, vol. 7, no. 2, pp. 95-116, Jun. 2018 </w:t>
            </w:r>
            <w:hyperlink r:id="rId24">
              <w:r>
                <w:rPr>
                  <w:rFonts w:ascii="Times New Roman" w:hAnsi="Times New Roman"/>
                  <w:color w:val="0000EE"/>
                  <w:u w:val="single"/>
                  <w:sz w:val="14"/>
                </w:rPr>
                <w:t xml:space="preserve">https://doi.org/10.1007/s13735-018-0154-2</w:t>
              </w:r>
            </w:hyperlink>
          </w:p>
        </w:tc>
        <w:tc>
          <w:tcPr>
            <w:tcW w:type="dxa" w:w="1502"/>
          </w:tcPr>
          <w:p>
            <w:pPr>
              <w:spacing w:line="240" w:lineRule="auto" w:after="0"/>
              <w:jc w:val="left"/>
            </w:pPr>
            <w:r>
              <w:rPr>
                <w:b w:val="0"/>
                <w:i w:val="0"/>
                <w:sz w:val="16"/>
              </w:rPr>
              <w:t>It frames why richer content descriptors (audio, lyrics, context) matter for music discovery, positioning SonicAtlas's multimodal EDA as groundwork.</w:t>
            </w:r>
          </w:p>
        </w:tc>
        <w:tc>
          <w:tcPr>
            <w:tcW w:type="dxa" w:w="1836"/>
          </w:tcPr>
          <w:p>
            <w:pPr>
              <w:spacing w:line="240" w:lineRule="auto" w:after="0"/>
              <w:jc w:val="left"/>
            </w:pPr>
            <w:r>
              <w:rPr>
                <w:b w:val="0"/>
                <w:i w:val="0"/>
                <w:sz w:val="16"/>
              </w:rPr>
              <w:t>This survey identifies the most pressing open problems for music recommenders from academic and industry viewpoints and reviews the state of the art for each. It then outlines future directions centred on listener intent, context and going beyond simple user-item signals.</w:t>
            </w:r>
          </w:p>
        </w:tc>
        <w:tc>
          <w:tcPr>
            <w:tcW w:type="dxa" w:w="1391"/>
          </w:tcPr>
          <w:p>
            <w:pPr>
              <w:spacing w:line="240" w:lineRule="auto" w:after="0"/>
              <w:jc w:val="left"/>
            </w:pPr>
            <w:r>
              <w:rPr>
                <w:b w:val="0"/>
                <w:i w:val="0"/>
                <w:sz w:val="16"/>
              </w:rPr>
              <w:t>As a survey it offers no new data analysis or tool; it discusses recommender evaluation rather than exploratory understanding of catalogues.</w:t>
            </w:r>
          </w:p>
        </w:tc>
      </w:tr>
      <w:tr>
        <w:tc>
          <w:tcPr>
            <w:tcW w:type="dxa" w:w="501"/>
          </w:tcPr>
          <w:p>
            <w:pPr>
              <w:spacing w:line="240" w:lineRule="auto" w:after="0"/>
              <w:jc w:val="center"/>
            </w:pPr>
            <w:r>
              <w:rPr>
                <w:b w:val="0"/>
                <w:i w:val="0"/>
                <w:sz w:val="16"/>
              </w:rPr>
              <w:t>16</w:t>
            </w:r>
          </w:p>
        </w:tc>
        <w:tc>
          <w:tcPr>
            <w:tcW w:type="dxa" w:w="1113"/>
          </w:tcPr>
          <w:p>
            <w:pPr>
              <w:spacing w:line="240" w:lineRule="auto" w:after="0"/>
              <w:jc w:val="left"/>
            </w:pPr>
            <w:r>
              <w:rPr>
                <w:b w:val="0"/>
                <w:i w:val="0"/>
                <w:sz w:val="16"/>
              </w:rPr>
              <w:t>L. van der Maaten, G. Hinton</w:t>
            </w:r>
          </w:p>
        </w:tc>
        <w:tc>
          <w:tcPr>
            <w:tcW w:type="dxa" w:w="1280"/>
          </w:tcPr>
          <w:p>
            <w:pPr>
              <w:spacing w:line="240" w:lineRule="auto" w:after="0"/>
              <w:jc w:val="left"/>
            </w:pPr>
            <w:r>
              <w:rPr>
                <w:b w:val="0"/>
                <w:i w:val="0"/>
                <w:sz w:val="16"/>
              </w:rPr>
              <w:t>Visualizing Data using t-SNE</w:t>
            </w:r>
          </w:p>
        </w:tc>
        <w:tc>
          <w:tcPr>
            <w:tcW w:type="dxa" w:w="1391"/>
          </w:tcPr>
          <w:p>
            <w:pPr>
              <w:spacing w:line="240" w:lineRule="auto" w:after="0"/>
              <w:jc w:val="left"/>
            </w:pPr>
            <w:r>
              <w:rPr>
                <w:sz w:val="16"/>
              </w:rPr>
              <w:t xml:space="preserve">Journal of Machine Learning Research, vol. 9, no. 86, pp. 2579-2605, 2008 </w:t>
            </w:r>
            <w:hyperlink r:id="rId25">
              <w:r>
                <w:rPr>
                  <w:rFonts w:ascii="Times New Roman" w:hAnsi="Times New Roman"/>
                  <w:color w:val="0000EE"/>
                  <w:u w:val="single"/>
                  <w:sz w:val="14"/>
                </w:rPr>
                <w:t xml:space="preserve">https://www.jmlr.org/papers/v9/vandermaaten08a.html</w:t>
              </w:r>
            </w:hyperlink>
          </w:p>
        </w:tc>
        <w:tc>
          <w:tcPr>
            <w:tcW w:type="dxa" w:w="1502"/>
          </w:tcPr>
          <w:p>
            <w:pPr>
              <w:spacing w:line="240" w:lineRule="auto" w:after="0"/>
              <w:jc w:val="left"/>
            </w:pPr>
            <w:r>
              <w:rPr>
                <w:b w:val="0"/>
                <w:i w:val="0"/>
                <w:sz w:val="16"/>
              </w:rPr>
              <w:t>t-SNE is one of the embedding options for SonicAtlas's 2-D 'sound map' of tracks.</w:t>
            </w:r>
          </w:p>
        </w:tc>
        <w:tc>
          <w:tcPr>
            <w:tcW w:type="dxa" w:w="1836"/>
          </w:tcPr>
          <w:p>
            <w:pPr>
              <w:spacing w:line="240" w:lineRule="auto" w:after="0"/>
              <w:jc w:val="left"/>
            </w:pPr>
            <w:r>
              <w:rPr>
                <w:b w:val="0"/>
                <w:i w:val="0"/>
                <w:sz w:val="16"/>
              </w:rPr>
              <w:t>The authors present a variant of Stochastic Neighbor Embedding that is easier to optimise and reduces the crowding of points in the map centre. It reveals structure at several scales and outperforms methods such as Sammon mapping, Isomap and LLE on many datasets.</w:t>
            </w:r>
          </w:p>
        </w:tc>
        <w:tc>
          <w:tcPr>
            <w:tcW w:type="dxa" w:w="1391"/>
          </w:tcPr>
          <w:p>
            <w:pPr>
              <w:spacing w:line="240" w:lineRule="auto" w:after="0"/>
              <w:jc w:val="left"/>
            </w:pPr>
            <w:r>
              <w:rPr>
                <w:b w:val="0"/>
                <w:i w:val="0"/>
                <w:sz w:val="16"/>
              </w:rPr>
              <w:t>Distances between clusters and global layout are not reliable, and the method scales poorly to millions of points without approximation, so maps need careful reading.</w:t>
            </w:r>
          </w:p>
        </w:tc>
      </w:tr>
      <w:tr>
        <w:tc>
          <w:tcPr>
            <w:tcW w:type="dxa" w:w="501"/>
          </w:tcPr>
          <w:p>
            <w:pPr>
              <w:spacing w:line="240" w:lineRule="auto" w:after="0"/>
              <w:jc w:val="center"/>
            </w:pPr>
            <w:r>
              <w:rPr>
                <w:b w:val="0"/>
                <w:i w:val="0"/>
                <w:sz w:val="16"/>
              </w:rPr>
              <w:t>17</w:t>
            </w:r>
          </w:p>
        </w:tc>
        <w:tc>
          <w:tcPr>
            <w:tcW w:type="dxa" w:w="1113"/>
          </w:tcPr>
          <w:p>
            <w:pPr>
              <w:spacing w:line="240" w:lineRule="auto" w:after="0"/>
              <w:jc w:val="left"/>
            </w:pPr>
            <w:r>
              <w:rPr>
                <w:b w:val="0"/>
                <w:i w:val="0"/>
                <w:sz w:val="16"/>
              </w:rPr>
              <w:t>S. T. Roweis, L. K. Saul</w:t>
            </w:r>
          </w:p>
        </w:tc>
        <w:tc>
          <w:tcPr>
            <w:tcW w:type="dxa" w:w="1280"/>
          </w:tcPr>
          <w:p>
            <w:pPr>
              <w:spacing w:line="240" w:lineRule="auto" w:after="0"/>
              <w:jc w:val="left"/>
            </w:pPr>
            <w:r>
              <w:rPr>
                <w:b w:val="0"/>
                <w:i w:val="0"/>
                <w:sz w:val="16"/>
              </w:rPr>
              <w:t>Nonlinear Dimensionality Reduction by Locally Linear Embedding</w:t>
            </w:r>
          </w:p>
        </w:tc>
        <w:tc>
          <w:tcPr>
            <w:tcW w:type="dxa" w:w="1391"/>
          </w:tcPr>
          <w:p>
            <w:pPr>
              <w:spacing w:line="240" w:lineRule="auto" w:after="0"/>
              <w:jc w:val="left"/>
            </w:pPr>
            <w:r>
              <w:rPr>
                <w:sz w:val="16"/>
              </w:rPr>
              <w:t xml:space="preserve">Science, vol. 290, no. 5500, pp. 2323-2326, Dec. 2000 </w:t>
            </w:r>
            <w:hyperlink r:id="rId26">
              <w:r>
                <w:rPr>
                  <w:rFonts w:ascii="Times New Roman" w:hAnsi="Times New Roman"/>
                  <w:color w:val="0000EE"/>
                  <w:u w:val="single"/>
                  <w:sz w:val="14"/>
                </w:rPr>
                <w:t xml:space="preserve">https://doi.org/10.1126/science.290.5500.2323</w:t>
              </w:r>
            </w:hyperlink>
          </w:p>
        </w:tc>
        <w:tc>
          <w:tcPr>
            <w:tcW w:type="dxa" w:w="1502"/>
          </w:tcPr>
          <w:p>
            <w:pPr>
              <w:spacing w:line="240" w:lineRule="auto" w:after="0"/>
              <w:jc w:val="left"/>
            </w:pPr>
            <w:r>
              <w:rPr>
                <w:b w:val="0"/>
                <w:i w:val="0"/>
                <w:sz w:val="16"/>
              </w:rPr>
              <w:t>LLE is a classic manifold-learning baseline that SonicAtlas can cite when justifying non-linear maps over PCA.</w:t>
            </w:r>
          </w:p>
        </w:tc>
        <w:tc>
          <w:tcPr>
            <w:tcW w:type="dxa" w:w="1836"/>
          </w:tcPr>
          <w:p>
            <w:pPr>
              <w:spacing w:line="240" w:lineRule="auto" w:after="0"/>
              <w:jc w:val="left"/>
            </w:pPr>
            <w:r>
              <w:rPr>
                <w:b w:val="0"/>
                <w:i w:val="0"/>
                <w:sz w:val="16"/>
              </w:rPr>
              <w:t>LLE reconstructs each point from its neighbours with linear weights and then finds a low-dimensional embedding that preserves those weights. Because it avoids local minima and keeps neighbourhoods, it recovers the global structure of non-linear manifolds such as face images and text.</w:t>
            </w:r>
          </w:p>
        </w:tc>
        <w:tc>
          <w:tcPr>
            <w:tcW w:type="dxa" w:w="1391"/>
          </w:tcPr>
          <w:p>
            <w:pPr>
              <w:spacing w:line="240" w:lineRule="auto" w:after="0"/>
              <w:jc w:val="left"/>
            </w:pPr>
            <w:r>
              <w:rPr>
                <w:b w:val="0"/>
                <w:i w:val="0"/>
                <w:sz w:val="16"/>
              </w:rPr>
              <w:t>It is sensitive to the neighbourhood size and noise and is rarely used at the scale of million-track catalogues.</w:t>
            </w:r>
          </w:p>
        </w:tc>
      </w:tr>
      <w:tr>
        <w:tc>
          <w:tcPr>
            <w:tcW w:type="dxa" w:w="501"/>
          </w:tcPr>
          <w:p>
            <w:pPr>
              <w:spacing w:line="240" w:lineRule="auto" w:after="0"/>
              <w:jc w:val="center"/>
            </w:pPr>
            <w:r>
              <w:rPr>
                <w:b w:val="0"/>
                <w:i w:val="0"/>
                <w:sz w:val="16"/>
              </w:rPr>
              <w:t>18</w:t>
            </w:r>
          </w:p>
        </w:tc>
        <w:tc>
          <w:tcPr>
            <w:tcW w:type="dxa" w:w="1113"/>
          </w:tcPr>
          <w:p>
            <w:pPr>
              <w:spacing w:line="240" w:lineRule="auto" w:after="0"/>
              <w:jc w:val="left"/>
            </w:pPr>
            <w:r>
              <w:rPr>
                <w:b w:val="0"/>
                <w:i w:val="0"/>
                <w:sz w:val="16"/>
              </w:rPr>
              <w:t>L. McInnes, J. Healy, J. Melville</w:t>
            </w:r>
          </w:p>
        </w:tc>
        <w:tc>
          <w:tcPr>
            <w:tcW w:type="dxa" w:w="1280"/>
          </w:tcPr>
          <w:p>
            <w:pPr>
              <w:spacing w:line="240" w:lineRule="auto" w:after="0"/>
              <w:jc w:val="left"/>
            </w:pPr>
            <w:r>
              <w:rPr>
                <w:b w:val="0"/>
                <w:i w:val="0"/>
                <w:sz w:val="16"/>
              </w:rPr>
              <w:t>UMAP: Uniform Manifold Approximation and Projection for Dimension Reduction</w:t>
            </w:r>
          </w:p>
        </w:tc>
        <w:tc>
          <w:tcPr>
            <w:tcW w:type="dxa" w:w="1391"/>
          </w:tcPr>
          <w:p>
            <w:pPr>
              <w:spacing w:line="240" w:lineRule="auto" w:after="0"/>
              <w:jc w:val="left"/>
            </w:pPr>
            <w:r>
              <w:rPr>
                <w:sz w:val="16"/>
              </w:rPr>
              <w:t xml:space="preserve">arXiv preprint arXiv:1802.03426, 2018 </w:t>
            </w:r>
            <w:hyperlink r:id="rId27">
              <w:r>
                <w:rPr>
                  <w:rFonts w:ascii="Times New Roman" w:hAnsi="Times New Roman"/>
                  <w:color w:val="0000EE"/>
                  <w:u w:val="single"/>
                  <w:sz w:val="14"/>
                </w:rPr>
                <w:t xml:space="preserve">https://arxiv.org/abs/1802.03426</w:t>
              </w:r>
            </w:hyperlink>
          </w:p>
        </w:tc>
        <w:tc>
          <w:tcPr>
            <w:tcW w:type="dxa" w:w="1502"/>
          </w:tcPr>
          <w:p>
            <w:pPr>
              <w:spacing w:line="240" w:lineRule="auto" w:after="0"/>
              <w:jc w:val="left"/>
            </w:pPr>
            <w:r>
              <w:rPr>
                <w:b w:val="0"/>
                <w:i w:val="0"/>
                <w:sz w:val="16"/>
              </w:rPr>
              <w:t>UMAP is a fast, scalable choice for precomputing the 2-D track map that SonicAtlas ships to the browser.</w:t>
            </w:r>
          </w:p>
        </w:tc>
        <w:tc>
          <w:tcPr>
            <w:tcW w:type="dxa" w:w="1836"/>
          </w:tcPr>
          <w:p>
            <w:pPr>
              <w:spacing w:line="240" w:lineRule="auto" w:after="0"/>
              <w:jc w:val="left"/>
            </w:pPr>
            <w:r>
              <w:rPr>
                <w:b w:val="0"/>
                <w:i w:val="0"/>
                <w:sz w:val="16"/>
              </w:rPr>
              <w:t>UMAP derives a manifold-learning algorithm from Riemannian geometry and algebraic topology and turns it into a practical, scalable method. It matches t-SNE's visual quality, arguably keeps more global structure, runs faster and supports any embedding dimension.</w:t>
            </w:r>
          </w:p>
        </w:tc>
        <w:tc>
          <w:tcPr>
            <w:tcW w:type="dxa" w:w="1391"/>
          </w:tcPr>
          <w:p>
            <w:pPr>
              <w:spacing w:line="240" w:lineRule="auto" w:after="0"/>
              <w:jc w:val="left"/>
            </w:pPr>
            <w:r>
              <w:rPr>
                <w:b w:val="0"/>
                <w:i w:val="0"/>
                <w:sz w:val="16"/>
              </w:rPr>
              <w:t>Embeddings depend on hyperparameters and random seeds and are still not distance-faithful, so cluster positions must not be over-interpreted.</w:t>
            </w:r>
          </w:p>
        </w:tc>
      </w:tr>
      <w:tr>
        <w:tc>
          <w:tcPr>
            <w:tcW w:type="dxa" w:w="501"/>
          </w:tcPr>
          <w:p>
            <w:pPr>
              <w:spacing w:line="240" w:lineRule="auto" w:after="0"/>
              <w:jc w:val="center"/>
            </w:pPr>
            <w:r>
              <w:rPr>
                <w:b w:val="0"/>
                <w:i w:val="0"/>
                <w:sz w:val="16"/>
              </w:rPr>
              <w:t>19</w:t>
            </w:r>
          </w:p>
        </w:tc>
        <w:tc>
          <w:tcPr>
            <w:tcW w:type="dxa" w:w="1113"/>
          </w:tcPr>
          <w:p>
            <w:pPr>
              <w:spacing w:line="240" w:lineRule="auto" w:after="0"/>
              <w:jc w:val="left"/>
            </w:pPr>
            <w:r>
              <w:rPr>
                <w:b w:val="0"/>
                <w:i w:val="0"/>
                <w:sz w:val="16"/>
              </w:rPr>
              <w:t>I. T. Jolliffe, J. Cadima</w:t>
            </w:r>
          </w:p>
        </w:tc>
        <w:tc>
          <w:tcPr>
            <w:tcW w:type="dxa" w:w="1280"/>
          </w:tcPr>
          <w:p>
            <w:pPr>
              <w:spacing w:line="240" w:lineRule="auto" w:after="0"/>
              <w:jc w:val="left"/>
            </w:pPr>
            <w:r>
              <w:rPr>
                <w:b w:val="0"/>
                <w:i w:val="0"/>
                <w:sz w:val="16"/>
              </w:rPr>
              <w:t>Principal component analysis: a review and recent developments</w:t>
            </w:r>
          </w:p>
        </w:tc>
        <w:tc>
          <w:tcPr>
            <w:tcW w:type="dxa" w:w="1391"/>
          </w:tcPr>
          <w:p>
            <w:pPr>
              <w:spacing w:line="240" w:lineRule="auto" w:after="0"/>
              <w:jc w:val="left"/>
            </w:pPr>
            <w:r>
              <w:rPr>
                <w:sz w:val="16"/>
              </w:rPr>
              <w:t xml:space="preserve">Philosophical Transactions of the Royal Society A: Mathematical, Physical and Engineering Sciences, vol. 374, no. 2065, Art. no. 20150202, Apr. 2016 </w:t>
            </w:r>
            <w:hyperlink r:id="rId28">
              <w:r>
                <w:rPr>
                  <w:rFonts w:ascii="Times New Roman" w:hAnsi="Times New Roman"/>
                  <w:color w:val="0000EE"/>
                  <w:u w:val="single"/>
                  <w:sz w:val="14"/>
                </w:rPr>
                <w:t xml:space="preserve">https://doi.org/10.1098/rsta.2015.0202</w:t>
              </w:r>
            </w:hyperlink>
          </w:p>
        </w:tc>
        <w:tc>
          <w:tcPr>
            <w:tcW w:type="dxa" w:w="1502"/>
          </w:tcPr>
          <w:p>
            <w:pPr>
              <w:spacing w:line="240" w:lineRule="auto" w:after="0"/>
              <w:jc w:val="left"/>
            </w:pPr>
            <w:r>
              <w:rPr>
                <w:b w:val="0"/>
                <w:i w:val="0"/>
                <w:sz w:val="16"/>
              </w:rPr>
              <w:t>PCA gives SonicAtlas an interpretable linear baseline, with loadings that explain which audio features drive the map axes.</w:t>
            </w:r>
          </w:p>
        </w:tc>
        <w:tc>
          <w:tcPr>
            <w:tcW w:type="dxa" w:w="1836"/>
          </w:tcPr>
          <w:p>
            <w:pPr>
              <w:spacing w:line="240" w:lineRule="auto" w:after="0"/>
              <w:jc w:val="left"/>
            </w:pPr>
            <w:r>
              <w:rPr>
                <w:b w:val="0"/>
                <w:i w:val="0"/>
                <w:sz w:val="16"/>
              </w:rPr>
              <w:t>The review explains how PCA builds uncorrelated components that successively capture maximum variance via an eigen-decomposition. It then surveys adaptations of PCA for different data types and structures and discusses what the method can and cannot do.</w:t>
            </w:r>
          </w:p>
        </w:tc>
        <w:tc>
          <w:tcPr>
            <w:tcW w:type="dxa" w:w="1391"/>
          </w:tcPr>
          <w:p>
            <w:pPr>
              <w:spacing w:line="240" w:lineRule="auto" w:after="0"/>
              <w:jc w:val="left"/>
            </w:pPr>
            <w:r>
              <w:rPr>
                <w:b w:val="0"/>
                <w:i w:val="0"/>
                <w:sz w:val="16"/>
              </w:rPr>
              <w:t>Being linear, PCA can miss non-linear genre structure that t-SNE or UMAP reveal; the paper is methodological and has no music application.</w:t>
            </w:r>
          </w:p>
        </w:tc>
      </w:tr>
      <w:tr>
        <w:tc>
          <w:tcPr>
            <w:tcW w:type="dxa" w:w="501"/>
          </w:tcPr>
          <w:p>
            <w:pPr>
              <w:spacing w:line="240" w:lineRule="auto" w:after="0"/>
              <w:jc w:val="center"/>
            </w:pPr>
            <w:r>
              <w:rPr>
                <w:b w:val="0"/>
                <w:i w:val="0"/>
                <w:sz w:val="16"/>
              </w:rPr>
              <w:t>20</w:t>
            </w:r>
          </w:p>
        </w:tc>
        <w:tc>
          <w:tcPr>
            <w:tcW w:type="dxa" w:w="1113"/>
          </w:tcPr>
          <w:p>
            <w:pPr>
              <w:spacing w:line="240" w:lineRule="auto" w:after="0"/>
              <w:jc w:val="left"/>
            </w:pPr>
            <w:r>
              <w:rPr>
                <w:b w:val="0"/>
                <w:i w:val="0"/>
                <w:sz w:val="16"/>
              </w:rPr>
              <w:t>T. Milo, A. Somech</w:t>
            </w:r>
          </w:p>
        </w:tc>
        <w:tc>
          <w:tcPr>
            <w:tcW w:type="dxa" w:w="1280"/>
          </w:tcPr>
          <w:p>
            <w:pPr>
              <w:spacing w:line="240" w:lineRule="auto" w:after="0"/>
              <w:jc w:val="left"/>
            </w:pPr>
            <w:r>
              <w:rPr>
                <w:b w:val="0"/>
                <w:i w:val="0"/>
                <w:sz w:val="16"/>
              </w:rPr>
              <w:t>Automating Exploratory Data Analysis via Machine Learning: An Overview</w:t>
            </w:r>
          </w:p>
        </w:tc>
        <w:tc>
          <w:tcPr>
            <w:tcW w:type="dxa" w:w="1391"/>
          </w:tcPr>
          <w:p>
            <w:pPr>
              <w:spacing w:line="240" w:lineRule="auto" w:after="0"/>
              <w:jc w:val="left"/>
            </w:pPr>
            <w:r>
              <w:rPr>
                <w:sz w:val="16"/>
              </w:rPr>
              <w:t xml:space="preserve">Proc. 2020 ACM SIGMOD International Conference on Management of Data, Portland, OR, USA, pp. 2617-2622, 2020 </w:t>
            </w:r>
            <w:hyperlink r:id="rId29">
              <w:r>
                <w:rPr>
                  <w:rFonts w:ascii="Times New Roman" w:hAnsi="Times New Roman"/>
                  <w:color w:val="0000EE"/>
                  <w:u w:val="single"/>
                  <w:sz w:val="14"/>
                </w:rPr>
                <w:t xml:space="preserve">https://doi.org/10.1145/3318464.3383126</w:t>
              </w:r>
            </w:hyperlink>
          </w:p>
        </w:tc>
        <w:tc>
          <w:tcPr>
            <w:tcW w:type="dxa" w:w="1502"/>
          </w:tcPr>
          <w:p>
            <w:pPr>
              <w:spacing w:line="240" w:lineRule="auto" w:after="0"/>
              <w:jc w:val="left"/>
            </w:pPr>
            <w:r>
              <w:rPr>
                <w:b w:val="0"/>
                <w:i w:val="0"/>
                <w:sz w:val="16"/>
              </w:rPr>
              <w:t>It situates SonicAtlas's automatic profiling and suggested views within the broader field of machine-assisted EDA.</w:t>
            </w:r>
          </w:p>
        </w:tc>
        <w:tc>
          <w:tcPr>
            <w:tcW w:type="dxa" w:w="1836"/>
          </w:tcPr>
          <w:p>
            <w:pPr>
              <w:spacing w:line="240" w:lineRule="auto" w:after="0"/>
              <w:jc w:val="left"/>
            </w:pPr>
            <w:r>
              <w:rPr>
                <w:b w:val="0"/>
                <w:i w:val="0"/>
                <w:sz w:val="16"/>
              </w:rPr>
              <w:t>This tutorial-style overview reviews the many systems built over the past decade to ease EDA, an iterative process of filtering, aggregating and visualising unfamiliar data. It organises them around how machine learning is used to recommend or automate the next analysis steps.</w:t>
            </w:r>
          </w:p>
        </w:tc>
        <w:tc>
          <w:tcPr>
            <w:tcW w:type="dxa" w:w="1391"/>
          </w:tcPr>
          <w:p>
            <w:pPr>
              <w:spacing w:line="240" w:lineRule="auto" w:after="0"/>
              <w:jc w:val="left"/>
            </w:pPr>
            <w:r>
              <w:rPr>
                <w:b w:val="0"/>
                <w:i w:val="0"/>
                <w:sz w:val="16"/>
              </w:rPr>
              <w:t>It is a survey for database researchers and is domain-agnostic, so it gives no guidance on music data or on running EDA fully in the browser.</w:t>
            </w:r>
          </w:p>
        </w:tc>
      </w:tr>
      <w:tr>
        <w:tc>
          <w:tcPr>
            <w:tcW w:type="dxa" w:w="501"/>
          </w:tcPr>
          <w:p>
            <w:pPr>
              <w:spacing w:line="240" w:lineRule="auto" w:after="0"/>
              <w:jc w:val="center"/>
            </w:pPr>
            <w:r>
              <w:rPr>
                <w:b w:val="0"/>
                <w:i w:val="0"/>
                <w:sz w:val="16"/>
              </w:rPr>
              <w:t>21</w:t>
            </w:r>
          </w:p>
        </w:tc>
        <w:tc>
          <w:tcPr>
            <w:tcW w:type="dxa" w:w="1113"/>
          </w:tcPr>
          <w:p>
            <w:pPr>
              <w:spacing w:line="240" w:lineRule="auto" w:after="0"/>
              <w:jc w:val="left"/>
            </w:pPr>
            <w:r>
              <w:rPr>
                <w:b w:val="0"/>
                <w:i w:val="0"/>
                <w:sz w:val="16"/>
              </w:rPr>
              <w:t>K. Wongsuphasawat, D. Moritz, A. Anand, J. Mackinlay, B. Howe, J. Heer</w:t>
            </w:r>
          </w:p>
        </w:tc>
        <w:tc>
          <w:tcPr>
            <w:tcW w:type="dxa" w:w="1280"/>
          </w:tcPr>
          <w:p>
            <w:pPr>
              <w:spacing w:line="240" w:lineRule="auto" w:after="0"/>
              <w:jc w:val="left"/>
            </w:pPr>
            <w:r>
              <w:rPr>
                <w:b w:val="0"/>
                <w:i w:val="0"/>
                <w:sz w:val="16"/>
              </w:rPr>
              <w:t>Voyager: Exploratory Analysis via Faceted Browsing of Visualization Recommendations</w:t>
            </w:r>
          </w:p>
        </w:tc>
        <w:tc>
          <w:tcPr>
            <w:tcW w:type="dxa" w:w="1391"/>
          </w:tcPr>
          <w:p>
            <w:pPr>
              <w:spacing w:line="240" w:lineRule="auto" w:after="0"/>
              <w:jc w:val="left"/>
            </w:pPr>
            <w:r>
              <w:rPr>
                <w:sz w:val="16"/>
              </w:rPr>
              <w:t xml:space="preserve">IEEE Transactions on Visualization and Computer Graphics, vol. 22, no. 1, pp. 649-658, Jan. 2016 </w:t>
            </w:r>
            <w:hyperlink r:id="rId30">
              <w:r>
                <w:rPr>
                  <w:rFonts w:ascii="Times New Roman" w:hAnsi="Times New Roman"/>
                  <w:color w:val="0000EE"/>
                  <w:u w:val="single"/>
                  <w:sz w:val="14"/>
                </w:rPr>
                <w:t xml:space="preserve">https://doi.org/10.1109/TVCG.2015.2467191</w:t>
              </w:r>
            </w:hyperlink>
          </w:p>
        </w:tc>
        <w:tc>
          <w:tcPr>
            <w:tcW w:type="dxa" w:w="1502"/>
          </w:tcPr>
          <w:p>
            <w:pPr>
              <w:spacing w:line="240" w:lineRule="auto" w:after="0"/>
              <w:jc w:val="left"/>
            </w:pPr>
            <w:r>
              <w:rPr>
                <w:b w:val="0"/>
                <w:i w:val="0"/>
                <w:sz w:val="16"/>
              </w:rPr>
              <w:t>Its recommended-chart gallery is a model for SonicAtlas's auto-generated univariate and bivariate views.</w:t>
            </w:r>
          </w:p>
        </w:tc>
        <w:tc>
          <w:tcPr>
            <w:tcW w:type="dxa" w:w="1836"/>
          </w:tcPr>
          <w:p>
            <w:pPr>
              <w:spacing w:line="240" w:lineRule="auto" w:after="0"/>
              <w:jc w:val="left"/>
            </w:pPr>
            <w:r>
              <w:rPr>
                <w:b w:val="0"/>
                <w:i w:val="0"/>
                <w:sz w:val="16"/>
              </w:rPr>
              <w:t>Voyager complements manual chart building with a browsable gallery of automatically generated visualisations ranked by statistical and perceptual criteria. In a user study it helped analysts examine more variables of unfamiliar data than a manual specification tool.</w:t>
            </w:r>
          </w:p>
        </w:tc>
        <w:tc>
          <w:tcPr>
            <w:tcW w:type="dxa" w:w="1391"/>
          </w:tcPr>
          <w:p>
            <w:pPr>
              <w:spacing w:line="240" w:lineRule="auto" w:after="0"/>
              <w:jc w:val="left"/>
            </w:pPr>
            <w:r>
              <w:rPr>
                <w:b w:val="0"/>
                <w:i w:val="0"/>
                <w:sz w:val="16"/>
              </w:rPr>
              <w:t>It is a general tool evaluated on small tables, not tuned for million-row music datasets or text features like lyrics.</w:t>
            </w:r>
          </w:p>
        </w:tc>
      </w:tr>
      <w:tr>
        <w:tc>
          <w:tcPr>
            <w:tcW w:type="dxa" w:w="501"/>
          </w:tcPr>
          <w:p>
            <w:pPr>
              <w:spacing w:line="240" w:lineRule="auto" w:after="0"/>
              <w:jc w:val="center"/>
            </w:pPr>
            <w:r>
              <w:rPr>
                <w:b w:val="0"/>
                <w:i w:val="0"/>
                <w:sz w:val="16"/>
              </w:rPr>
              <w:t>22</w:t>
            </w:r>
          </w:p>
        </w:tc>
        <w:tc>
          <w:tcPr>
            <w:tcW w:type="dxa" w:w="1113"/>
          </w:tcPr>
          <w:p>
            <w:pPr>
              <w:spacing w:line="240" w:lineRule="auto" w:after="0"/>
              <w:jc w:val="left"/>
            </w:pPr>
            <w:r>
              <w:rPr>
                <w:b w:val="0"/>
                <w:i w:val="0"/>
                <w:sz w:val="16"/>
              </w:rPr>
              <w:t>M. Raasveldt, H. Mühleisen</w:t>
            </w:r>
          </w:p>
        </w:tc>
        <w:tc>
          <w:tcPr>
            <w:tcW w:type="dxa" w:w="1280"/>
          </w:tcPr>
          <w:p>
            <w:pPr>
              <w:spacing w:line="240" w:lineRule="auto" w:after="0"/>
              <w:jc w:val="left"/>
            </w:pPr>
            <w:r>
              <w:rPr>
                <w:b w:val="0"/>
                <w:i w:val="0"/>
                <w:sz w:val="16"/>
              </w:rPr>
              <w:t>DuckDB: an Embeddable Analytical Database</w:t>
            </w:r>
          </w:p>
        </w:tc>
        <w:tc>
          <w:tcPr>
            <w:tcW w:type="dxa" w:w="1391"/>
          </w:tcPr>
          <w:p>
            <w:pPr>
              <w:spacing w:line="240" w:lineRule="auto" w:after="0"/>
              <w:jc w:val="left"/>
            </w:pPr>
            <w:r>
              <w:rPr>
                <w:sz w:val="16"/>
              </w:rPr>
              <w:t xml:space="preserve">Proc. 2019 International Conference on Management of Data (SIGMOD '19), Amsterdam, Netherlands, pp. 1981-1984, 2019 </w:t>
            </w:r>
            <w:hyperlink r:id="rId31">
              <w:r>
                <w:rPr>
                  <w:rFonts w:ascii="Times New Roman" w:hAnsi="Times New Roman"/>
                  <w:color w:val="0000EE"/>
                  <w:u w:val="single"/>
                  <w:sz w:val="14"/>
                </w:rPr>
                <w:t xml:space="preserve">https://doi.org/10.1145/3299869.3320212</w:t>
              </w:r>
            </w:hyperlink>
          </w:p>
        </w:tc>
        <w:tc>
          <w:tcPr>
            <w:tcW w:type="dxa" w:w="1502"/>
          </w:tcPr>
          <w:p>
            <w:pPr>
              <w:spacing w:line="240" w:lineRule="auto" w:after="0"/>
              <w:jc w:val="left"/>
            </w:pPr>
            <w:r>
              <w:rPr>
                <w:b w:val="0"/>
                <w:i w:val="0"/>
                <w:sz w:val="16"/>
              </w:rPr>
              <w:t>DuckDB is the analytical engine underneath SonicAtlas, compiled to WebAssembly for the browser.</w:t>
            </w:r>
          </w:p>
        </w:tc>
        <w:tc>
          <w:tcPr>
            <w:tcW w:type="dxa" w:w="1836"/>
          </w:tcPr>
          <w:p>
            <w:pPr>
              <w:spacing w:line="240" w:lineRule="auto" w:after="0"/>
              <w:jc w:val="left"/>
            </w:pPr>
            <w:r>
              <w:rPr>
                <w:b w:val="0"/>
                <w:i w:val="0"/>
                <w:sz w:val="16"/>
              </w:rPr>
              <w:t>The demo introduces DuckDB, an in-process database built for analytical SQL in the way SQLite serves transactional workloads. The authors benchmark it against other data-management systems in embedded-analytics scenarios and release it as open source.</w:t>
            </w:r>
          </w:p>
        </w:tc>
        <w:tc>
          <w:tcPr>
            <w:tcW w:type="dxa" w:w="1391"/>
          </w:tcPr>
          <w:p>
            <w:pPr>
              <w:spacing w:line="240" w:lineRule="auto" w:after="0"/>
              <w:jc w:val="left"/>
            </w:pPr>
            <w:r>
              <w:rPr>
                <w:b w:val="0"/>
                <w:i w:val="0"/>
                <w:sz w:val="16"/>
              </w:rPr>
              <w:t>It is a short systems demo with no visual-analytics layer and no in-browser deployment, which SonicAtlas has to add.</w:t>
            </w:r>
          </w:p>
        </w:tc>
      </w:tr>
      <w:tr>
        <w:tc>
          <w:tcPr>
            <w:tcW w:type="dxa" w:w="501"/>
          </w:tcPr>
          <w:p>
            <w:pPr>
              <w:spacing w:line="240" w:lineRule="auto" w:after="0"/>
              <w:jc w:val="center"/>
            </w:pPr>
            <w:r>
              <w:rPr>
                <w:b w:val="0"/>
                <w:i w:val="0"/>
                <w:sz w:val="16"/>
              </w:rPr>
              <w:t>23</w:t>
            </w:r>
          </w:p>
        </w:tc>
        <w:tc>
          <w:tcPr>
            <w:tcW w:type="dxa" w:w="1113"/>
          </w:tcPr>
          <w:p>
            <w:pPr>
              <w:spacing w:line="240" w:lineRule="auto" w:after="0"/>
              <w:jc w:val="left"/>
            </w:pPr>
            <w:r>
              <w:rPr>
                <w:b w:val="0"/>
                <w:i w:val="0"/>
                <w:sz w:val="16"/>
              </w:rPr>
              <w:t>J. Heer, D. Moritz</w:t>
            </w:r>
          </w:p>
        </w:tc>
        <w:tc>
          <w:tcPr>
            <w:tcW w:type="dxa" w:w="1280"/>
          </w:tcPr>
          <w:p>
            <w:pPr>
              <w:spacing w:line="240" w:lineRule="auto" w:after="0"/>
              <w:jc w:val="left"/>
            </w:pPr>
            <w:r>
              <w:rPr>
                <w:b w:val="0"/>
                <w:i w:val="0"/>
                <w:sz w:val="16"/>
              </w:rPr>
              <w:t>Mosaic: An Architecture for Scalable &amp; Interoperable Data Views</w:t>
            </w:r>
          </w:p>
        </w:tc>
        <w:tc>
          <w:tcPr>
            <w:tcW w:type="dxa" w:w="1391"/>
          </w:tcPr>
          <w:p>
            <w:pPr>
              <w:spacing w:line="240" w:lineRule="auto" w:after="0"/>
              <w:jc w:val="left"/>
            </w:pPr>
            <w:r>
              <w:rPr>
                <w:sz w:val="16"/>
              </w:rPr>
              <w:t xml:space="preserve">IEEE Transactions on Visualization and Computer Graphics, vol. 30, no. 1, 2024 (early access 2023) </w:t>
            </w:r>
            <w:hyperlink r:id="rId32">
              <w:r>
                <w:rPr>
                  <w:rFonts w:ascii="Times New Roman" w:hAnsi="Times New Roman"/>
                  <w:color w:val="0000EE"/>
                  <w:u w:val="single"/>
                  <w:sz w:val="14"/>
                </w:rPr>
                <w:t xml:space="preserve">https://doi.org/10.1109/TVCG.2023.3327189</w:t>
              </w:r>
            </w:hyperlink>
          </w:p>
        </w:tc>
        <w:tc>
          <w:tcPr>
            <w:tcW w:type="dxa" w:w="1502"/>
          </w:tcPr>
          <w:p>
            <w:pPr>
              <w:spacing w:line="240" w:lineRule="auto" w:after="0"/>
              <w:jc w:val="left"/>
            </w:pPr>
            <w:r>
              <w:rPr>
                <w:b w:val="0"/>
                <w:i w:val="0"/>
                <w:sz w:val="16"/>
              </w:rPr>
              <w:t>Mosaic shows how linked, cross-filtered views can push queries to DuckDB, the architecture SonicAtlas follows for interactive exploration.</w:t>
            </w:r>
          </w:p>
        </w:tc>
        <w:tc>
          <w:tcPr>
            <w:tcW w:type="dxa" w:w="1836"/>
          </w:tcPr>
          <w:p>
            <w:pPr>
              <w:spacing w:line="240" w:lineRule="auto" w:after="0"/>
              <w:jc w:val="left"/>
            </w:pPr>
            <w:r>
              <w:rPr>
                <w:b w:val="0"/>
                <w:i w:val="0"/>
                <w:sz w:val="16"/>
              </w:rPr>
              <w:t>Mosaic separates data processing from view specification: components publish declarative queries to a coordinator that optimises them against a scalable store such as DuckDB. Benchmarks show order-of-magnitude speed-ups over prior web visualisation systems, enabling real-time exploration of billion-row data.</w:t>
            </w:r>
          </w:p>
        </w:tc>
        <w:tc>
          <w:tcPr>
            <w:tcW w:type="dxa" w:w="1391"/>
          </w:tcPr>
          <w:p>
            <w:pPr>
              <w:spacing w:line="240" w:lineRule="auto" w:after="0"/>
              <w:jc w:val="left"/>
            </w:pPr>
            <w:r>
              <w:rPr>
                <w:b w:val="0"/>
                <w:i w:val="0"/>
                <w:sz w:val="16"/>
              </w:rPr>
              <w:t>It is a general architecture without domain analyses; it offers no ready-made EDA workflow for audio features or lyrics.</w:t>
            </w:r>
          </w:p>
        </w:tc>
      </w:tr>
      <w:tr>
        <w:tc>
          <w:tcPr>
            <w:tcW w:type="dxa" w:w="501"/>
          </w:tcPr>
          <w:p>
            <w:pPr>
              <w:spacing w:line="240" w:lineRule="auto" w:after="0"/>
              <w:jc w:val="center"/>
            </w:pPr>
            <w:r>
              <w:rPr>
                <w:b w:val="0"/>
                <w:i w:val="0"/>
                <w:sz w:val="16"/>
              </w:rPr>
              <w:t>24</w:t>
            </w:r>
          </w:p>
        </w:tc>
        <w:tc>
          <w:tcPr>
            <w:tcW w:type="dxa" w:w="1113"/>
          </w:tcPr>
          <w:p>
            <w:pPr>
              <w:spacing w:line="240" w:lineRule="auto" w:after="0"/>
              <w:jc w:val="left"/>
            </w:pPr>
            <w:r>
              <w:rPr>
                <w:b w:val="0"/>
                <w:i w:val="0"/>
                <w:sz w:val="16"/>
              </w:rPr>
              <w:t>A. Satyanarayan, D. Moritz, K. Wongsuphasawat, J. Heer</w:t>
            </w:r>
          </w:p>
        </w:tc>
        <w:tc>
          <w:tcPr>
            <w:tcW w:type="dxa" w:w="1280"/>
          </w:tcPr>
          <w:p>
            <w:pPr>
              <w:spacing w:line="240" w:lineRule="auto" w:after="0"/>
              <w:jc w:val="left"/>
            </w:pPr>
            <w:r>
              <w:rPr>
                <w:b w:val="0"/>
                <w:i w:val="0"/>
                <w:sz w:val="16"/>
              </w:rPr>
              <w:t>Vega-Lite: A Grammar of Interactive Graphics</w:t>
            </w:r>
          </w:p>
        </w:tc>
        <w:tc>
          <w:tcPr>
            <w:tcW w:type="dxa" w:w="1391"/>
          </w:tcPr>
          <w:p>
            <w:pPr>
              <w:spacing w:line="240" w:lineRule="auto" w:after="0"/>
              <w:jc w:val="left"/>
            </w:pPr>
            <w:r>
              <w:rPr>
                <w:sz w:val="16"/>
              </w:rPr>
              <w:t xml:space="preserve">IEEE Transactions on Visualization and Computer Graphics, vol. 23, no. 1, pp. 341-350, Jan. 2017 </w:t>
            </w:r>
            <w:hyperlink r:id="rId33">
              <w:r>
                <w:rPr>
                  <w:rFonts w:ascii="Times New Roman" w:hAnsi="Times New Roman"/>
                  <w:color w:val="0000EE"/>
                  <w:u w:val="single"/>
                  <w:sz w:val="14"/>
                </w:rPr>
                <w:t xml:space="preserve">https://doi.org/10.1109/TVCG.2016.2599030</w:t>
              </w:r>
            </w:hyperlink>
          </w:p>
        </w:tc>
        <w:tc>
          <w:tcPr>
            <w:tcW w:type="dxa" w:w="1502"/>
          </w:tcPr>
          <w:p>
            <w:pPr>
              <w:spacing w:line="240" w:lineRule="auto" w:after="0"/>
              <w:jc w:val="left"/>
            </w:pPr>
            <w:r>
              <w:rPr>
                <w:b w:val="0"/>
                <w:i w:val="0"/>
                <w:sz w:val="16"/>
              </w:rPr>
              <w:t>Vega-Lite's declarative charts and selections are a natural specification layer for SonicAtlas's interactive plots.</w:t>
            </w:r>
          </w:p>
        </w:tc>
        <w:tc>
          <w:tcPr>
            <w:tcW w:type="dxa" w:w="1836"/>
          </w:tcPr>
          <w:p>
            <w:pPr>
              <w:spacing w:line="240" w:lineRule="auto" w:after="0"/>
              <w:jc w:val="left"/>
            </w:pPr>
            <w:r>
              <w:rPr>
                <w:b w:val="0"/>
                <w:i w:val="0"/>
                <w:sz w:val="16"/>
              </w:rPr>
              <w:t>Vega-Lite pairs a grammar of graphics for encodings and multi-view composition with a grammar of interaction built on composable selections. A compiler generates the data flow and event handling, letting concise specifications express panning, zooming, brushing and linking.</w:t>
            </w:r>
          </w:p>
        </w:tc>
        <w:tc>
          <w:tcPr>
            <w:tcW w:type="dxa" w:w="1391"/>
          </w:tcPr>
          <w:p>
            <w:pPr>
              <w:spacing w:line="240" w:lineRule="auto" w:after="0"/>
              <w:jc w:val="left"/>
            </w:pPr>
            <w:r>
              <w:rPr>
                <w:b w:val="0"/>
                <w:i w:val="0"/>
                <w:sz w:val="16"/>
              </w:rPr>
              <w:t>Rendering all data client-side becomes slow for very large tables unless paired with a database backend, and it provides no automated EDA logic.</w:t>
            </w:r>
          </w:p>
        </w:tc>
      </w:tr>
      <w:tr>
        <w:tc>
          <w:tcPr>
            <w:tcW w:type="dxa" w:w="501"/>
          </w:tcPr>
          <w:p>
            <w:pPr>
              <w:spacing w:line="240" w:lineRule="auto" w:after="0"/>
              <w:jc w:val="center"/>
            </w:pPr>
            <w:r>
              <w:rPr>
                <w:b w:val="0"/>
                <w:i w:val="0"/>
                <w:sz w:val="16"/>
              </w:rPr>
              <w:t>25</w:t>
            </w:r>
          </w:p>
        </w:tc>
        <w:tc>
          <w:tcPr>
            <w:tcW w:type="dxa" w:w="1113"/>
          </w:tcPr>
          <w:p>
            <w:pPr>
              <w:spacing w:line="240" w:lineRule="auto" w:after="0"/>
              <w:jc w:val="left"/>
            </w:pPr>
            <w:r>
              <w:rPr>
                <w:b w:val="0"/>
                <w:i w:val="0"/>
                <w:sz w:val="16"/>
              </w:rPr>
              <w:t>D. H. da Silva, L. R. da Silva Souza, C. T. Ribeiro, S. H. da Silva Brasileiro, J. R. M. Nardo, A. A. Pereira, A. de O. Andrade</w:t>
            </w:r>
          </w:p>
        </w:tc>
        <w:tc>
          <w:tcPr>
            <w:tcW w:type="dxa" w:w="1280"/>
          </w:tcPr>
          <w:p>
            <w:pPr>
              <w:spacing w:line="240" w:lineRule="auto" w:after="0"/>
              <w:jc w:val="left"/>
            </w:pPr>
            <w:r>
              <w:rPr>
                <w:b w:val="0"/>
                <w:i w:val="0"/>
                <w:sz w:val="16"/>
              </w:rPr>
              <w:t>A Web Application for exploratory data analysis and classification of Parkinson's Disease patients using machine learning models on different datasets</w:t>
            </w:r>
          </w:p>
        </w:tc>
        <w:tc>
          <w:tcPr>
            <w:tcW w:type="dxa" w:w="1391"/>
          </w:tcPr>
          <w:p>
            <w:pPr>
              <w:spacing w:line="240" w:lineRule="auto" w:after="0"/>
              <w:jc w:val="left"/>
            </w:pPr>
            <w:r>
              <w:rPr>
                <w:sz w:val="16"/>
              </w:rPr>
              <w:t xml:space="preserve">Software Impacts, vol. 23, Art. no. 100737, Mar. 2025 </w:t>
            </w:r>
            <w:hyperlink r:id="rId34">
              <w:r>
                <w:rPr>
                  <w:rFonts w:ascii="Times New Roman" w:hAnsi="Times New Roman"/>
                  <w:color w:val="0000EE"/>
                  <w:u w:val="single"/>
                  <w:sz w:val="14"/>
                </w:rPr>
                <w:t xml:space="preserve">https://doi.org/10.1016/j.simpa.2024.100737</w:t>
              </w:r>
            </w:hyperlink>
          </w:p>
        </w:tc>
        <w:tc>
          <w:tcPr>
            <w:tcW w:type="dxa" w:w="1502"/>
          </w:tcPr>
          <w:p>
            <w:pPr>
              <w:spacing w:line="240" w:lineRule="auto" w:after="0"/>
              <w:jc w:val="left"/>
            </w:pPr>
            <w:r>
              <w:rPr>
                <w:b w:val="0"/>
                <w:i w:val="0"/>
                <w:sz w:val="16"/>
              </w:rPr>
              <w:t>It is a published example of packaging EDA plus machine learning as an accessible web application, the same deliverable style as SonicAtlas.</w:t>
            </w:r>
          </w:p>
        </w:tc>
        <w:tc>
          <w:tcPr>
            <w:tcW w:type="dxa" w:w="1836"/>
          </w:tcPr>
          <w:p>
            <w:pPr>
              <w:spacing w:line="240" w:lineRule="auto" w:after="0"/>
              <w:jc w:val="left"/>
            </w:pPr>
            <w:r>
              <w:rPr>
                <w:b w:val="0"/>
                <w:i w:val="0"/>
                <w:sz w:val="16"/>
              </w:rPr>
              <w:t>The authors present a Python/Streamlit web system that lets non-programmers explore biomedical voice, video and drawing datasets and run automated classification for Parkinson's disease. It uses PyCaret to compare 14 machine-learning algorithms with configurable preprocessing.</w:t>
            </w:r>
          </w:p>
        </w:tc>
        <w:tc>
          <w:tcPr>
            <w:tcW w:type="dxa" w:w="1391"/>
          </w:tcPr>
          <w:p>
            <w:pPr>
              <w:spacing w:line="240" w:lineRule="auto" w:after="0"/>
              <w:jc w:val="left"/>
            </w:pPr>
            <w:r>
              <w:rPr>
                <w:b w:val="0"/>
                <w:i w:val="0"/>
                <w:sz w:val="16"/>
              </w:rPr>
              <w:t>It runs as a server-side Streamlit app in a biomedical domain, unlike SonicAtlas's fully client-side DuckDB-WASM design for music data.</w:t>
            </w:r>
          </w:p>
        </w:tc>
      </w:tr>
    </w:tbl>
    <w:p>
      <w:pPr>
        <w:spacing w:before="80" w:line="240" w:lineRule="auto"/>
        <w:jc w:val="center"/>
      </w:pPr>
      <w:r>
        <w:rPr>
          <w:sz w:val="20"/>
        </w:rPr>
        <w:t>TABLE I: Literature review of related work</w:t>
      </w:r>
    </w:p>
    <w:p>
      <w:pPr>
        <w:pStyle w:val="Heading2"/>
        <w:jc w:val="left"/>
      </w:pPr>
      <w:r>
        <w:t>3.2 Gaps Identified</w:t>
      </w:r>
    </w:p>
    <w:p>
      <w:pPr>
        <w:jc w:val="both"/>
      </w:pPr>
      <w:r>
        <w:rPr>
          <w:b w:val="0"/>
          <w:i w:val="0"/>
        </w:rPr>
        <w:t>Reading the drawbacks column of Table I together gives five recurring gaps:</w:t>
      </w:r>
    </w:p>
    <w:p>
      <w:pPr>
        <w:pStyle w:val="ListBullet"/>
        <w:spacing w:after="80"/>
        <w:jc w:val="both"/>
      </w:pPr>
      <w:r>
        <w:rPr>
          <w:b/>
        </w:rPr>
        <w:t xml:space="preserve">Static presentation: </w:t>
      </w:r>
      <w:r>
        <w:rPr>
          <w:b w:val="0"/>
          <w:i w:val="0"/>
        </w:rPr>
        <w:t>trend and popularity studies publish fixed figures; readers cannot re-slice the data by genre, decade or feature without repeating the whole pipeline.</w:t>
      </w:r>
    </w:p>
    <w:p>
      <w:pPr>
        <w:pStyle w:val="ListBullet"/>
        <w:spacing w:after="80"/>
        <w:jc w:val="both"/>
      </w:pPr>
      <w:r>
        <w:rPr>
          <w:b/>
        </w:rPr>
        <w:t xml:space="preserve">Sound and words studied apart: </w:t>
      </w:r>
      <w:r>
        <w:rPr>
          <w:b w:val="0"/>
          <w:i w:val="0"/>
        </w:rPr>
        <w:t>audio-feature papers rarely look at lyrics, and lyrics papers rarely use audio descriptors, so the agreement between musical and lyrical mood is seldom measured.</w:t>
      </w:r>
    </w:p>
    <w:p>
      <w:pPr>
        <w:pStyle w:val="ListBullet"/>
        <w:spacing w:after="80"/>
        <w:jc w:val="both"/>
      </w:pPr>
      <w:r>
        <w:rPr>
          <w:b/>
        </w:rPr>
        <w:t xml:space="preserve">Little attention to data quality: </w:t>
      </w:r>
      <w:r>
        <w:rPr>
          <w:b w:val="0"/>
          <w:i w:val="0"/>
        </w:rPr>
        <w:t>impossible values (zero tempo, zero time signature), re-issued duplicates and outliers are usually dropped silently or not discussed, which can bias decade averages.</w:t>
      </w:r>
    </w:p>
    <w:p>
      <w:pPr>
        <w:pStyle w:val="ListBullet"/>
        <w:spacing w:after="80"/>
        <w:jc w:val="both"/>
      </w:pPr>
      <w:r>
        <w:rPr>
          <w:b/>
        </w:rPr>
        <w:t xml:space="preserve">No comparison of embedding methods on music descriptors: </w:t>
      </w:r>
      <w:r>
        <w:rPr>
          <w:b w:val="0"/>
          <w:i w:val="0"/>
        </w:rPr>
        <w:t>music maps typically use one method (often t-SNE) without reporting runtime, trustworthiness or cluster separation against PCA and LLE.</w:t>
      </w:r>
    </w:p>
    <w:p>
      <w:pPr>
        <w:pStyle w:val="ListBullet"/>
        <w:spacing w:after="80"/>
        <w:jc w:val="both"/>
      </w:pPr>
      <w:r>
        <w:rPr>
          <w:b/>
        </w:rPr>
        <w:t xml:space="preserve">Generic tools are not domain-aware: </w:t>
      </w:r>
      <w:r>
        <w:rPr>
          <w:b w:val="0"/>
          <w:i w:val="0"/>
        </w:rPr>
        <w:t>automated EDA libraries and the Streamlit EDA application describe columns but cannot answer music-specific questions, and most interactive tools need a running server.</w:t>
      </w:r>
    </w:p>
    <w:p>
      <w:pPr>
        <w:pStyle w:val="Heading2"/>
        <w:jc w:val="left"/>
      </w:pPr>
      <w:r>
        <w:t>3.3 Objectives</w:t>
      </w:r>
    </w:p>
    <w:p>
      <w:pPr>
        <w:jc w:val="both"/>
      </w:pPr>
      <w:r>
        <w:rPr>
          <w:b w:val="0"/>
          <w:i w:val="0"/>
        </w:rPr>
        <w:t>The objectives below are numbered and each has a measurable outcome:</w:t>
      </w:r>
    </w:p>
    <w:p>
      <w:pPr>
        <w:spacing w:after="80"/>
        <w:ind w:left="510" w:hanging="340"/>
        <w:jc w:val="both"/>
      </w:pPr>
      <w:r>
        <w:rPr>
          <w:b w:val="0"/>
          <w:i w:val="0"/>
        </w:rPr>
        <w:t>1. Build a reproducible cleaning pipeline for at least 1 million tracks that repairs impossible values with MICE (validated by masking 5% of known values and comparing RMSE with mean imputation) and flags outliers with two methods.</w:t>
      </w:r>
    </w:p>
    <w:p>
      <w:pPr>
        <w:spacing w:after="80"/>
        <w:ind w:left="510" w:hanging="340"/>
        <w:jc w:val="both"/>
      </w:pPr>
      <w:r>
        <w:rPr>
          <w:b w:val="0"/>
          <w:i w:val="0"/>
        </w:rPr>
        <w:t>2. Report per-feature descriptive statistics (mean, median, mode, n-1 variance, Tukey Q1/Q3/IQR, G1, G2, CV) for the whole catalogue, for eight representative genres and for every decade from the 1950s to the 2020s.</w:t>
      </w:r>
    </w:p>
    <w:p>
      <w:pPr>
        <w:spacing w:after="80"/>
        <w:ind w:left="510" w:hanging="340"/>
        <w:jc w:val="both"/>
      </w:pPr>
      <w:r>
        <w:rPr>
          <w:b w:val="0"/>
          <w:i w:val="0"/>
        </w:rPr>
        <w:t>3. Quantify the main correlations and visualise genre fingerprints with parallel coordinates, Andrews curves, radar and violin plots.</w:t>
      </w:r>
    </w:p>
    <w:p>
      <w:pPr>
        <w:spacing w:after="80"/>
        <w:ind w:left="510" w:hanging="340"/>
        <w:jc w:val="both"/>
      </w:pPr>
      <w:r>
        <w:rPr>
          <w:b w:val="0"/>
          <w:i w:val="0"/>
        </w:rPr>
        <w:t>4. Compare PCA, t-SNE, LLE and UMAP on a stratified 10,000-track sample using runtime, trustworthiness (k = 10) and silhouette, and name the acoustic clusters found by KMeans.</w:t>
      </w:r>
    </w:p>
    <w:p>
      <w:pPr>
        <w:spacing w:after="80"/>
        <w:ind w:left="510" w:hanging="340"/>
        <w:jc w:val="both"/>
      </w:pPr>
      <w:r>
        <w:rPr>
          <w:b w:val="0"/>
          <w:i w:val="0"/>
        </w:rPr>
        <w:t>5. Measure long-term trends with yearly means, STL decomposition, change-point detection and a hold-out ARIMA forecast whose error is compared with a naive baseline.</w:t>
      </w:r>
    </w:p>
    <w:p>
      <w:pPr>
        <w:spacing w:after="80"/>
        <w:ind w:left="510" w:hanging="340"/>
        <w:jc w:val="both"/>
      </w:pPr>
      <w:r>
        <w:rPr>
          <w:b w:val="0"/>
          <w:i w:val="0"/>
        </w:rPr>
        <w:t>6. Test genre differences formally (one-way ANOVA with Tukey HSD, Kruskal-Wallis, chi-square with Cramer's V) and compare filter and wrapper feature-selection rankings.</w:t>
      </w:r>
    </w:p>
    <w:p>
      <w:pPr>
        <w:spacing w:after="80"/>
        <w:ind w:left="510" w:hanging="340"/>
        <w:jc w:val="both"/>
      </w:pPr>
      <w:r>
        <w:rPr>
          <w:b w:val="0"/>
          <w:i w:val="0"/>
        </w:rPr>
        <w:t>7. Publish a static web platform in which SQL queries on the lite dataset return in under one second on a normal laptop, with every result reproducible from the notebooks.</w:t>
      </w:r>
    </w:p>
    <w:p>
      <w:pPr>
        <w:pStyle w:val="Heading2"/>
        <w:jc w:val="left"/>
      </w:pPr>
      <w:r>
        <w:t>3.4 Problem Statement</w:t>
      </w:r>
    </w:p>
    <w:p>
      <w:pPr>
        <w:jc w:val="both"/>
      </w:pPr>
      <w:r>
        <w:rPr>
          <w:b w:val="0"/>
          <w:i w:val="0"/>
        </w:rPr>
        <w:t>Large public tables of Spotify audio features and song lyrics exist, but they are noisy, partly duplicated and split across sources that share no common key, and the knowledge extracted from them is locked inside static papers and notebooks. Students, researchers and open-data users therefore lack a trustworthy, reproducible and interactive way to ask how the sound of music differs across genres and how it has changed across eras. This project addresses that problem by building a documented EDA pipeline over more than one million tracks, applying the statistical, multivariate, dimensionality-reduction and time-series methods of the course, and delivering the results as SonicAtlas, a serverless in-browser platform where the cleaned data can be filtered, queried, mapped and compared by anyone.</w:t>
      </w:r>
    </w:p>
    <w:p>
      <w:pPr>
        <w:spacing w:after="0"/>
      </w:pPr>
      <w:r>
        <w:br w:type="page"/>
      </w:r>
    </w:p>
    <w:p>
      <w:pPr>
        <w:pStyle w:val="Heading1"/>
        <w:jc w:val="center"/>
      </w:pPr>
      <w:r>
        <w:t>4. PROPOSED WORK</w:t>
      </w:r>
    </w:p>
    <w:p>
      <w:pPr>
        <w:jc w:val="both"/>
      </w:pPr>
      <w:r>
        <w:rPr>
          <w:b w:val="0"/>
          <w:i w:val="0"/>
        </w:rPr>
        <w:t>The proposed work is organised in three blocks that follow the methodology in Fig. 1: data engineering (Section 4.1), statistical and visual exploration (Section 4.2), and the interactive platform together with formal testing and evaluation (Section 4.3).</w:t>
      </w:r>
    </w:p>
    <w:p>
      <w:pPr>
        <w:keepNext/>
        <w:spacing w:after="40" w:line="240" w:lineRule="auto"/>
        <w:jc w:val="center"/>
      </w:pPr>
      <w:r>
        <w:drawing>
          <wp:inline xmlns:a="http://schemas.openxmlformats.org/drawingml/2006/main" xmlns:pic="http://schemas.openxmlformats.org/drawingml/2006/picture">
            <wp:extent cx="5852160" cy="1493298"/>
            <wp:docPr id="1" name="Picture 1"/>
            <wp:cNvGraphicFramePr>
              <a:graphicFrameLocks noChangeAspect="1"/>
            </wp:cNvGraphicFramePr>
            <a:graphic>
              <a:graphicData uri="http://schemas.openxmlformats.org/drawingml/2006/picture">
                <pic:pic>
                  <pic:nvPicPr>
                    <pic:cNvPr id="0" name="fig_00_02_methodology_flow.png"/>
                    <pic:cNvPicPr/>
                  </pic:nvPicPr>
                  <pic:blipFill>
                    <a:blip r:embed="rId35"/>
                    <a:stretch>
                      <a:fillRect/>
                    </a:stretch>
                  </pic:blipFill>
                  <pic:spPr>
                    <a:xfrm>
                      <a:off x="0" y="0"/>
                      <a:ext cx="5852160" cy="1493298"/>
                    </a:xfrm>
                    <a:prstGeom prst="rect"/>
                  </pic:spPr>
                </pic:pic>
              </a:graphicData>
            </a:graphic>
          </wp:inline>
        </w:drawing>
      </w:r>
    </w:p>
    <w:p>
      <w:pPr>
        <w:spacing w:line="240" w:lineRule="auto"/>
        <w:jc w:val="center"/>
      </w:pPr>
      <w:r>
        <w:rPr>
          <w:sz w:val="20"/>
        </w:rPr>
        <w:t>Fig. 1. Overall methodology of the SonicAtlas project</w:t>
      </w:r>
    </w:p>
    <w:p>
      <w:pPr>
        <w:pStyle w:val="Heading2"/>
        <w:jc w:val="center"/>
      </w:pPr>
      <w:r>
        <w:t>4.1 Data Acquisition, Cleaning and Preprocessing of Large-Scale Spotify Audio and Lyrics Data</w:t>
      </w:r>
    </w:p>
    <w:p>
      <w:pPr>
        <w:jc w:val="both"/>
      </w:pPr>
      <w:r>
        <w:rPr>
          <w:b w:val="0"/>
          <w:i w:val="0"/>
        </w:rPr>
        <w:t>This block turns three public downloads into analysis-ready Parquet tables while keeping the raw files untouched.</w:t>
      </w:r>
    </w:p>
    <w:p>
      <w:pPr>
        <w:pStyle w:val="Heading3"/>
        <w:jc w:val="left"/>
      </w:pPr>
      <w:r>
        <w:t>4.1.1 Data Sources</w:t>
      </w:r>
    </w:p>
    <w:p>
      <w:pPr>
        <w:jc w:val="both"/>
      </w:pPr>
      <w:r>
        <w:rPr>
          <w:b w:val="0"/>
          <w:i w:val="0"/>
        </w:rPr>
        <w:t>Three public Kaggle datasets were used (TABLE II): the Spotify 1.2M+ Songs table [36], the Spotify Tracks Dataset [37] and the Genius Song Lyrics dataset [38]. They were downloaded from the public Kaggle endpoint on 20 October 2026, checksummed, and stored unchanged in data/raw. All processing used pandas [27] and scikit-learn [26].</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12"/>
        <w:gridCol w:w="3169"/>
        <w:gridCol w:w="1420"/>
        <w:gridCol w:w="2513"/>
      </w:tblGrid>
      <w:tr>
        <w:trPr>
          <w:tblHeader w:val="true"/>
          <w:cantSplit w:val="true"/>
        </w:trPr>
        <w:tc>
          <w:tcPr>
            <w:tcW w:type="dxa" w:w="1912"/>
          </w:tcPr>
          <w:p>
            <w:pPr>
              <w:keepNext/>
              <w:spacing w:line="240" w:lineRule="auto" w:after="0"/>
              <w:jc w:val="center"/>
            </w:pPr>
            <w:r/>
            <w:r>
              <w:rPr>
                <w:b/>
                <w:sz w:val="20"/>
              </w:rPr>
              <w:t>Dataset</w:t>
            </w:r>
          </w:p>
        </w:tc>
        <w:tc>
          <w:tcPr>
            <w:tcW w:type="dxa" w:w="3169"/>
          </w:tcPr>
          <w:p>
            <w:pPr>
              <w:keepNext/>
              <w:spacing w:line="240" w:lineRule="auto" w:after="0"/>
              <w:jc w:val="center"/>
            </w:pPr>
            <w:r/>
            <w:r>
              <w:rPr>
                <w:b/>
                <w:sz w:val="20"/>
              </w:rPr>
              <w:t>Kaggle source</w:t>
            </w:r>
          </w:p>
        </w:tc>
        <w:tc>
          <w:tcPr>
            <w:tcW w:type="dxa" w:w="1420"/>
          </w:tcPr>
          <w:p>
            <w:pPr>
              <w:keepNext/>
              <w:spacing w:line="240" w:lineRule="auto" w:after="0"/>
              <w:jc w:val="center"/>
            </w:pPr>
            <w:r/>
            <w:r>
              <w:rPr>
                <w:b/>
                <w:sz w:val="20"/>
              </w:rPr>
              <w:t>Rows</w:t>
            </w:r>
          </w:p>
        </w:tc>
        <w:tc>
          <w:tcPr>
            <w:tcW w:type="dxa" w:w="2513"/>
          </w:tcPr>
          <w:p>
            <w:pPr>
              <w:keepNext/>
              <w:spacing w:line="240" w:lineRule="auto" w:after="0"/>
              <w:jc w:val="center"/>
            </w:pPr>
            <w:r/>
            <w:r>
              <w:rPr>
                <w:b/>
                <w:sz w:val="20"/>
              </w:rPr>
              <w:t>Role in SonicAtlas</w:t>
            </w:r>
          </w:p>
        </w:tc>
      </w:tr>
      <w:tr>
        <w:trPr>
          <w:cantSplit w:val="true"/>
        </w:trPr>
        <w:tc>
          <w:tcPr>
            <w:tcW w:type="dxa" w:w="1912"/>
          </w:tcPr>
          <w:p>
            <w:pPr>
              <w:keepNext/>
              <w:spacing w:line="240" w:lineRule="auto" w:after="0"/>
              <w:jc w:val="left"/>
            </w:pPr>
            <w:r>
              <w:rPr>
                <w:b w:val="0"/>
                <w:i w:val="0"/>
                <w:sz w:val="20"/>
              </w:rPr>
              <w:t>Spotify 1.2M+ Songs</w:t>
            </w:r>
          </w:p>
        </w:tc>
        <w:tc>
          <w:tcPr>
            <w:tcW w:type="dxa" w:w="3169"/>
          </w:tcPr>
          <w:p>
            <w:pPr>
              <w:keepNext/>
              <w:spacing w:line="240" w:lineRule="auto" w:after="0"/>
              <w:jc w:val="left"/>
            </w:pPr>
            <w:r>
              <w:rPr>
                <w:b w:val="0"/>
                <w:i w:val="0"/>
                <w:sz w:val="20"/>
              </w:rPr>
              <w:t>rodolfofigueroa/spotify-12m-songs</w:t>
            </w:r>
          </w:p>
        </w:tc>
        <w:tc>
          <w:tcPr>
            <w:tcW w:type="dxa" w:w="1420"/>
          </w:tcPr>
          <w:p>
            <w:pPr>
              <w:keepNext/>
              <w:spacing w:line="240" w:lineRule="auto" w:after="0"/>
              <w:jc w:val="center"/>
            </w:pPr>
            <w:r>
              <w:rPr>
                <w:b w:val="0"/>
                <w:i w:val="0"/>
                <w:sz w:val="20"/>
              </w:rPr>
              <w:t>1,204,025</w:t>
            </w:r>
          </w:p>
        </w:tc>
        <w:tc>
          <w:tcPr>
            <w:tcW w:type="dxa" w:w="2513"/>
          </w:tcPr>
          <w:p>
            <w:pPr>
              <w:keepNext/>
              <w:spacing w:line="240" w:lineRule="auto" w:after="0"/>
              <w:jc w:val="left"/>
            </w:pPr>
            <w:r>
              <w:rPr>
                <w:b w:val="0"/>
                <w:i w:val="0"/>
                <w:sz w:val="20"/>
              </w:rPr>
              <w:t>Main audio table with release year</w:t>
            </w:r>
          </w:p>
        </w:tc>
      </w:tr>
      <w:tr>
        <w:trPr>
          <w:cantSplit w:val="true"/>
        </w:trPr>
        <w:tc>
          <w:tcPr>
            <w:tcW w:type="dxa" w:w="1912"/>
          </w:tcPr>
          <w:p>
            <w:pPr>
              <w:keepNext/>
              <w:spacing w:line="240" w:lineRule="auto" w:after="0"/>
              <w:jc w:val="left"/>
            </w:pPr>
            <w:r>
              <w:rPr>
                <w:b w:val="0"/>
                <w:i w:val="0"/>
                <w:sz w:val="20"/>
              </w:rPr>
              <w:t>Spotify Tracks Dataset</w:t>
            </w:r>
          </w:p>
        </w:tc>
        <w:tc>
          <w:tcPr>
            <w:tcW w:type="dxa" w:w="3169"/>
          </w:tcPr>
          <w:p>
            <w:pPr>
              <w:keepNext/>
              <w:spacing w:line="240" w:lineRule="auto" w:after="0"/>
              <w:jc w:val="left"/>
            </w:pPr>
            <w:r>
              <w:rPr>
                <w:b w:val="0"/>
                <w:i w:val="0"/>
                <w:sz w:val="20"/>
              </w:rPr>
              <w:t>maharshipandya/-spotify-tracks-dataset</w:t>
            </w:r>
          </w:p>
        </w:tc>
        <w:tc>
          <w:tcPr>
            <w:tcW w:type="dxa" w:w="1420"/>
          </w:tcPr>
          <w:p>
            <w:pPr>
              <w:keepNext/>
              <w:spacing w:line="240" w:lineRule="auto" w:after="0"/>
              <w:jc w:val="center"/>
            </w:pPr>
            <w:r>
              <w:rPr>
                <w:b w:val="0"/>
                <w:i w:val="0"/>
                <w:sz w:val="20"/>
              </w:rPr>
              <w:t>114,000</w:t>
            </w:r>
          </w:p>
        </w:tc>
        <w:tc>
          <w:tcPr>
            <w:tcW w:type="dxa" w:w="2513"/>
          </w:tcPr>
          <w:p>
            <w:pPr>
              <w:keepNext/>
              <w:spacing w:line="240" w:lineRule="auto" w:after="0"/>
              <w:jc w:val="left"/>
            </w:pPr>
            <w:r>
              <w:rPr>
                <w:b w:val="0"/>
                <w:i w:val="0"/>
                <w:sz w:val="20"/>
              </w:rPr>
              <w:t>Genre labels (114 genres) and popularity</w:t>
            </w:r>
          </w:p>
        </w:tc>
      </w:tr>
      <w:tr>
        <w:trPr>
          <w:cantSplit w:val="true"/>
        </w:trPr>
        <w:tc>
          <w:tcPr>
            <w:tcW w:type="dxa" w:w="1912"/>
          </w:tcPr>
          <w:p>
            <w:pPr>
              <w:keepNext/>
              <w:spacing w:line="240" w:lineRule="auto" w:after="0"/>
              <w:jc w:val="left"/>
            </w:pPr>
            <w:r>
              <w:rPr>
                <w:b w:val="0"/>
                <w:i w:val="0"/>
                <w:sz w:val="20"/>
              </w:rPr>
              <w:t>Genius Song Lyrics</w:t>
            </w:r>
          </w:p>
        </w:tc>
        <w:tc>
          <w:tcPr>
            <w:tcW w:type="dxa" w:w="3169"/>
          </w:tcPr>
          <w:p>
            <w:pPr>
              <w:keepNext/>
              <w:spacing w:line="240" w:lineRule="auto" w:after="0"/>
              <w:jc w:val="left"/>
            </w:pPr>
            <w:r>
              <w:rPr>
                <w:b w:val="0"/>
                <w:i w:val="0"/>
                <w:sz w:val="20"/>
              </w:rPr>
              <w:t>carlosgdcj/genius-song-lyrics-with-language-information</w:t>
            </w:r>
          </w:p>
        </w:tc>
        <w:tc>
          <w:tcPr>
            <w:tcW w:type="dxa" w:w="1420"/>
          </w:tcPr>
          <w:p>
            <w:pPr>
              <w:keepNext/>
              <w:spacing w:line="240" w:lineRule="auto" w:after="0"/>
              <w:jc w:val="left"/>
            </w:pPr>
            <w:r>
              <w:rPr>
                <w:b w:val="0"/>
                <w:i w:val="0"/>
                <w:sz w:val="20"/>
              </w:rPr>
              <w:t>161,401 (English sample)</w:t>
            </w:r>
          </w:p>
        </w:tc>
        <w:tc>
          <w:tcPr>
            <w:tcW w:type="dxa" w:w="2513"/>
          </w:tcPr>
          <w:p>
            <w:pPr>
              <w:keepNext/>
              <w:spacing w:line="240" w:lineRule="auto" w:after="0"/>
              <w:jc w:val="left"/>
            </w:pPr>
            <w:r>
              <w:rPr>
                <w:b w:val="0"/>
                <w:i w:val="0"/>
                <w:sz w:val="20"/>
              </w:rPr>
              <w:t>Lyrics text, language tag</w:t>
            </w:r>
          </w:p>
        </w:tc>
      </w:tr>
    </w:tbl>
    <w:p>
      <w:pPr>
        <w:spacing w:before="80" w:line="240" w:lineRule="auto"/>
        <w:jc w:val="center"/>
      </w:pPr>
      <w:r>
        <w:rPr>
          <w:sz w:val="20"/>
        </w:rPr>
        <w:t>TABLE II: Public datasets used in the project</w:t>
      </w:r>
    </w:p>
    <w:p>
      <w:pPr>
        <w:pStyle w:val="Heading3"/>
        <w:jc w:val="left"/>
      </w:pPr>
      <w:r>
        <w:t>4.1.2 Data Audit</w:t>
      </w:r>
    </w:p>
    <w:p>
      <w:pPr>
        <w:jc w:val="both"/>
      </w:pPr>
      <w:r>
        <w:rPr>
          <w:b w:val="0"/>
          <w:i w:val="0"/>
        </w:rPr>
        <w:t>The audit (notebook 01) checked shape, types, missing values, duplicates and physically impossible values. TABLE III lists what was found. Text columns had almost no gaps (14 missing names or album titles in the main table), but 2,777 tracks had a tempo of 0 BPM and 2,809 a time signature of 0, which cannot occur in real music.</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782"/>
        <w:gridCol w:w="2671"/>
        <w:gridCol w:w="3561"/>
      </w:tblGrid>
      <w:tr>
        <w:trPr>
          <w:tblHeader w:val="true"/>
          <w:cantSplit w:val="true"/>
        </w:trPr>
        <w:tc>
          <w:tcPr>
            <w:tcW w:type="dxa" w:w="2782"/>
          </w:tcPr>
          <w:p>
            <w:pPr>
              <w:keepNext/>
              <w:spacing w:line="240" w:lineRule="auto" w:after="0"/>
              <w:jc w:val="center"/>
            </w:pPr>
            <w:r/>
            <w:r>
              <w:rPr>
                <w:b/>
                <w:sz w:val="20"/>
              </w:rPr>
              <w:t>Check</w:t>
            </w:r>
          </w:p>
        </w:tc>
        <w:tc>
          <w:tcPr>
            <w:tcW w:type="dxa" w:w="2671"/>
          </w:tcPr>
          <w:p>
            <w:pPr>
              <w:keepNext/>
              <w:spacing w:line="240" w:lineRule="auto" w:after="0"/>
              <w:jc w:val="center"/>
            </w:pPr>
            <w:r/>
            <w:r>
              <w:rPr>
                <w:b/>
                <w:sz w:val="20"/>
              </w:rPr>
              <w:t>Spotify 1.2M+</w:t>
            </w:r>
          </w:p>
        </w:tc>
        <w:tc>
          <w:tcPr>
            <w:tcW w:type="dxa" w:w="3561"/>
          </w:tcPr>
          <w:p>
            <w:pPr>
              <w:keepNext/>
              <w:spacing w:line="240" w:lineRule="auto" w:after="0"/>
              <w:jc w:val="center"/>
            </w:pPr>
            <w:r/>
            <w:r>
              <w:rPr>
                <w:b/>
                <w:sz w:val="20"/>
              </w:rPr>
              <w:t>Spotify Tracks (genre)</w:t>
            </w:r>
          </w:p>
        </w:tc>
      </w:tr>
      <w:tr>
        <w:trPr>
          <w:cantSplit w:val="true"/>
        </w:trPr>
        <w:tc>
          <w:tcPr>
            <w:tcW w:type="dxa" w:w="2782"/>
          </w:tcPr>
          <w:p>
            <w:pPr>
              <w:keepNext/>
              <w:spacing w:line="240" w:lineRule="auto" w:after="0"/>
              <w:jc w:val="center"/>
            </w:pPr>
            <w:r>
              <w:rPr>
                <w:b w:val="0"/>
                <w:i w:val="0"/>
                <w:sz w:val="20"/>
              </w:rPr>
              <w:t>Rows x columns</w:t>
            </w:r>
          </w:p>
        </w:tc>
        <w:tc>
          <w:tcPr>
            <w:tcW w:type="dxa" w:w="2671"/>
          </w:tcPr>
          <w:p>
            <w:pPr>
              <w:keepNext/>
              <w:spacing w:line="240" w:lineRule="auto" w:after="0"/>
              <w:jc w:val="center"/>
            </w:pPr>
            <w:r>
              <w:rPr>
                <w:b w:val="0"/>
                <w:i w:val="0"/>
                <w:sz w:val="20"/>
              </w:rPr>
              <w:t>1,204,025 x 24</w:t>
            </w:r>
          </w:p>
        </w:tc>
        <w:tc>
          <w:tcPr>
            <w:tcW w:type="dxa" w:w="3561"/>
          </w:tcPr>
          <w:p>
            <w:pPr>
              <w:keepNext/>
              <w:spacing w:line="240" w:lineRule="auto" w:after="0"/>
              <w:jc w:val="center"/>
            </w:pPr>
            <w:r>
              <w:rPr>
                <w:b w:val="0"/>
                <w:i w:val="0"/>
                <w:sz w:val="20"/>
              </w:rPr>
              <w:t>114,000 x 20</w:t>
            </w:r>
          </w:p>
        </w:tc>
      </w:tr>
      <w:tr>
        <w:trPr>
          <w:cantSplit w:val="true"/>
        </w:trPr>
        <w:tc>
          <w:tcPr>
            <w:tcW w:type="dxa" w:w="2782"/>
          </w:tcPr>
          <w:p>
            <w:pPr>
              <w:keepNext/>
              <w:spacing w:line="240" w:lineRule="auto" w:after="0"/>
              <w:jc w:val="center"/>
            </w:pPr>
            <w:r>
              <w:rPr>
                <w:b w:val="0"/>
                <w:i w:val="0"/>
                <w:sz w:val="20"/>
              </w:rPr>
              <w:t>Missing cells</w:t>
            </w:r>
          </w:p>
        </w:tc>
        <w:tc>
          <w:tcPr>
            <w:tcW w:type="dxa" w:w="2671"/>
          </w:tcPr>
          <w:p>
            <w:pPr>
              <w:keepNext/>
              <w:spacing w:line="240" w:lineRule="auto" w:after="0"/>
              <w:jc w:val="center"/>
            </w:pPr>
            <w:r>
              <w:rPr>
                <w:b w:val="0"/>
                <w:i w:val="0"/>
                <w:sz w:val="20"/>
              </w:rPr>
              <w:t>14</w:t>
            </w:r>
          </w:p>
        </w:tc>
        <w:tc>
          <w:tcPr>
            <w:tcW w:type="dxa" w:w="3561"/>
          </w:tcPr>
          <w:p>
            <w:pPr>
              <w:keepNext/>
              <w:spacing w:line="240" w:lineRule="auto" w:after="0"/>
              <w:jc w:val="center"/>
            </w:pPr>
            <w:r>
              <w:rPr>
                <w:b w:val="0"/>
                <w:i w:val="0"/>
                <w:sz w:val="20"/>
              </w:rPr>
              <w:t>3</w:t>
            </w:r>
          </w:p>
        </w:tc>
      </w:tr>
      <w:tr>
        <w:trPr>
          <w:cantSplit w:val="true"/>
        </w:trPr>
        <w:tc>
          <w:tcPr>
            <w:tcW w:type="dxa" w:w="2782"/>
          </w:tcPr>
          <w:p>
            <w:pPr>
              <w:keepNext/>
              <w:spacing w:line="240" w:lineRule="auto" w:after="0"/>
              <w:jc w:val="left"/>
            </w:pPr>
            <w:r>
              <w:rPr>
                <w:b w:val="0"/>
                <w:i w:val="0"/>
                <w:sz w:val="20"/>
              </w:rPr>
              <w:t>Duplicate track IDs</w:t>
            </w:r>
          </w:p>
        </w:tc>
        <w:tc>
          <w:tcPr>
            <w:tcW w:type="dxa" w:w="2671"/>
          </w:tcPr>
          <w:p>
            <w:pPr>
              <w:keepNext/>
              <w:spacing w:line="240" w:lineRule="auto" w:after="0"/>
              <w:jc w:val="center"/>
            </w:pPr>
            <w:r>
              <w:rPr>
                <w:b w:val="0"/>
                <w:i w:val="0"/>
                <w:sz w:val="20"/>
              </w:rPr>
              <w:t>0</w:t>
            </w:r>
          </w:p>
        </w:tc>
        <w:tc>
          <w:tcPr>
            <w:tcW w:type="dxa" w:w="3561"/>
          </w:tcPr>
          <w:p>
            <w:pPr>
              <w:keepNext/>
              <w:spacing w:line="240" w:lineRule="auto" w:after="0"/>
              <w:jc w:val="left"/>
            </w:pPr>
            <w:r>
              <w:rPr>
                <w:b w:val="0"/>
                <w:i w:val="0"/>
                <w:sz w:val="20"/>
              </w:rPr>
              <w:t>24,259 (same track in several genres)</w:t>
            </w:r>
          </w:p>
        </w:tc>
      </w:tr>
      <w:tr>
        <w:trPr>
          <w:cantSplit w:val="true"/>
        </w:trPr>
        <w:tc>
          <w:tcPr>
            <w:tcW w:type="dxa" w:w="2782"/>
          </w:tcPr>
          <w:p>
            <w:pPr>
              <w:keepNext/>
              <w:spacing w:line="240" w:lineRule="auto" w:after="0"/>
              <w:jc w:val="left"/>
            </w:pPr>
            <w:r>
              <w:rPr>
                <w:b w:val="0"/>
                <w:i w:val="0"/>
                <w:sz w:val="20"/>
              </w:rPr>
              <w:t>Duplicate title + artist</w:t>
            </w:r>
          </w:p>
        </w:tc>
        <w:tc>
          <w:tcPr>
            <w:tcW w:type="dxa" w:w="2671"/>
          </w:tcPr>
          <w:p>
            <w:pPr>
              <w:keepNext/>
              <w:spacing w:line="240" w:lineRule="auto" w:after="0"/>
              <w:jc w:val="center"/>
            </w:pPr>
            <w:r>
              <w:rPr>
                <w:b w:val="0"/>
                <w:i w:val="0"/>
                <w:sz w:val="20"/>
              </w:rPr>
              <w:t>71,694</w:t>
            </w:r>
          </w:p>
        </w:tc>
        <w:tc>
          <w:tcPr>
            <w:tcW w:type="dxa" w:w="3561"/>
          </w:tcPr>
          <w:p>
            <w:pPr>
              <w:keepNext/>
              <w:spacing w:line="240" w:lineRule="auto" w:after="0"/>
              <w:jc w:val="center"/>
            </w:pPr>
            <w:r>
              <w:rPr>
                <w:b w:val="0"/>
                <w:i w:val="0"/>
                <w:sz w:val="20"/>
              </w:rPr>
              <w:t>35,595</w:t>
            </w:r>
          </w:p>
        </w:tc>
      </w:tr>
      <w:tr>
        <w:trPr>
          <w:cantSplit w:val="true"/>
        </w:trPr>
        <w:tc>
          <w:tcPr>
            <w:tcW w:type="dxa" w:w="2782"/>
          </w:tcPr>
          <w:p>
            <w:pPr>
              <w:keepNext/>
              <w:spacing w:line="240" w:lineRule="auto" w:after="0"/>
              <w:jc w:val="center"/>
            </w:pPr>
            <w:r>
              <w:rPr>
                <w:b w:val="0"/>
                <w:i w:val="0"/>
                <w:sz w:val="20"/>
              </w:rPr>
              <w:t>Tempo = 0 BPM</w:t>
            </w:r>
          </w:p>
        </w:tc>
        <w:tc>
          <w:tcPr>
            <w:tcW w:type="dxa" w:w="2671"/>
          </w:tcPr>
          <w:p>
            <w:pPr>
              <w:keepNext/>
              <w:spacing w:line="240" w:lineRule="auto" w:after="0"/>
              <w:jc w:val="center"/>
            </w:pPr>
            <w:r>
              <w:rPr>
                <w:b w:val="0"/>
                <w:i w:val="0"/>
                <w:sz w:val="20"/>
              </w:rPr>
              <w:t>2,777</w:t>
            </w:r>
          </w:p>
        </w:tc>
        <w:tc>
          <w:tcPr>
            <w:tcW w:type="dxa" w:w="3561"/>
          </w:tcPr>
          <w:p>
            <w:pPr>
              <w:keepNext/>
              <w:spacing w:line="240" w:lineRule="auto" w:after="0"/>
              <w:jc w:val="center"/>
            </w:pPr>
            <w:r>
              <w:rPr>
                <w:b w:val="0"/>
                <w:i w:val="0"/>
                <w:sz w:val="20"/>
              </w:rPr>
              <w:t>157</w:t>
            </w:r>
          </w:p>
        </w:tc>
      </w:tr>
      <w:tr>
        <w:trPr>
          <w:cantSplit w:val="true"/>
        </w:trPr>
        <w:tc>
          <w:tcPr>
            <w:tcW w:type="dxa" w:w="2782"/>
          </w:tcPr>
          <w:p>
            <w:pPr>
              <w:keepNext/>
              <w:spacing w:line="240" w:lineRule="auto" w:after="0"/>
              <w:jc w:val="left"/>
            </w:pPr>
            <w:r>
              <w:rPr>
                <w:b w:val="0"/>
                <w:i w:val="0"/>
                <w:sz w:val="20"/>
              </w:rPr>
              <w:t>Time signature = 0</w:t>
            </w:r>
          </w:p>
        </w:tc>
        <w:tc>
          <w:tcPr>
            <w:tcW w:type="dxa" w:w="2671"/>
          </w:tcPr>
          <w:p>
            <w:pPr>
              <w:keepNext/>
              <w:spacing w:line="240" w:lineRule="auto" w:after="0"/>
              <w:jc w:val="center"/>
            </w:pPr>
            <w:r>
              <w:rPr>
                <w:b w:val="0"/>
                <w:i w:val="0"/>
                <w:sz w:val="20"/>
              </w:rPr>
              <w:t>2,809</w:t>
            </w:r>
          </w:p>
        </w:tc>
        <w:tc>
          <w:tcPr>
            <w:tcW w:type="dxa" w:w="3561"/>
          </w:tcPr>
          <w:p>
            <w:pPr>
              <w:keepNext/>
              <w:spacing w:line="240" w:lineRule="auto" w:after="0"/>
              <w:jc w:val="center"/>
            </w:pPr>
            <w:r>
              <w:rPr>
                <w:b w:val="0"/>
                <w:i w:val="0"/>
                <w:sz w:val="20"/>
              </w:rPr>
              <w:t>163</w:t>
            </w:r>
          </w:p>
        </w:tc>
      </w:tr>
      <w:tr>
        <w:trPr>
          <w:cantSplit w:val="true"/>
        </w:trPr>
        <w:tc>
          <w:tcPr>
            <w:tcW w:type="dxa" w:w="2782"/>
          </w:tcPr>
          <w:p>
            <w:pPr>
              <w:keepNext/>
              <w:spacing w:line="240" w:lineRule="auto" w:after="0"/>
              <w:jc w:val="left"/>
            </w:pPr>
            <w:r>
              <w:rPr>
                <w:b w:val="0"/>
                <w:i w:val="0"/>
                <w:sz w:val="20"/>
              </w:rPr>
              <w:t>Loudness above 0 dB</w:t>
            </w:r>
          </w:p>
        </w:tc>
        <w:tc>
          <w:tcPr>
            <w:tcW w:type="dxa" w:w="2671"/>
          </w:tcPr>
          <w:p>
            <w:pPr>
              <w:keepNext/>
              <w:spacing w:line="240" w:lineRule="auto" w:after="0"/>
              <w:jc w:val="center"/>
            </w:pPr>
            <w:r>
              <w:rPr>
                <w:b w:val="0"/>
                <w:i w:val="0"/>
                <w:sz w:val="20"/>
              </w:rPr>
              <w:t>610</w:t>
            </w:r>
          </w:p>
        </w:tc>
        <w:tc>
          <w:tcPr>
            <w:tcW w:type="dxa" w:w="3561"/>
          </w:tcPr>
          <w:p>
            <w:pPr>
              <w:keepNext/>
              <w:spacing w:line="240" w:lineRule="auto" w:after="0"/>
              <w:jc w:val="center"/>
            </w:pPr>
            <w:r>
              <w:rPr>
                <w:b w:val="0"/>
                <w:i w:val="0"/>
                <w:sz w:val="20"/>
              </w:rPr>
              <w:t>-</w:t>
            </w:r>
          </w:p>
        </w:tc>
      </w:tr>
      <w:tr>
        <w:trPr>
          <w:cantSplit w:val="true"/>
        </w:trPr>
        <w:tc>
          <w:tcPr>
            <w:tcW w:type="dxa" w:w="2782"/>
          </w:tcPr>
          <w:p>
            <w:pPr>
              <w:keepNext/>
              <w:spacing w:line="240" w:lineRule="auto" w:after="0"/>
              <w:jc w:val="left"/>
            </w:pPr>
            <w:r>
              <w:rPr>
                <w:b w:val="0"/>
                <w:i w:val="0"/>
                <w:sz w:val="20"/>
              </w:rPr>
              <w:t>Year recorded as 0</w:t>
            </w:r>
          </w:p>
        </w:tc>
        <w:tc>
          <w:tcPr>
            <w:tcW w:type="dxa" w:w="2671"/>
          </w:tcPr>
          <w:p>
            <w:pPr>
              <w:keepNext/>
              <w:spacing w:line="240" w:lineRule="auto" w:after="0"/>
              <w:jc w:val="center"/>
            </w:pPr>
            <w:r>
              <w:rPr>
                <w:b w:val="0"/>
                <w:i w:val="0"/>
                <w:sz w:val="20"/>
              </w:rPr>
              <w:t>10</w:t>
            </w:r>
          </w:p>
        </w:tc>
        <w:tc>
          <w:tcPr>
            <w:tcW w:type="dxa" w:w="3561"/>
          </w:tcPr>
          <w:p>
            <w:pPr>
              <w:keepNext/>
              <w:spacing w:line="240" w:lineRule="auto" w:after="0"/>
              <w:jc w:val="center"/>
            </w:pPr>
            <w:r>
              <w:rPr>
                <w:b w:val="0"/>
                <w:i w:val="0"/>
                <w:sz w:val="20"/>
              </w:rPr>
              <w:t>no year column</w:t>
            </w:r>
          </w:p>
        </w:tc>
      </w:tr>
      <w:tr>
        <w:trPr>
          <w:cantSplit w:val="true"/>
        </w:trPr>
        <w:tc>
          <w:tcPr>
            <w:tcW w:type="dxa" w:w="2782"/>
          </w:tcPr>
          <w:p>
            <w:pPr>
              <w:keepNext/>
              <w:spacing w:line="240" w:lineRule="auto" w:after="0"/>
              <w:jc w:val="left"/>
            </w:pPr>
            <w:r>
              <w:rPr>
                <w:b w:val="0"/>
                <w:i w:val="0"/>
                <w:sz w:val="20"/>
              </w:rPr>
              <w:t>Duration &lt; 30 s / &gt; 20 min</w:t>
            </w:r>
          </w:p>
        </w:tc>
        <w:tc>
          <w:tcPr>
            <w:tcW w:type="dxa" w:w="2671"/>
          </w:tcPr>
          <w:p>
            <w:pPr>
              <w:keepNext/>
              <w:spacing w:line="240" w:lineRule="auto" w:after="0"/>
              <w:jc w:val="center"/>
            </w:pPr>
            <w:r>
              <w:rPr>
                <w:b w:val="0"/>
                <w:i w:val="0"/>
                <w:sz w:val="20"/>
              </w:rPr>
              <w:t>7,675 / 3,383</w:t>
            </w:r>
          </w:p>
        </w:tc>
        <w:tc>
          <w:tcPr>
            <w:tcW w:type="dxa" w:w="3561"/>
          </w:tcPr>
          <w:p>
            <w:pPr>
              <w:keepNext/>
              <w:spacing w:line="240" w:lineRule="auto" w:after="0"/>
              <w:jc w:val="center"/>
            </w:pPr>
            <w:r>
              <w:rPr>
                <w:b w:val="0"/>
                <w:i w:val="0"/>
                <w:sz w:val="20"/>
              </w:rPr>
              <w:t>17 / -</w:t>
            </w:r>
          </w:p>
        </w:tc>
      </w:tr>
      <w:tr>
        <w:trPr>
          <w:cantSplit w:val="true"/>
        </w:trPr>
        <w:tc>
          <w:tcPr>
            <w:tcW w:type="dxa" w:w="2782"/>
          </w:tcPr>
          <w:p>
            <w:pPr>
              <w:keepNext/>
              <w:spacing w:line="240" w:lineRule="auto" w:after="0"/>
              <w:jc w:val="center"/>
            </w:pPr>
            <w:r>
              <w:rPr>
                <w:b w:val="0"/>
                <w:i w:val="0"/>
                <w:sz w:val="20"/>
              </w:rPr>
              <w:t>Popularity = 0</w:t>
            </w:r>
          </w:p>
        </w:tc>
        <w:tc>
          <w:tcPr>
            <w:tcW w:type="dxa" w:w="2671"/>
          </w:tcPr>
          <w:p>
            <w:pPr>
              <w:keepNext/>
              <w:spacing w:line="240" w:lineRule="auto" w:after="0"/>
              <w:jc w:val="left"/>
            </w:pPr>
            <w:r>
              <w:rPr>
                <w:b w:val="0"/>
                <w:i w:val="0"/>
                <w:sz w:val="20"/>
              </w:rPr>
              <w:t>no popularity column</w:t>
            </w:r>
          </w:p>
        </w:tc>
        <w:tc>
          <w:tcPr>
            <w:tcW w:type="dxa" w:w="3561"/>
          </w:tcPr>
          <w:p>
            <w:pPr>
              <w:keepNext/>
              <w:spacing w:line="240" w:lineRule="auto" w:after="0"/>
              <w:jc w:val="center"/>
            </w:pPr>
            <w:r>
              <w:rPr>
                <w:b w:val="0"/>
                <w:i w:val="0"/>
                <w:sz w:val="20"/>
              </w:rPr>
              <w:t>16,020</w:t>
            </w:r>
          </w:p>
        </w:tc>
      </w:tr>
    </w:tbl>
    <w:p>
      <w:pPr>
        <w:spacing w:before="80" w:line="240" w:lineRule="auto"/>
        <w:jc w:val="center"/>
      </w:pPr>
      <w:r>
        <w:rPr>
          <w:sz w:val="20"/>
        </w:rPr>
        <w:t>TABLE III: Data audit results</w:t>
      </w:r>
    </w:p>
    <w:p>
      <w:pPr>
        <w:pStyle w:val="Heading3"/>
        <w:jc w:val="left"/>
      </w:pPr>
      <w:r>
        <w:t>4.1.3 Type Conversion and Feature Engineering</w:t>
      </w:r>
    </w:p>
    <w:p>
      <w:pPr>
        <w:jc w:val="both"/>
      </w:pPr>
      <w:r>
        <w:rPr>
          <w:b w:val="0"/>
          <w:i w:val="0"/>
        </w:rPr>
        <w:t>Several columns were converted to proper types and a few readable features were derived:</w:t>
      </w:r>
    </w:p>
    <w:p>
      <w:pPr>
        <w:pStyle w:val="ListBullet"/>
        <w:spacing w:after="80"/>
        <w:jc w:val="both"/>
      </w:pPr>
      <w:r>
        <w:rPr>
          <w:b/>
        </w:rPr>
        <w:t xml:space="preserve">Release date: </w:t>
      </w:r>
      <w:r>
        <w:rPr>
          <w:b w:val="0"/>
          <w:i w:val="0"/>
        </w:rPr>
        <w:t>parsed to a datetime; 1,072,839 dates have day precision, 130,144 only a year and 1,042 a month. Year and decade columns were derived, and the 10 tracks recorded with year 0 were set to missing.</w:t>
      </w:r>
    </w:p>
    <w:p>
      <w:pPr>
        <w:pStyle w:val="ListBullet"/>
        <w:spacing w:after="80"/>
        <w:jc w:val="both"/>
      </w:pPr>
      <w:r>
        <w:rPr>
          <w:b/>
        </w:rPr>
        <w:t xml:space="preserve">Key and mode: </w:t>
      </w:r>
      <w:r>
        <w:rPr>
          <w:b w:val="0"/>
          <w:i w:val="0"/>
        </w:rPr>
        <w:t>integer pitch classes 0-11 and the binary mode were combined into readable labels such as “C# minor”.</w:t>
      </w:r>
    </w:p>
    <w:p>
      <w:pPr>
        <w:pStyle w:val="ListBullet"/>
        <w:spacing w:after="80"/>
        <w:jc w:val="both"/>
      </w:pPr>
      <w:r>
        <w:rPr>
          <w:b/>
        </w:rPr>
        <w:t xml:space="preserve">Artists: </w:t>
      </w:r>
      <w:r>
        <w:rPr>
          <w:b w:val="0"/>
          <w:i w:val="0"/>
        </w:rPr>
        <w:t>the stored Python-style list strings were parsed into real lists, giving a main artist and an artist count per track.</w:t>
      </w:r>
    </w:p>
    <w:p>
      <w:pPr>
        <w:pStyle w:val="ListBullet"/>
        <w:spacing w:after="80"/>
        <w:jc w:val="both"/>
      </w:pPr>
      <w:r>
        <w:rPr>
          <w:b/>
        </w:rPr>
        <w:t xml:space="preserve">Explicit flag and duration: </w:t>
      </w:r>
      <w:r>
        <w:rPr>
          <w:b w:val="0"/>
          <w:i w:val="0"/>
        </w:rPr>
        <w:t>explicit was cast to boolean and duration in milliseconds to minutes.</w:t>
      </w:r>
    </w:p>
    <w:p>
      <w:pPr>
        <w:pStyle w:val="Heading3"/>
        <w:jc w:val="left"/>
      </w:pPr>
      <w:r>
        <w:t>4.1.4 Missing Values and MICE Imputation</w:t>
      </w:r>
    </w:p>
    <w:p>
      <w:pPr>
        <w:jc w:val="both"/>
      </w:pPr>
      <w:r>
        <w:rPr>
          <w:b w:val="0"/>
          <w:i w:val="0"/>
        </w:rPr>
        <w:t>Zero tempo and zero time signature were recoded as missing and imputed with Multiple Imputation by Chained Equations (MICE) [34], using scikit-learn’s IterativeImputer [26] with the nine other audio features as predictors. Missing text fields were filled with the constant “Unknown”. Because the audio features themselves contain no gaps, the imputer was validated by hiding 5% of known values and measuring the error (TABLE IV). MICE beat mean imputation for every column, by 57.5% for energy, 25.2% for valence and 3.9% for tempo; tempo is hard to predict from the other features. Fig. 2 shows that imputation did not distort the tempo distribution.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701"/>
        <w:gridCol w:w="1701"/>
        <w:gridCol w:w="1701"/>
        <w:gridCol w:w="1701"/>
        <w:gridCol w:w="1701"/>
      </w:tblGrid>
      <w:tr>
        <w:trPr>
          <w:tblHeader w:val="true"/>
          <w:cantSplit w:val="true"/>
        </w:trPr>
        <w:tc>
          <w:tcPr>
            <w:tcW w:type="dxa" w:w="1701"/>
          </w:tcPr>
          <w:p>
            <w:pPr>
              <w:keepNext/>
              <w:spacing w:line="240" w:lineRule="auto" w:after="0"/>
              <w:jc w:val="center"/>
            </w:pPr>
            <w:r/>
            <w:r>
              <w:rPr>
                <w:b/>
                <w:sz w:val="20"/>
              </w:rPr>
              <w:t>Column</w:t>
            </w:r>
          </w:p>
        </w:tc>
        <w:tc>
          <w:tcPr>
            <w:tcW w:type="dxa" w:w="1701"/>
          </w:tcPr>
          <w:p>
            <w:pPr>
              <w:keepNext/>
              <w:spacing w:line="240" w:lineRule="auto" w:after="0"/>
              <w:jc w:val="center"/>
            </w:pPr>
            <w:r/>
            <w:r>
              <w:rPr>
                <w:b/>
                <w:sz w:val="20"/>
              </w:rPr>
              <w:t>Masked values</w:t>
            </w:r>
          </w:p>
        </w:tc>
        <w:tc>
          <w:tcPr>
            <w:tcW w:type="dxa" w:w="1701"/>
          </w:tcPr>
          <w:p>
            <w:pPr>
              <w:keepNext/>
              <w:spacing w:line="240" w:lineRule="auto" w:after="0"/>
              <w:jc w:val="center"/>
            </w:pPr>
            <w:r/>
            <w:r>
              <w:rPr>
                <w:b/>
                <w:sz w:val="20"/>
              </w:rPr>
              <w:t>RMSE (MICE)</w:t>
            </w:r>
          </w:p>
        </w:tc>
        <w:tc>
          <w:tcPr>
            <w:tcW w:type="dxa" w:w="1701"/>
          </w:tcPr>
          <w:p>
            <w:pPr>
              <w:keepNext/>
              <w:spacing w:line="240" w:lineRule="auto" w:after="0"/>
              <w:jc w:val="center"/>
            </w:pPr>
            <w:r/>
            <w:r>
              <w:rPr>
                <w:b/>
                <w:sz w:val="20"/>
              </w:rPr>
              <w:t>RMSE (mean)</w:t>
            </w:r>
          </w:p>
        </w:tc>
        <w:tc>
          <w:tcPr>
            <w:tcW w:type="dxa" w:w="1701"/>
          </w:tcPr>
          <w:p>
            <w:pPr>
              <w:keepNext/>
              <w:spacing w:line="240" w:lineRule="auto" w:after="0"/>
              <w:jc w:val="center"/>
            </w:pPr>
            <w:r/>
            <w:r>
              <w:rPr>
                <w:b/>
                <w:sz w:val="20"/>
              </w:rPr>
              <w:t>Improvement</w:t>
            </w:r>
          </w:p>
        </w:tc>
      </w:tr>
      <w:tr>
        <w:trPr>
          <w:cantSplit w:val="true"/>
        </w:trPr>
        <w:tc>
          <w:tcPr>
            <w:tcW w:type="dxa" w:w="1701"/>
          </w:tcPr>
          <w:p>
            <w:pPr>
              <w:keepNext/>
              <w:spacing w:line="240" w:lineRule="auto" w:after="0"/>
              <w:jc w:val="center"/>
            </w:pPr>
            <w:r>
              <w:rPr>
                <w:b w:val="0"/>
                <w:i w:val="0"/>
                <w:sz w:val="20"/>
              </w:rPr>
              <w:t>tempo</w:t>
            </w:r>
          </w:p>
        </w:tc>
        <w:tc>
          <w:tcPr>
            <w:tcW w:type="dxa" w:w="1701"/>
          </w:tcPr>
          <w:p>
            <w:pPr>
              <w:keepNext/>
              <w:spacing w:line="240" w:lineRule="auto" w:after="0"/>
              <w:jc w:val="center"/>
            </w:pPr>
            <w:r>
              <w:rPr>
                <w:b w:val="0"/>
                <w:i w:val="0"/>
                <w:sz w:val="20"/>
              </w:rPr>
              <w:t>4,910</w:t>
            </w:r>
          </w:p>
        </w:tc>
        <w:tc>
          <w:tcPr>
            <w:tcW w:type="dxa" w:w="1701"/>
          </w:tcPr>
          <w:p>
            <w:pPr>
              <w:keepNext/>
              <w:spacing w:line="240" w:lineRule="auto" w:after="0"/>
              <w:jc w:val="center"/>
            </w:pPr>
            <w:r>
              <w:rPr>
                <w:b w:val="0"/>
                <w:i w:val="0"/>
                <w:sz w:val="20"/>
              </w:rPr>
              <w:t>29.1791</w:t>
            </w:r>
          </w:p>
        </w:tc>
        <w:tc>
          <w:tcPr>
            <w:tcW w:type="dxa" w:w="1701"/>
          </w:tcPr>
          <w:p>
            <w:pPr>
              <w:keepNext/>
              <w:spacing w:line="240" w:lineRule="auto" w:after="0"/>
              <w:jc w:val="center"/>
            </w:pPr>
            <w:r>
              <w:rPr>
                <w:b w:val="0"/>
                <w:i w:val="0"/>
                <w:sz w:val="20"/>
              </w:rPr>
              <w:t>30.3582</w:t>
            </w:r>
          </w:p>
        </w:tc>
        <w:tc>
          <w:tcPr>
            <w:tcW w:type="dxa" w:w="1701"/>
          </w:tcPr>
          <w:p>
            <w:pPr>
              <w:keepNext/>
              <w:spacing w:line="240" w:lineRule="auto" w:after="0"/>
              <w:jc w:val="center"/>
            </w:pPr>
            <w:r>
              <w:rPr>
                <w:b w:val="0"/>
                <w:i w:val="0"/>
                <w:sz w:val="20"/>
              </w:rPr>
              <w:t>3.9%</w:t>
            </w:r>
          </w:p>
        </w:tc>
      </w:tr>
      <w:tr>
        <w:trPr>
          <w:cantSplit w:val="true"/>
        </w:trPr>
        <w:tc>
          <w:tcPr>
            <w:tcW w:type="dxa" w:w="1701"/>
          </w:tcPr>
          <w:p>
            <w:pPr>
              <w:keepNext/>
              <w:spacing w:line="240" w:lineRule="auto" w:after="0"/>
              <w:jc w:val="center"/>
            </w:pPr>
            <w:r>
              <w:rPr>
                <w:b w:val="0"/>
                <w:i w:val="0"/>
                <w:sz w:val="20"/>
              </w:rPr>
              <w:t>valence</w:t>
            </w:r>
          </w:p>
        </w:tc>
        <w:tc>
          <w:tcPr>
            <w:tcW w:type="dxa" w:w="1701"/>
          </w:tcPr>
          <w:p>
            <w:pPr>
              <w:keepNext/>
              <w:spacing w:line="240" w:lineRule="auto" w:after="0"/>
              <w:jc w:val="center"/>
            </w:pPr>
            <w:r>
              <w:rPr>
                <w:b w:val="0"/>
                <w:i w:val="0"/>
                <w:sz w:val="20"/>
              </w:rPr>
              <w:t>4,920</w:t>
            </w:r>
          </w:p>
        </w:tc>
        <w:tc>
          <w:tcPr>
            <w:tcW w:type="dxa" w:w="1701"/>
          </w:tcPr>
          <w:p>
            <w:pPr>
              <w:keepNext/>
              <w:spacing w:line="240" w:lineRule="auto" w:after="0"/>
              <w:jc w:val="center"/>
            </w:pPr>
            <w:r>
              <w:rPr>
                <w:b w:val="0"/>
                <w:i w:val="0"/>
                <w:sz w:val="20"/>
              </w:rPr>
              <w:t>0.2015</w:t>
            </w:r>
          </w:p>
        </w:tc>
        <w:tc>
          <w:tcPr>
            <w:tcW w:type="dxa" w:w="1701"/>
          </w:tcPr>
          <w:p>
            <w:pPr>
              <w:keepNext/>
              <w:spacing w:line="240" w:lineRule="auto" w:after="0"/>
              <w:jc w:val="center"/>
            </w:pPr>
            <w:r>
              <w:rPr>
                <w:b w:val="0"/>
                <w:i w:val="0"/>
                <w:sz w:val="20"/>
              </w:rPr>
              <w:t>0.2695</w:t>
            </w:r>
          </w:p>
        </w:tc>
        <w:tc>
          <w:tcPr>
            <w:tcW w:type="dxa" w:w="1701"/>
          </w:tcPr>
          <w:p>
            <w:pPr>
              <w:keepNext/>
              <w:spacing w:line="240" w:lineRule="auto" w:after="0"/>
              <w:jc w:val="center"/>
            </w:pPr>
            <w:r>
              <w:rPr>
                <w:b w:val="0"/>
                <w:i w:val="0"/>
                <w:sz w:val="20"/>
              </w:rPr>
              <w:t>25.2%</w:t>
            </w:r>
          </w:p>
        </w:tc>
      </w:tr>
      <w:tr>
        <w:trPr>
          <w:cantSplit w:val="true"/>
        </w:trPr>
        <w:tc>
          <w:tcPr>
            <w:tcW w:type="dxa" w:w="1701"/>
          </w:tcPr>
          <w:p>
            <w:pPr>
              <w:keepNext/>
              <w:spacing w:line="240" w:lineRule="auto" w:after="0"/>
              <w:jc w:val="center"/>
            </w:pPr>
            <w:r>
              <w:rPr>
                <w:b w:val="0"/>
                <w:i w:val="0"/>
                <w:sz w:val="20"/>
              </w:rPr>
              <w:t>energy</w:t>
            </w:r>
          </w:p>
        </w:tc>
        <w:tc>
          <w:tcPr>
            <w:tcW w:type="dxa" w:w="1701"/>
          </w:tcPr>
          <w:p>
            <w:pPr>
              <w:keepNext/>
              <w:spacing w:line="240" w:lineRule="auto" w:after="0"/>
              <w:jc w:val="center"/>
            </w:pPr>
            <w:r>
              <w:rPr>
                <w:b w:val="0"/>
                <w:i w:val="0"/>
                <w:sz w:val="20"/>
              </w:rPr>
              <w:t>5,030</w:t>
            </w:r>
          </w:p>
        </w:tc>
        <w:tc>
          <w:tcPr>
            <w:tcW w:type="dxa" w:w="1701"/>
          </w:tcPr>
          <w:p>
            <w:pPr>
              <w:keepNext/>
              <w:spacing w:line="240" w:lineRule="auto" w:after="0"/>
              <w:jc w:val="center"/>
            </w:pPr>
            <w:r>
              <w:rPr>
                <w:b w:val="0"/>
                <w:i w:val="0"/>
                <w:sz w:val="20"/>
              </w:rPr>
              <w:t>0.1244</w:t>
            </w:r>
          </w:p>
        </w:tc>
        <w:tc>
          <w:tcPr>
            <w:tcW w:type="dxa" w:w="1701"/>
          </w:tcPr>
          <w:p>
            <w:pPr>
              <w:keepNext/>
              <w:spacing w:line="240" w:lineRule="auto" w:after="0"/>
              <w:jc w:val="center"/>
            </w:pPr>
            <w:r>
              <w:rPr>
                <w:b w:val="0"/>
                <w:i w:val="0"/>
                <w:sz w:val="20"/>
              </w:rPr>
              <w:t>0.2931</w:t>
            </w:r>
          </w:p>
        </w:tc>
        <w:tc>
          <w:tcPr>
            <w:tcW w:type="dxa" w:w="1701"/>
          </w:tcPr>
          <w:p>
            <w:pPr>
              <w:keepNext/>
              <w:spacing w:line="240" w:lineRule="auto" w:after="0"/>
              <w:jc w:val="center"/>
            </w:pPr>
            <w:r>
              <w:rPr>
                <w:b w:val="0"/>
                <w:i w:val="0"/>
                <w:sz w:val="20"/>
              </w:rPr>
              <w:t>57.5%</w:t>
            </w:r>
          </w:p>
        </w:tc>
      </w:tr>
    </w:tbl>
    <w:p>
      <w:pPr>
        <w:spacing w:before="80" w:line="240" w:lineRule="auto"/>
        <w:jc w:val="center"/>
      </w:pPr>
      <w:r>
        <w:rPr>
          <w:sz w:val="20"/>
        </w:rPr>
        <w:t>TABLE IV: MICE validation on artificially masked values</w:t>
      </w:r>
    </w:p>
    <w:p>
      <w:pPr>
        <w:keepNext/>
        <w:spacing w:after="40" w:line="240" w:lineRule="auto"/>
        <w:jc w:val="center"/>
      </w:pPr>
      <w:r>
        <w:drawing>
          <wp:inline xmlns:a="http://schemas.openxmlformats.org/drawingml/2006/main" xmlns:pic="http://schemas.openxmlformats.org/drawingml/2006/picture">
            <wp:extent cx="5669280" cy="1954577"/>
            <wp:docPr id="2" name="Picture 2"/>
            <wp:cNvGraphicFramePr>
              <a:graphicFrameLocks noChangeAspect="1"/>
            </wp:cNvGraphicFramePr>
            <a:graphic>
              <a:graphicData uri="http://schemas.openxmlformats.org/drawingml/2006/picture">
                <pic:pic>
                  <pic:nvPicPr>
                    <pic:cNvPr id="0" name="fig_02_01_mice_tempo_before_after.png"/>
                    <pic:cNvPicPr/>
                  </pic:nvPicPr>
                  <pic:blipFill>
                    <a:blip r:embed="rId36"/>
                    <a:stretch>
                      <a:fillRect/>
                    </a:stretch>
                  </pic:blipFill>
                  <pic:spPr>
                    <a:xfrm>
                      <a:off x="0" y="0"/>
                      <a:ext cx="5669280" cy="1954577"/>
                    </a:xfrm>
                    <a:prstGeom prst="rect"/>
                  </pic:spPr>
                </pic:pic>
              </a:graphicData>
            </a:graphic>
          </wp:inline>
        </w:drawing>
      </w:r>
    </w:p>
    <w:p>
      <w:pPr>
        <w:spacing w:line="240" w:lineRule="auto"/>
        <w:jc w:val="center"/>
      </w:pPr>
      <w:r>
        <w:rPr>
          <w:sz w:val="20"/>
        </w:rPr>
        <w:t>Fig. 2. Tempo distribution before and after MICE imputation</w:t>
      </w:r>
    </w:p>
    <w:p>
      <w:pPr>
        <w:pStyle w:val="Heading3"/>
        <w:jc w:val="left"/>
      </w:pPr>
      <w:r>
        <w:t>4.1.5 Re-releases and Joining the Genre Labels</w:t>
      </w:r>
    </w:p>
    <w:p>
      <w:pPr>
        <w:jc w:val="both"/>
      </w:pPr>
      <w:r>
        <w:rPr>
          <w:b w:val="0"/>
          <w:i w:val="0"/>
        </w:rPr>
        <w:t>The same song often appears on an original album, a deluxe edition and a compilation. The earliest release of each normalised title and main artist was marked as canonical (1,113,568 rows); the other 90,457 re-issues are kept but excluded from time trends so that re-releases do not count twice.</w:t>
      </w:r>
    </w:p>
    <w:p>
      <w:pPr>
        <w:jc w:val="both"/>
      </w:pPr>
      <w:r>
        <w:rPr>
          <w:b w:val="0"/>
          <w:i w:val="0"/>
        </w:rPr>
        <w:t>The genre table was first de-duplicated to 89,740 unique tracks (one track can carry several genre tags). It was then joined to the main table by Spotify track ID (4,729 matches) and, for the rest, by normalised title and main artist (4,915 more). The overall match rate is only 10.7%: the two datasets were collected at different times from different seed playlists. For this reason genre analyses use the genre table directly, and only 9,644 genre-labelled tracks also have a release year.</w:t>
      </w:r>
    </w:p>
    <w:p>
      <w:pPr>
        <w:pStyle w:val="Heading3"/>
        <w:jc w:val="left"/>
      </w:pPr>
      <w:r>
        <w:t>4.1.6 Transformations and Scaling</w:t>
      </w:r>
    </w:p>
    <w:p>
      <w:pPr>
        <w:jc w:val="both"/>
      </w:pPr>
      <w:r>
        <w:rPr>
          <w:b w:val="0"/>
          <w:i w:val="0"/>
        </w:rPr>
        <w:t>Min-Max scaling (0-1) and standard (z-score) scaling were applied to the ten acoustic metrics and saved as separate tables, because distance-based methods (PCA, KMeans, nearest-neighbour search) need comparable units. Skewed fields were transformed and their skewness G1 recorded before and after (TABLE V). Duration fell from G1 = 8.04 to 0.23 after log1p (Fig. 3). The genre table’s popularity score is a bounded 0-100 index with many zeros, not a count, and log1p made it more skewed (G1 0.07 to -1.65), so popularity is analysed untransformed. No stream counts exist in any of the datasets.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381"/>
        <w:gridCol w:w="3118"/>
        <w:gridCol w:w="1701"/>
        <w:gridCol w:w="1701"/>
      </w:tblGrid>
      <w:tr>
        <w:trPr>
          <w:tblHeader w:val="true"/>
          <w:cantSplit w:val="true"/>
        </w:trPr>
        <w:tc>
          <w:tcPr>
            <w:tcW w:type="dxa" w:w="2381"/>
          </w:tcPr>
          <w:p>
            <w:pPr>
              <w:keepNext/>
              <w:spacing w:line="240" w:lineRule="auto" w:after="0"/>
              <w:jc w:val="center"/>
            </w:pPr>
            <w:r/>
            <w:r>
              <w:rPr>
                <w:b/>
                <w:sz w:val="20"/>
              </w:rPr>
              <w:t>Feature</w:t>
            </w:r>
          </w:p>
        </w:tc>
        <w:tc>
          <w:tcPr>
            <w:tcW w:type="dxa" w:w="3118"/>
          </w:tcPr>
          <w:p>
            <w:pPr>
              <w:keepNext/>
              <w:spacing w:line="240" w:lineRule="auto" w:after="0"/>
              <w:jc w:val="center"/>
            </w:pPr>
            <w:r/>
            <w:r>
              <w:rPr>
                <w:b/>
                <w:sz w:val="20"/>
              </w:rPr>
              <w:t>Transform</w:t>
            </w:r>
          </w:p>
        </w:tc>
        <w:tc>
          <w:tcPr>
            <w:tcW w:type="dxa" w:w="1701"/>
          </w:tcPr>
          <w:p>
            <w:pPr>
              <w:keepNext/>
              <w:spacing w:line="240" w:lineRule="auto" w:after="0"/>
              <w:jc w:val="center"/>
            </w:pPr>
            <w:r/>
            <w:r>
              <w:rPr>
                <w:b/>
                <w:sz w:val="20"/>
              </w:rPr>
              <w:t>G1 before</w:t>
            </w:r>
          </w:p>
        </w:tc>
        <w:tc>
          <w:tcPr>
            <w:tcW w:type="dxa" w:w="1701"/>
          </w:tcPr>
          <w:p>
            <w:pPr>
              <w:keepNext/>
              <w:spacing w:line="240" w:lineRule="auto" w:after="0"/>
              <w:jc w:val="center"/>
            </w:pPr>
            <w:r/>
            <w:r>
              <w:rPr>
                <w:b/>
                <w:sz w:val="20"/>
              </w:rPr>
              <w:t>G1 after</w:t>
            </w:r>
          </w:p>
        </w:tc>
      </w:tr>
      <w:tr>
        <w:trPr>
          <w:cantSplit w:val="true"/>
        </w:trPr>
        <w:tc>
          <w:tcPr>
            <w:tcW w:type="dxa" w:w="2381"/>
          </w:tcPr>
          <w:p>
            <w:pPr>
              <w:keepNext/>
              <w:spacing w:line="240" w:lineRule="auto" w:after="0"/>
              <w:jc w:val="center"/>
            </w:pPr>
            <w:r>
              <w:rPr>
                <w:b w:val="0"/>
                <w:i w:val="0"/>
                <w:sz w:val="20"/>
              </w:rPr>
              <w:t>duration_min</w:t>
            </w:r>
          </w:p>
        </w:tc>
        <w:tc>
          <w:tcPr>
            <w:tcW w:type="dxa" w:w="3118"/>
          </w:tcPr>
          <w:p>
            <w:pPr>
              <w:keepNext/>
              <w:spacing w:line="240" w:lineRule="auto" w:after="0"/>
              <w:jc w:val="center"/>
            </w:pPr>
            <w:r>
              <w:rPr>
                <w:b w:val="0"/>
                <w:i w:val="0"/>
                <w:sz w:val="20"/>
              </w:rPr>
              <w:t>log1p</w:t>
            </w:r>
          </w:p>
        </w:tc>
        <w:tc>
          <w:tcPr>
            <w:tcW w:type="dxa" w:w="1701"/>
          </w:tcPr>
          <w:p>
            <w:pPr>
              <w:keepNext/>
              <w:spacing w:line="240" w:lineRule="auto" w:after="0"/>
              <w:jc w:val="center"/>
            </w:pPr>
            <w:r>
              <w:rPr>
                <w:b w:val="0"/>
                <w:i w:val="0"/>
                <w:sz w:val="20"/>
              </w:rPr>
              <w:t>8.042</w:t>
            </w:r>
          </w:p>
        </w:tc>
        <w:tc>
          <w:tcPr>
            <w:tcW w:type="dxa" w:w="1701"/>
          </w:tcPr>
          <w:p>
            <w:pPr>
              <w:keepNext/>
              <w:spacing w:line="240" w:lineRule="auto" w:after="0"/>
              <w:jc w:val="center"/>
            </w:pPr>
            <w:r>
              <w:rPr>
                <w:b w:val="0"/>
                <w:i w:val="0"/>
                <w:sz w:val="20"/>
              </w:rPr>
              <w:t>0.235</w:t>
            </w:r>
          </w:p>
        </w:tc>
      </w:tr>
      <w:tr>
        <w:trPr>
          <w:cantSplit w:val="true"/>
        </w:trPr>
        <w:tc>
          <w:tcPr>
            <w:tcW w:type="dxa" w:w="2381"/>
          </w:tcPr>
          <w:p>
            <w:pPr>
              <w:keepNext/>
              <w:spacing w:line="240" w:lineRule="auto" w:after="0"/>
              <w:jc w:val="center"/>
            </w:pPr>
            <w:r>
              <w:rPr>
                <w:b w:val="0"/>
                <w:i w:val="0"/>
                <w:sz w:val="20"/>
              </w:rPr>
              <w:t>speechiness</w:t>
            </w:r>
          </w:p>
        </w:tc>
        <w:tc>
          <w:tcPr>
            <w:tcW w:type="dxa" w:w="3118"/>
          </w:tcPr>
          <w:p>
            <w:pPr>
              <w:keepNext/>
              <w:spacing w:line="240" w:lineRule="auto" w:after="0"/>
              <w:jc w:val="left"/>
            </w:pPr>
            <w:r>
              <w:rPr>
                <w:b w:val="0"/>
                <w:i w:val="0"/>
                <w:sz w:val="20"/>
              </w:rPr>
              <w:t>Yeo-Johnson (lambda=-16.75)</w:t>
            </w:r>
          </w:p>
        </w:tc>
        <w:tc>
          <w:tcPr>
            <w:tcW w:type="dxa" w:w="1701"/>
          </w:tcPr>
          <w:p>
            <w:pPr>
              <w:keepNext/>
              <w:spacing w:line="240" w:lineRule="auto" w:after="0"/>
              <w:jc w:val="center"/>
            </w:pPr>
            <w:r>
              <w:rPr>
                <w:b w:val="0"/>
                <w:i w:val="0"/>
                <w:sz w:val="20"/>
              </w:rPr>
              <w:t>4.243</w:t>
            </w:r>
          </w:p>
        </w:tc>
        <w:tc>
          <w:tcPr>
            <w:tcW w:type="dxa" w:w="1701"/>
          </w:tcPr>
          <w:p>
            <w:pPr>
              <w:keepNext/>
              <w:spacing w:line="240" w:lineRule="auto" w:after="0"/>
              <w:jc w:val="center"/>
            </w:pPr>
            <w:r>
              <w:rPr>
                <w:b w:val="0"/>
                <w:i w:val="0"/>
                <w:sz w:val="20"/>
              </w:rPr>
              <w:t>0.849</w:t>
            </w:r>
          </w:p>
        </w:tc>
      </w:tr>
      <w:tr>
        <w:trPr>
          <w:cantSplit w:val="true"/>
        </w:trPr>
        <w:tc>
          <w:tcPr>
            <w:tcW w:type="dxa" w:w="2381"/>
          </w:tcPr>
          <w:p>
            <w:pPr>
              <w:keepNext/>
              <w:spacing w:line="240" w:lineRule="auto" w:after="0"/>
              <w:jc w:val="left"/>
            </w:pPr>
            <w:r>
              <w:rPr>
                <w:b w:val="0"/>
                <w:i w:val="0"/>
                <w:sz w:val="20"/>
              </w:rPr>
              <w:t>instrumentalness</w:t>
            </w:r>
          </w:p>
        </w:tc>
        <w:tc>
          <w:tcPr>
            <w:tcW w:type="dxa" w:w="3118"/>
          </w:tcPr>
          <w:p>
            <w:pPr>
              <w:keepNext/>
              <w:spacing w:line="240" w:lineRule="auto" w:after="0"/>
              <w:jc w:val="left"/>
            </w:pPr>
            <w:r>
              <w:rPr>
                <w:b w:val="0"/>
                <w:i w:val="0"/>
                <w:sz w:val="20"/>
              </w:rPr>
              <w:t>Yeo-Johnson (lambda=-3.09)</w:t>
            </w:r>
          </w:p>
        </w:tc>
        <w:tc>
          <w:tcPr>
            <w:tcW w:type="dxa" w:w="1701"/>
          </w:tcPr>
          <w:p>
            <w:pPr>
              <w:keepNext/>
              <w:spacing w:line="240" w:lineRule="auto" w:after="0"/>
              <w:jc w:val="center"/>
            </w:pPr>
            <w:r>
              <w:rPr>
                <w:b w:val="0"/>
                <w:i w:val="0"/>
                <w:sz w:val="20"/>
              </w:rPr>
              <w:t>0.797</w:t>
            </w:r>
          </w:p>
        </w:tc>
        <w:tc>
          <w:tcPr>
            <w:tcW w:type="dxa" w:w="1701"/>
          </w:tcPr>
          <w:p>
            <w:pPr>
              <w:keepNext/>
              <w:spacing w:line="240" w:lineRule="auto" w:after="0"/>
              <w:jc w:val="center"/>
            </w:pPr>
            <w:r>
              <w:rPr>
                <w:b w:val="0"/>
                <w:i w:val="0"/>
                <w:sz w:val="20"/>
              </w:rPr>
              <w:t>0.542</w:t>
            </w:r>
          </w:p>
        </w:tc>
      </w:tr>
      <w:tr>
        <w:trPr>
          <w:cantSplit w:val="true"/>
        </w:trPr>
        <w:tc>
          <w:tcPr>
            <w:tcW w:type="dxa" w:w="2381"/>
          </w:tcPr>
          <w:p>
            <w:pPr>
              <w:keepNext/>
              <w:spacing w:line="240" w:lineRule="auto" w:after="0"/>
              <w:jc w:val="center"/>
            </w:pPr>
            <w:r>
              <w:rPr>
                <w:b w:val="0"/>
                <w:i w:val="0"/>
                <w:sz w:val="20"/>
              </w:rPr>
              <w:t>liveness</w:t>
            </w:r>
          </w:p>
        </w:tc>
        <w:tc>
          <w:tcPr>
            <w:tcW w:type="dxa" w:w="3118"/>
          </w:tcPr>
          <w:p>
            <w:pPr>
              <w:keepNext/>
              <w:spacing w:line="240" w:lineRule="auto" w:after="0"/>
              <w:jc w:val="left"/>
            </w:pPr>
            <w:r>
              <w:rPr>
                <w:b w:val="0"/>
                <w:i w:val="0"/>
                <w:sz w:val="20"/>
              </w:rPr>
              <w:t>Yeo-Johnson (lambda=-6.64)</w:t>
            </w:r>
          </w:p>
        </w:tc>
        <w:tc>
          <w:tcPr>
            <w:tcW w:type="dxa" w:w="1701"/>
          </w:tcPr>
          <w:p>
            <w:pPr>
              <w:keepNext/>
              <w:spacing w:line="240" w:lineRule="auto" w:after="0"/>
              <w:jc w:val="center"/>
            </w:pPr>
            <w:r>
              <w:rPr>
                <w:b w:val="0"/>
                <w:i w:val="0"/>
                <w:sz w:val="20"/>
              </w:rPr>
              <w:t>2.267</w:t>
            </w:r>
          </w:p>
        </w:tc>
        <w:tc>
          <w:tcPr>
            <w:tcW w:type="dxa" w:w="1701"/>
          </w:tcPr>
          <w:p>
            <w:pPr>
              <w:keepNext/>
              <w:spacing w:line="240" w:lineRule="auto" w:after="0"/>
              <w:jc w:val="center"/>
            </w:pPr>
            <w:r>
              <w:rPr>
                <w:b w:val="0"/>
                <w:i w:val="0"/>
                <w:sz w:val="20"/>
              </w:rPr>
              <w:t>0.400</w:t>
            </w:r>
          </w:p>
        </w:tc>
      </w:tr>
      <w:tr>
        <w:trPr>
          <w:cantSplit w:val="true"/>
        </w:trPr>
        <w:tc>
          <w:tcPr>
            <w:tcW w:type="dxa" w:w="2381"/>
          </w:tcPr>
          <w:p>
            <w:pPr>
              <w:keepNext/>
              <w:spacing w:line="240" w:lineRule="auto" w:after="0"/>
              <w:jc w:val="center"/>
            </w:pPr>
            <w:r>
              <w:rPr>
                <w:b w:val="0"/>
                <w:i w:val="0"/>
                <w:sz w:val="20"/>
              </w:rPr>
              <w:t>acousticness</w:t>
            </w:r>
          </w:p>
        </w:tc>
        <w:tc>
          <w:tcPr>
            <w:tcW w:type="dxa" w:w="3118"/>
          </w:tcPr>
          <w:p>
            <w:pPr>
              <w:keepNext/>
              <w:spacing w:line="240" w:lineRule="auto" w:after="0"/>
              <w:jc w:val="left"/>
            </w:pPr>
            <w:r>
              <w:rPr>
                <w:b w:val="0"/>
                <w:i w:val="0"/>
                <w:sz w:val="20"/>
              </w:rPr>
              <w:t>Yeo-Johnson (lambda=-0.09)</w:t>
            </w:r>
          </w:p>
        </w:tc>
        <w:tc>
          <w:tcPr>
            <w:tcW w:type="dxa" w:w="1701"/>
          </w:tcPr>
          <w:p>
            <w:pPr>
              <w:keepNext/>
              <w:spacing w:line="240" w:lineRule="auto" w:after="0"/>
              <w:jc w:val="center"/>
            </w:pPr>
            <w:r>
              <w:rPr>
                <w:b w:val="0"/>
                <w:i w:val="0"/>
                <w:sz w:val="20"/>
              </w:rPr>
              <w:t>0.163</w:t>
            </w:r>
          </w:p>
        </w:tc>
        <w:tc>
          <w:tcPr>
            <w:tcW w:type="dxa" w:w="1701"/>
          </w:tcPr>
          <w:p>
            <w:pPr>
              <w:keepNext/>
              <w:spacing w:line="240" w:lineRule="auto" w:after="0"/>
              <w:jc w:val="center"/>
            </w:pPr>
            <w:r>
              <w:rPr>
                <w:b w:val="0"/>
                <w:i w:val="0"/>
                <w:sz w:val="20"/>
              </w:rPr>
              <w:t>0.016</w:t>
            </w:r>
          </w:p>
        </w:tc>
      </w:tr>
      <w:tr>
        <w:trPr>
          <w:cantSplit w:val="true"/>
        </w:trPr>
        <w:tc>
          <w:tcPr>
            <w:tcW w:type="dxa" w:w="2381"/>
          </w:tcPr>
          <w:p>
            <w:pPr>
              <w:keepNext/>
              <w:spacing w:line="240" w:lineRule="auto" w:after="0"/>
              <w:jc w:val="left"/>
            </w:pPr>
            <w:r>
              <w:rPr>
                <w:b w:val="0"/>
                <w:i w:val="0"/>
                <w:sz w:val="20"/>
              </w:rPr>
              <w:t>popularity (genre table)</w:t>
            </w:r>
          </w:p>
        </w:tc>
        <w:tc>
          <w:tcPr>
            <w:tcW w:type="dxa" w:w="3118"/>
          </w:tcPr>
          <w:p>
            <w:pPr>
              <w:keepNext/>
              <w:spacing w:line="240" w:lineRule="auto" w:after="0"/>
              <w:jc w:val="center"/>
            </w:pPr>
            <w:r>
              <w:rPr>
                <w:b w:val="0"/>
                <w:i w:val="0"/>
                <w:sz w:val="20"/>
              </w:rPr>
              <w:t>log1p</w:t>
            </w:r>
          </w:p>
        </w:tc>
        <w:tc>
          <w:tcPr>
            <w:tcW w:type="dxa" w:w="1701"/>
          </w:tcPr>
          <w:p>
            <w:pPr>
              <w:keepNext/>
              <w:spacing w:line="240" w:lineRule="auto" w:after="0"/>
              <w:jc w:val="center"/>
            </w:pPr>
            <w:r>
              <w:rPr>
                <w:b w:val="0"/>
                <w:i w:val="0"/>
                <w:sz w:val="20"/>
              </w:rPr>
              <w:t>0.071</w:t>
            </w:r>
          </w:p>
        </w:tc>
        <w:tc>
          <w:tcPr>
            <w:tcW w:type="dxa" w:w="1701"/>
          </w:tcPr>
          <w:p>
            <w:pPr>
              <w:keepNext/>
              <w:spacing w:line="240" w:lineRule="auto" w:after="0"/>
              <w:jc w:val="center"/>
            </w:pPr>
            <w:r>
              <w:rPr>
                <w:b w:val="0"/>
                <w:i w:val="0"/>
                <w:sz w:val="20"/>
              </w:rPr>
              <w:t>-1.655</w:t>
            </w:r>
          </w:p>
        </w:tc>
      </w:tr>
    </w:tbl>
    <w:p>
      <w:pPr>
        <w:spacing w:before="80" w:line="240" w:lineRule="auto"/>
        <w:jc w:val="center"/>
      </w:pPr>
      <w:r>
        <w:rPr>
          <w:sz w:val="20"/>
        </w:rPr>
        <w:t>TABLE V: Skewness before and after transformation</w:t>
      </w:r>
    </w:p>
    <w:p>
      <w:pPr>
        <w:keepNext/>
        <w:spacing w:after="40" w:line="240" w:lineRule="auto"/>
        <w:jc w:val="center"/>
      </w:pPr>
      <w:r>
        <w:drawing>
          <wp:inline xmlns:a="http://schemas.openxmlformats.org/drawingml/2006/main" xmlns:pic="http://schemas.openxmlformats.org/drawingml/2006/picture">
            <wp:extent cx="5669280" cy="2086815"/>
            <wp:docPr id="3" name="Picture 3"/>
            <wp:cNvGraphicFramePr>
              <a:graphicFrameLocks noChangeAspect="1"/>
            </wp:cNvGraphicFramePr>
            <a:graphic>
              <a:graphicData uri="http://schemas.openxmlformats.org/drawingml/2006/picture">
                <pic:pic>
                  <pic:nvPicPr>
                    <pic:cNvPr id="0" name="fig_02_02_duration_log_transform.png"/>
                    <pic:cNvPicPr/>
                  </pic:nvPicPr>
                  <pic:blipFill>
                    <a:blip r:embed="rId37"/>
                    <a:stretch>
                      <a:fillRect/>
                    </a:stretch>
                  </pic:blipFill>
                  <pic:spPr>
                    <a:xfrm>
                      <a:off x="0" y="0"/>
                      <a:ext cx="5669280" cy="2086815"/>
                    </a:xfrm>
                    <a:prstGeom prst="rect"/>
                  </pic:spPr>
                </pic:pic>
              </a:graphicData>
            </a:graphic>
          </wp:inline>
        </w:drawing>
      </w:r>
    </w:p>
    <w:p>
      <w:pPr>
        <w:spacing w:line="240" w:lineRule="auto"/>
        <w:jc w:val="center"/>
      </w:pPr>
      <w:r>
        <w:rPr>
          <w:sz w:val="20"/>
        </w:rPr>
        <w:t>Fig. 3. Duration before and after the log1p transform</w:t>
      </w:r>
    </w:p>
    <w:p>
      <w:pPr>
        <w:pStyle w:val="Heading3"/>
        <w:jc w:val="left"/>
      </w:pPr>
      <w:r>
        <w:t>4.1.7 Outlier Detection</w:t>
      </w:r>
    </w:p>
    <w:p>
      <w:pPr>
        <w:jc w:val="both"/>
      </w:pPr>
      <w:r>
        <w:rPr>
          <w:b w:val="0"/>
          <w:i w:val="0"/>
        </w:rPr>
        <w:t>Outliers were detected in two complementary ways and flagged, never deleted, so the website can include or exclude them. Tukey fences (Q1 - 1.5 IQR, Q3 + 1.5 IQR) were applied per feature (TABLE VI), and an Isolation Forest [35] with 200 trees and 2% contamination was fitted on the standardised features, flagging 24,547 tracks (2.0%). The flagged tracks are mainly spoken word: their mean speechiness is 0.48 against 0.08 for the rest (Fig. 4).</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041"/>
        <w:gridCol w:w="1701"/>
        <w:gridCol w:w="1701"/>
        <w:gridCol w:w="1701"/>
        <w:gridCol w:w="1417"/>
      </w:tblGrid>
      <w:tr>
        <w:trPr>
          <w:tblHeader w:val="true"/>
          <w:cantSplit w:val="true"/>
        </w:trPr>
        <w:tc>
          <w:tcPr>
            <w:tcW w:type="dxa" w:w="2041"/>
          </w:tcPr>
          <w:p>
            <w:pPr>
              <w:keepNext/>
              <w:spacing w:line="240" w:lineRule="auto" w:after="0"/>
              <w:jc w:val="center"/>
            </w:pPr>
            <w:r/>
            <w:r>
              <w:rPr>
                <w:b/>
                <w:sz w:val="20"/>
              </w:rPr>
              <w:t>Feature</w:t>
            </w:r>
          </w:p>
        </w:tc>
        <w:tc>
          <w:tcPr>
            <w:tcW w:type="dxa" w:w="1701"/>
          </w:tcPr>
          <w:p>
            <w:pPr>
              <w:keepNext/>
              <w:spacing w:line="240" w:lineRule="auto" w:after="0"/>
              <w:jc w:val="center"/>
            </w:pPr>
            <w:r/>
            <w:r>
              <w:rPr>
                <w:b/>
                <w:sz w:val="20"/>
              </w:rPr>
              <w:t>Lower fence</w:t>
            </w:r>
          </w:p>
        </w:tc>
        <w:tc>
          <w:tcPr>
            <w:tcW w:type="dxa" w:w="1701"/>
          </w:tcPr>
          <w:p>
            <w:pPr>
              <w:keepNext/>
              <w:spacing w:line="240" w:lineRule="auto" w:after="0"/>
              <w:jc w:val="center"/>
            </w:pPr>
            <w:r/>
            <w:r>
              <w:rPr>
                <w:b/>
                <w:sz w:val="20"/>
              </w:rPr>
              <w:t>Upper fence</w:t>
            </w:r>
          </w:p>
        </w:tc>
        <w:tc>
          <w:tcPr>
            <w:tcW w:type="dxa" w:w="1701"/>
          </w:tcPr>
          <w:p>
            <w:pPr>
              <w:keepNext/>
              <w:spacing w:line="240" w:lineRule="auto" w:after="0"/>
              <w:jc w:val="center"/>
            </w:pPr>
            <w:r/>
            <w:r>
              <w:rPr>
                <w:b/>
                <w:sz w:val="20"/>
              </w:rPr>
              <w:t>Outliers</w:t>
            </w:r>
          </w:p>
        </w:tc>
        <w:tc>
          <w:tcPr>
            <w:tcW w:type="dxa" w:w="1417"/>
          </w:tcPr>
          <w:p>
            <w:pPr>
              <w:keepNext/>
              <w:spacing w:line="240" w:lineRule="auto" w:after="0"/>
              <w:jc w:val="center"/>
            </w:pPr>
            <w:r/>
            <w:r>
              <w:rPr>
                <w:b/>
                <w:sz w:val="20"/>
              </w:rPr>
              <w:t>Share</w:t>
            </w:r>
          </w:p>
        </w:tc>
      </w:tr>
      <w:tr>
        <w:trPr>
          <w:cantSplit w:val="true"/>
        </w:trPr>
        <w:tc>
          <w:tcPr>
            <w:tcW w:type="dxa" w:w="2041"/>
          </w:tcPr>
          <w:p>
            <w:pPr>
              <w:keepNext/>
              <w:spacing w:line="240" w:lineRule="auto" w:after="0"/>
              <w:jc w:val="center"/>
            </w:pPr>
            <w:r>
              <w:rPr>
                <w:b w:val="0"/>
                <w:i w:val="0"/>
                <w:sz w:val="20"/>
              </w:rPr>
              <w:t>danceability</w:t>
            </w:r>
          </w:p>
        </w:tc>
        <w:tc>
          <w:tcPr>
            <w:tcW w:type="dxa" w:w="1701"/>
          </w:tcPr>
          <w:p>
            <w:pPr>
              <w:keepNext/>
              <w:spacing w:line="240" w:lineRule="auto" w:after="0"/>
              <w:jc w:val="center"/>
            </w:pPr>
            <w:r>
              <w:rPr>
                <w:b w:val="0"/>
                <w:i w:val="0"/>
                <w:sz w:val="20"/>
              </w:rPr>
              <w:t>-0.060</w:t>
            </w:r>
          </w:p>
        </w:tc>
        <w:tc>
          <w:tcPr>
            <w:tcW w:type="dxa" w:w="1701"/>
          </w:tcPr>
          <w:p>
            <w:pPr>
              <w:keepNext/>
              <w:spacing w:line="240" w:lineRule="auto" w:after="0"/>
              <w:jc w:val="center"/>
            </w:pPr>
            <w:r>
              <w:rPr>
                <w:b w:val="0"/>
                <w:i w:val="0"/>
                <w:sz w:val="20"/>
              </w:rPr>
              <w:t>1.048</w:t>
            </w:r>
          </w:p>
        </w:tc>
        <w:tc>
          <w:tcPr>
            <w:tcW w:type="dxa" w:w="1701"/>
          </w:tcPr>
          <w:p>
            <w:pPr>
              <w:keepNext/>
              <w:spacing w:line="240" w:lineRule="auto" w:after="0"/>
              <w:jc w:val="center"/>
            </w:pPr>
            <w:r>
              <w:rPr>
                <w:b w:val="0"/>
                <w:i w:val="0"/>
                <w:sz w:val="20"/>
              </w:rPr>
              <w:t>0</w:t>
            </w:r>
          </w:p>
        </w:tc>
        <w:tc>
          <w:tcPr>
            <w:tcW w:type="dxa" w:w="1417"/>
          </w:tcPr>
          <w:p>
            <w:pPr>
              <w:keepNext/>
              <w:spacing w:line="240" w:lineRule="auto" w:after="0"/>
              <w:jc w:val="center"/>
            </w:pPr>
            <w:r>
              <w:rPr>
                <w:b w:val="0"/>
                <w:i w:val="0"/>
                <w:sz w:val="20"/>
              </w:rPr>
              <w:t>0.00%</w:t>
            </w:r>
          </w:p>
        </w:tc>
      </w:tr>
      <w:tr>
        <w:trPr>
          <w:cantSplit w:val="true"/>
        </w:trPr>
        <w:tc>
          <w:tcPr>
            <w:tcW w:type="dxa" w:w="2041"/>
          </w:tcPr>
          <w:p>
            <w:pPr>
              <w:keepNext/>
              <w:spacing w:line="240" w:lineRule="auto" w:after="0"/>
              <w:jc w:val="center"/>
            </w:pPr>
            <w:r>
              <w:rPr>
                <w:b w:val="0"/>
                <w:i w:val="0"/>
                <w:sz w:val="20"/>
              </w:rPr>
              <w:t>energy</w:t>
            </w:r>
          </w:p>
        </w:tc>
        <w:tc>
          <w:tcPr>
            <w:tcW w:type="dxa" w:w="1701"/>
          </w:tcPr>
          <w:p>
            <w:pPr>
              <w:keepNext/>
              <w:spacing w:line="240" w:lineRule="auto" w:after="0"/>
              <w:jc w:val="center"/>
            </w:pPr>
            <w:r>
              <w:rPr>
                <w:b w:val="0"/>
                <w:i w:val="0"/>
                <w:sz w:val="20"/>
              </w:rPr>
              <w:t>-0.519</w:t>
            </w:r>
          </w:p>
        </w:tc>
        <w:tc>
          <w:tcPr>
            <w:tcW w:type="dxa" w:w="1701"/>
          </w:tcPr>
          <w:p>
            <w:pPr>
              <w:keepNext/>
              <w:spacing w:line="240" w:lineRule="auto" w:after="0"/>
              <w:jc w:val="center"/>
            </w:pPr>
            <w:r>
              <w:rPr>
                <w:b w:val="0"/>
                <w:i w:val="0"/>
                <w:sz w:val="20"/>
              </w:rPr>
              <w:t>1.537</w:t>
            </w:r>
          </w:p>
        </w:tc>
        <w:tc>
          <w:tcPr>
            <w:tcW w:type="dxa" w:w="1701"/>
          </w:tcPr>
          <w:p>
            <w:pPr>
              <w:keepNext/>
              <w:spacing w:line="240" w:lineRule="auto" w:after="0"/>
              <w:jc w:val="center"/>
            </w:pPr>
            <w:r>
              <w:rPr>
                <w:b w:val="0"/>
                <w:i w:val="0"/>
                <w:sz w:val="20"/>
              </w:rPr>
              <w:t>0</w:t>
            </w:r>
          </w:p>
        </w:tc>
        <w:tc>
          <w:tcPr>
            <w:tcW w:type="dxa" w:w="1417"/>
          </w:tcPr>
          <w:p>
            <w:pPr>
              <w:keepNext/>
              <w:spacing w:line="240" w:lineRule="auto" w:after="0"/>
              <w:jc w:val="center"/>
            </w:pPr>
            <w:r>
              <w:rPr>
                <w:b w:val="0"/>
                <w:i w:val="0"/>
                <w:sz w:val="20"/>
              </w:rPr>
              <w:t>0.00%</w:t>
            </w:r>
          </w:p>
        </w:tc>
      </w:tr>
      <w:tr>
        <w:trPr>
          <w:cantSplit w:val="true"/>
        </w:trPr>
        <w:tc>
          <w:tcPr>
            <w:tcW w:type="dxa" w:w="2041"/>
          </w:tcPr>
          <w:p>
            <w:pPr>
              <w:keepNext/>
              <w:spacing w:line="240" w:lineRule="auto" w:after="0"/>
              <w:jc w:val="center"/>
            </w:pPr>
            <w:r>
              <w:rPr>
                <w:b w:val="0"/>
                <w:i w:val="0"/>
                <w:sz w:val="20"/>
              </w:rPr>
              <w:t>loudness</w:t>
            </w:r>
          </w:p>
        </w:tc>
        <w:tc>
          <w:tcPr>
            <w:tcW w:type="dxa" w:w="1701"/>
          </w:tcPr>
          <w:p>
            <w:pPr>
              <w:keepNext/>
              <w:spacing w:line="240" w:lineRule="auto" w:after="0"/>
              <w:jc w:val="center"/>
            </w:pPr>
            <w:r>
              <w:rPr>
                <w:b w:val="0"/>
                <w:i w:val="0"/>
                <w:sz w:val="20"/>
              </w:rPr>
              <w:t>-28.059</w:t>
            </w:r>
          </w:p>
        </w:tc>
        <w:tc>
          <w:tcPr>
            <w:tcW w:type="dxa" w:w="1701"/>
          </w:tcPr>
          <w:p>
            <w:pPr>
              <w:keepNext/>
              <w:spacing w:line="240" w:lineRule="auto" w:after="0"/>
              <w:jc w:val="center"/>
            </w:pPr>
            <w:r>
              <w:rPr>
                <w:b w:val="0"/>
                <w:i w:val="0"/>
                <w:sz w:val="20"/>
              </w:rPr>
              <w:t>6.088</w:t>
            </w:r>
          </w:p>
        </w:tc>
        <w:tc>
          <w:tcPr>
            <w:tcW w:type="dxa" w:w="1701"/>
          </w:tcPr>
          <w:p>
            <w:pPr>
              <w:keepNext/>
              <w:spacing w:line="240" w:lineRule="auto" w:after="0"/>
              <w:jc w:val="center"/>
            </w:pPr>
            <w:r>
              <w:rPr>
                <w:b w:val="0"/>
                <w:i w:val="0"/>
                <w:sz w:val="20"/>
              </w:rPr>
              <w:t>38,727</w:t>
            </w:r>
          </w:p>
        </w:tc>
        <w:tc>
          <w:tcPr>
            <w:tcW w:type="dxa" w:w="1417"/>
          </w:tcPr>
          <w:p>
            <w:pPr>
              <w:keepNext/>
              <w:spacing w:line="240" w:lineRule="auto" w:after="0"/>
              <w:jc w:val="center"/>
            </w:pPr>
            <w:r>
              <w:rPr>
                <w:b w:val="0"/>
                <w:i w:val="0"/>
                <w:sz w:val="20"/>
              </w:rPr>
              <w:t>3.22%</w:t>
            </w:r>
          </w:p>
        </w:tc>
      </w:tr>
      <w:tr>
        <w:trPr>
          <w:cantSplit w:val="true"/>
        </w:trPr>
        <w:tc>
          <w:tcPr>
            <w:tcW w:type="dxa" w:w="2041"/>
          </w:tcPr>
          <w:p>
            <w:pPr>
              <w:keepNext/>
              <w:spacing w:line="240" w:lineRule="auto" w:after="0"/>
              <w:jc w:val="center"/>
            </w:pPr>
            <w:r>
              <w:rPr>
                <w:b w:val="0"/>
                <w:i w:val="0"/>
                <w:sz w:val="20"/>
              </w:rPr>
              <w:t>speechiness</w:t>
            </w:r>
          </w:p>
        </w:tc>
        <w:tc>
          <w:tcPr>
            <w:tcW w:type="dxa" w:w="1701"/>
          </w:tcPr>
          <w:p>
            <w:pPr>
              <w:keepNext/>
              <w:spacing w:line="240" w:lineRule="auto" w:after="0"/>
              <w:jc w:val="center"/>
            </w:pPr>
            <w:r>
              <w:rPr>
                <w:b w:val="0"/>
                <w:i w:val="0"/>
                <w:sz w:val="20"/>
              </w:rPr>
              <w:t>-0.021</w:t>
            </w:r>
          </w:p>
        </w:tc>
        <w:tc>
          <w:tcPr>
            <w:tcW w:type="dxa" w:w="1701"/>
          </w:tcPr>
          <w:p>
            <w:pPr>
              <w:keepNext/>
              <w:spacing w:line="240" w:lineRule="auto" w:after="0"/>
              <w:jc w:val="center"/>
            </w:pPr>
            <w:r>
              <w:rPr>
                <w:b w:val="0"/>
                <w:i w:val="0"/>
                <w:sz w:val="20"/>
              </w:rPr>
              <w:t>0.128</w:t>
            </w:r>
          </w:p>
        </w:tc>
        <w:tc>
          <w:tcPr>
            <w:tcW w:type="dxa" w:w="1701"/>
          </w:tcPr>
          <w:p>
            <w:pPr>
              <w:keepNext/>
              <w:spacing w:line="240" w:lineRule="auto" w:after="0"/>
              <w:jc w:val="center"/>
            </w:pPr>
            <w:r>
              <w:rPr>
                <w:b w:val="0"/>
                <w:i w:val="0"/>
                <w:sz w:val="20"/>
              </w:rPr>
              <w:t>167,338</w:t>
            </w:r>
          </w:p>
        </w:tc>
        <w:tc>
          <w:tcPr>
            <w:tcW w:type="dxa" w:w="1417"/>
          </w:tcPr>
          <w:p>
            <w:pPr>
              <w:keepNext/>
              <w:spacing w:line="240" w:lineRule="auto" w:after="0"/>
              <w:jc w:val="center"/>
            </w:pPr>
            <w:r>
              <w:rPr>
                <w:b w:val="0"/>
                <w:i w:val="0"/>
                <w:sz w:val="20"/>
              </w:rPr>
              <w:t>13.90%</w:t>
            </w:r>
          </w:p>
        </w:tc>
      </w:tr>
      <w:tr>
        <w:trPr>
          <w:cantSplit w:val="true"/>
        </w:trPr>
        <w:tc>
          <w:tcPr>
            <w:tcW w:type="dxa" w:w="2041"/>
          </w:tcPr>
          <w:p>
            <w:pPr>
              <w:keepNext/>
              <w:spacing w:line="240" w:lineRule="auto" w:after="0"/>
              <w:jc w:val="center"/>
            </w:pPr>
            <w:r>
              <w:rPr>
                <w:b w:val="0"/>
                <w:i w:val="0"/>
                <w:sz w:val="20"/>
              </w:rPr>
              <w:t>acousticness</w:t>
            </w:r>
          </w:p>
        </w:tc>
        <w:tc>
          <w:tcPr>
            <w:tcW w:type="dxa" w:w="1701"/>
          </w:tcPr>
          <w:p>
            <w:pPr>
              <w:keepNext/>
              <w:spacing w:line="240" w:lineRule="auto" w:after="0"/>
              <w:jc w:val="center"/>
            </w:pPr>
            <w:r>
              <w:rPr>
                <w:b w:val="0"/>
                <w:i w:val="0"/>
                <w:sz w:val="20"/>
              </w:rPr>
              <w:t>-1.198</w:t>
            </w:r>
          </w:p>
        </w:tc>
        <w:tc>
          <w:tcPr>
            <w:tcW w:type="dxa" w:w="1701"/>
          </w:tcPr>
          <w:p>
            <w:pPr>
              <w:keepNext/>
              <w:spacing w:line="240" w:lineRule="auto" w:after="0"/>
              <w:jc w:val="center"/>
            </w:pPr>
            <w:r>
              <w:rPr>
                <w:b w:val="0"/>
                <w:i w:val="0"/>
                <w:sz w:val="20"/>
              </w:rPr>
              <w:t>2.096</w:t>
            </w:r>
          </w:p>
        </w:tc>
        <w:tc>
          <w:tcPr>
            <w:tcW w:type="dxa" w:w="1701"/>
          </w:tcPr>
          <w:p>
            <w:pPr>
              <w:keepNext/>
              <w:spacing w:line="240" w:lineRule="auto" w:after="0"/>
              <w:jc w:val="center"/>
            </w:pPr>
            <w:r>
              <w:rPr>
                <w:b w:val="0"/>
                <w:i w:val="0"/>
                <w:sz w:val="20"/>
              </w:rPr>
              <w:t>0</w:t>
            </w:r>
          </w:p>
        </w:tc>
        <w:tc>
          <w:tcPr>
            <w:tcW w:type="dxa" w:w="1417"/>
          </w:tcPr>
          <w:p>
            <w:pPr>
              <w:keepNext/>
              <w:spacing w:line="240" w:lineRule="auto" w:after="0"/>
              <w:jc w:val="center"/>
            </w:pPr>
            <w:r>
              <w:rPr>
                <w:b w:val="0"/>
                <w:i w:val="0"/>
                <w:sz w:val="20"/>
              </w:rPr>
              <w:t>0.00%</w:t>
            </w:r>
          </w:p>
        </w:tc>
      </w:tr>
      <w:tr>
        <w:trPr>
          <w:cantSplit w:val="true"/>
        </w:trPr>
        <w:tc>
          <w:tcPr>
            <w:tcW w:type="dxa" w:w="2041"/>
          </w:tcPr>
          <w:p>
            <w:pPr>
              <w:keepNext/>
              <w:spacing w:line="240" w:lineRule="auto" w:after="0"/>
              <w:jc w:val="left"/>
            </w:pPr>
            <w:r>
              <w:rPr>
                <w:b w:val="0"/>
                <w:i w:val="0"/>
                <w:sz w:val="20"/>
              </w:rPr>
              <w:t>instrumentalness</w:t>
            </w:r>
          </w:p>
        </w:tc>
        <w:tc>
          <w:tcPr>
            <w:tcW w:type="dxa" w:w="1701"/>
          </w:tcPr>
          <w:p>
            <w:pPr>
              <w:keepNext/>
              <w:spacing w:line="240" w:lineRule="auto" w:after="0"/>
              <w:jc w:val="center"/>
            </w:pPr>
            <w:r>
              <w:rPr>
                <w:b w:val="0"/>
                <w:i w:val="0"/>
                <w:sz w:val="20"/>
              </w:rPr>
              <w:t>-1.078</w:t>
            </w:r>
          </w:p>
        </w:tc>
        <w:tc>
          <w:tcPr>
            <w:tcW w:type="dxa" w:w="1701"/>
          </w:tcPr>
          <w:p>
            <w:pPr>
              <w:keepNext/>
              <w:spacing w:line="240" w:lineRule="auto" w:after="0"/>
              <w:jc w:val="center"/>
            </w:pPr>
            <w:r>
              <w:rPr>
                <w:b w:val="0"/>
                <w:i w:val="0"/>
                <w:sz w:val="20"/>
              </w:rPr>
              <w:t>1.797</w:t>
            </w:r>
          </w:p>
        </w:tc>
        <w:tc>
          <w:tcPr>
            <w:tcW w:type="dxa" w:w="1701"/>
          </w:tcPr>
          <w:p>
            <w:pPr>
              <w:keepNext/>
              <w:spacing w:line="240" w:lineRule="auto" w:after="0"/>
              <w:jc w:val="center"/>
            </w:pPr>
            <w:r>
              <w:rPr>
                <w:b w:val="0"/>
                <w:i w:val="0"/>
                <w:sz w:val="20"/>
              </w:rPr>
              <w:t>0</w:t>
            </w:r>
          </w:p>
        </w:tc>
        <w:tc>
          <w:tcPr>
            <w:tcW w:type="dxa" w:w="1417"/>
          </w:tcPr>
          <w:p>
            <w:pPr>
              <w:keepNext/>
              <w:spacing w:line="240" w:lineRule="auto" w:after="0"/>
              <w:jc w:val="center"/>
            </w:pPr>
            <w:r>
              <w:rPr>
                <w:b w:val="0"/>
                <w:i w:val="0"/>
                <w:sz w:val="20"/>
              </w:rPr>
              <w:t>0.00%</w:t>
            </w:r>
          </w:p>
        </w:tc>
      </w:tr>
      <w:tr>
        <w:trPr>
          <w:cantSplit w:val="true"/>
        </w:trPr>
        <w:tc>
          <w:tcPr>
            <w:tcW w:type="dxa" w:w="2041"/>
          </w:tcPr>
          <w:p>
            <w:pPr>
              <w:keepNext/>
              <w:spacing w:line="240" w:lineRule="auto" w:after="0"/>
              <w:jc w:val="center"/>
            </w:pPr>
            <w:r>
              <w:rPr>
                <w:b w:val="0"/>
                <w:i w:val="0"/>
                <w:sz w:val="20"/>
              </w:rPr>
              <w:t>liveness</w:t>
            </w:r>
          </w:p>
        </w:tc>
        <w:tc>
          <w:tcPr>
            <w:tcW w:type="dxa" w:w="1701"/>
          </w:tcPr>
          <w:p>
            <w:pPr>
              <w:keepNext/>
              <w:spacing w:line="240" w:lineRule="auto" w:after="0"/>
              <w:jc w:val="center"/>
            </w:pPr>
            <w:r>
              <w:rPr>
                <w:b w:val="0"/>
                <w:i w:val="0"/>
                <w:sz w:val="20"/>
              </w:rPr>
              <w:t>-0.126</w:t>
            </w:r>
          </w:p>
        </w:tc>
        <w:tc>
          <w:tcPr>
            <w:tcW w:type="dxa" w:w="1701"/>
          </w:tcPr>
          <w:p>
            <w:pPr>
              <w:keepNext/>
              <w:spacing w:line="240" w:lineRule="auto" w:after="0"/>
              <w:jc w:val="center"/>
            </w:pPr>
            <w:r>
              <w:rPr>
                <w:b w:val="0"/>
                <w:i w:val="0"/>
                <w:sz w:val="20"/>
              </w:rPr>
              <w:t>0.467</w:t>
            </w:r>
          </w:p>
        </w:tc>
        <w:tc>
          <w:tcPr>
            <w:tcW w:type="dxa" w:w="1701"/>
          </w:tcPr>
          <w:p>
            <w:pPr>
              <w:keepNext/>
              <w:spacing w:line="240" w:lineRule="auto" w:after="0"/>
              <w:jc w:val="center"/>
            </w:pPr>
            <w:r>
              <w:rPr>
                <w:b w:val="0"/>
                <w:i w:val="0"/>
                <w:sz w:val="20"/>
              </w:rPr>
              <w:t>95,938</w:t>
            </w:r>
          </w:p>
        </w:tc>
        <w:tc>
          <w:tcPr>
            <w:tcW w:type="dxa" w:w="1417"/>
          </w:tcPr>
          <w:p>
            <w:pPr>
              <w:keepNext/>
              <w:spacing w:line="240" w:lineRule="auto" w:after="0"/>
              <w:jc w:val="center"/>
            </w:pPr>
            <w:r>
              <w:rPr>
                <w:b w:val="0"/>
                <w:i w:val="0"/>
                <w:sz w:val="20"/>
              </w:rPr>
              <w:t>7.97%</w:t>
            </w:r>
          </w:p>
        </w:tc>
      </w:tr>
      <w:tr>
        <w:trPr>
          <w:cantSplit w:val="true"/>
        </w:trPr>
        <w:tc>
          <w:tcPr>
            <w:tcW w:type="dxa" w:w="2041"/>
          </w:tcPr>
          <w:p>
            <w:pPr>
              <w:keepNext/>
              <w:spacing w:line="240" w:lineRule="auto" w:after="0"/>
              <w:jc w:val="center"/>
            </w:pPr>
            <w:r>
              <w:rPr>
                <w:b w:val="0"/>
                <w:i w:val="0"/>
                <w:sz w:val="20"/>
              </w:rPr>
              <w:t>valence</w:t>
            </w:r>
          </w:p>
        </w:tc>
        <w:tc>
          <w:tcPr>
            <w:tcW w:type="dxa" w:w="1701"/>
          </w:tcPr>
          <w:p>
            <w:pPr>
              <w:keepNext/>
              <w:spacing w:line="240" w:lineRule="auto" w:after="0"/>
              <w:jc w:val="center"/>
            </w:pPr>
            <w:r>
              <w:rPr>
                <w:b w:val="0"/>
                <w:i w:val="0"/>
                <w:sz w:val="20"/>
              </w:rPr>
              <w:t>-0.488</w:t>
            </w:r>
          </w:p>
        </w:tc>
        <w:tc>
          <w:tcPr>
            <w:tcW w:type="dxa" w:w="1701"/>
          </w:tcPr>
          <w:p>
            <w:pPr>
              <w:keepNext/>
              <w:spacing w:line="240" w:lineRule="auto" w:after="0"/>
              <w:jc w:val="center"/>
            </w:pPr>
            <w:r>
              <w:rPr>
                <w:b w:val="0"/>
                <w:i w:val="0"/>
                <w:sz w:val="20"/>
              </w:rPr>
              <w:t>1.324</w:t>
            </w:r>
          </w:p>
        </w:tc>
        <w:tc>
          <w:tcPr>
            <w:tcW w:type="dxa" w:w="1701"/>
          </w:tcPr>
          <w:p>
            <w:pPr>
              <w:keepNext/>
              <w:spacing w:line="240" w:lineRule="auto" w:after="0"/>
              <w:jc w:val="center"/>
            </w:pPr>
            <w:r>
              <w:rPr>
                <w:b w:val="0"/>
                <w:i w:val="0"/>
                <w:sz w:val="20"/>
              </w:rPr>
              <w:t>0</w:t>
            </w:r>
          </w:p>
        </w:tc>
        <w:tc>
          <w:tcPr>
            <w:tcW w:type="dxa" w:w="1417"/>
          </w:tcPr>
          <w:p>
            <w:pPr>
              <w:keepNext/>
              <w:spacing w:line="240" w:lineRule="auto" w:after="0"/>
              <w:jc w:val="center"/>
            </w:pPr>
            <w:r>
              <w:rPr>
                <w:b w:val="0"/>
                <w:i w:val="0"/>
                <w:sz w:val="20"/>
              </w:rPr>
              <w:t>0.00%</w:t>
            </w:r>
          </w:p>
        </w:tc>
      </w:tr>
      <w:tr>
        <w:trPr>
          <w:cantSplit w:val="true"/>
        </w:trPr>
        <w:tc>
          <w:tcPr>
            <w:tcW w:type="dxa" w:w="2041"/>
          </w:tcPr>
          <w:p>
            <w:pPr>
              <w:keepNext/>
              <w:spacing w:line="240" w:lineRule="auto" w:after="0"/>
              <w:jc w:val="center"/>
            </w:pPr>
            <w:r>
              <w:rPr>
                <w:b w:val="0"/>
                <w:i w:val="0"/>
                <w:sz w:val="20"/>
              </w:rPr>
              <w:t>tempo</w:t>
            </w:r>
          </w:p>
        </w:tc>
        <w:tc>
          <w:tcPr>
            <w:tcW w:type="dxa" w:w="1701"/>
          </w:tcPr>
          <w:p>
            <w:pPr>
              <w:keepNext/>
              <w:spacing w:line="240" w:lineRule="auto" w:after="0"/>
              <w:jc w:val="center"/>
            </w:pPr>
            <w:r>
              <w:rPr>
                <w:b w:val="0"/>
                <w:i w:val="0"/>
                <w:sz w:val="20"/>
              </w:rPr>
              <w:t>30.164</w:t>
            </w:r>
          </w:p>
        </w:tc>
        <w:tc>
          <w:tcPr>
            <w:tcW w:type="dxa" w:w="1701"/>
          </w:tcPr>
          <w:p>
            <w:pPr>
              <w:keepNext/>
              <w:spacing w:line="240" w:lineRule="auto" w:after="0"/>
              <w:jc w:val="center"/>
            </w:pPr>
            <w:r>
              <w:rPr>
                <w:b w:val="0"/>
                <w:i w:val="0"/>
                <w:sz w:val="20"/>
              </w:rPr>
              <w:t>201.177</w:t>
            </w:r>
          </w:p>
        </w:tc>
        <w:tc>
          <w:tcPr>
            <w:tcW w:type="dxa" w:w="1701"/>
          </w:tcPr>
          <w:p>
            <w:pPr>
              <w:keepNext/>
              <w:spacing w:line="240" w:lineRule="auto" w:after="0"/>
              <w:jc w:val="center"/>
            </w:pPr>
            <w:r>
              <w:rPr>
                <w:b w:val="0"/>
                <w:i w:val="0"/>
                <w:sz w:val="20"/>
              </w:rPr>
              <w:t>5,549</w:t>
            </w:r>
          </w:p>
        </w:tc>
        <w:tc>
          <w:tcPr>
            <w:tcW w:type="dxa" w:w="1417"/>
          </w:tcPr>
          <w:p>
            <w:pPr>
              <w:keepNext/>
              <w:spacing w:line="240" w:lineRule="auto" w:after="0"/>
              <w:jc w:val="center"/>
            </w:pPr>
            <w:r>
              <w:rPr>
                <w:b w:val="0"/>
                <w:i w:val="0"/>
                <w:sz w:val="20"/>
              </w:rPr>
              <w:t>0.46%</w:t>
            </w:r>
          </w:p>
        </w:tc>
      </w:tr>
      <w:tr>
        <w:trPr>
          <w:cantSplit w:val="true"/>
        </w:trPr>
        <w:tc>
          <w:tcPr>
            <w:tcW w:type="dxa" w:w="2041"/>
          </w:tcPr>
          <w:p>
            <w:pPr>
              <w:keepNext/>
              <w:spacing w:line="240" w:lineRule="auto" w:after="0"/>
              <w:jc w:val="center"/>
            </w:pPr>
            <w:r>
              <w:rPr>
                <w:b w:val="0"/>
                <w:i w:val="0"/>
                <w:sz w:val="20"/>
              </w:rPr>
              <w:t>duration_min</w:t>
            </w:r>
          </w:p>
        </w:tc>
        <w:tc>
          <w:tcPr>
            <w:tcW w:type="dxa" w:w="1701"/>
          </w:tcPr>
          <w:p>
            <w:pPr>
              <w:keepNext/>
              <w:spacing w:line="240" w:lineRule="auto" w:after="0"/>
              <w:jc w:val="center"/>
            </w:pPr>
            <w:r>
              <w:rPr>
                <w:b w:val="0"/>
                <w:i w:val="0"/>
                <w:sz w:val="20"/>
              </w:rPr>
              <w:t>0.108</w:t>
            </w:r>
          </w:p>
        </w:tc>
        <w:tc>
          <w:tcPr>
            <w:tcW w:type="dxa" w:w="1701"/>
          </w:tcPr>
          <w:p>
            <w:pPr>
              <w:keepNext/>
              <w:spacing w:line="240" w:lineRule="auto" w:after="0"/>
              <w:jc w:val="center"/>
            </w:pPr>
            <w:r>
              <w:rPr>
                <w:b w:val="0"/>
                <w:i w:val="0"/>
                <w:sz w:val="20"/>
              </w:rPr>
              <w:t>7.558</w:t>
            </w:r>
          </w:p>
        </w:tc>
        <w:tc>
          <w:tcPr>
            <w:tcW w:type="dxa" w:w="1701"/>
          </w:tcPr>
          <w:p>
            <w:pPr>
              <w:keepNext/>
              <w:spacing w:line="240" w:lineRule="auto" w:after="0"/>
              <w:jc w:val="center"/>
            </w:pPr>
            <w:r>
              <w:rPr>
                <w:b w:val="0"/>
                <w:i w:val="0"/>
                <w:sz w:val="20"/>
              </w:rPr>
              <w:t>69,379</w:t>
            </w:r>
          </w:p>
        </w:tc>
        <w:tc>
          <w:tcPr>
            <w:tcW w:type="dxa" w:w="1417"/>
          </w:tcPr>
          <w:p>
            <w:pPr>
              <w:keepNext/>
              <w:spacing w:line="240" w:lineRule="auto" w:after="0"/>
              <w:jc w:val="center"/>
            </w:pPr>
            <w:r>
              <w:rPr>
                <w:b w:val="0"/>
                <w:i w:val="0"/>
                <w:sz w:val="20"/>
              </w:rPr>
              <w:t>5.76%</w:t>
            </w:r>
          </w:p>
        </w:tc>
      </w:tr>
    </w:tbl>
    <w:p>
      <w:pPr>
        <w:spacing w:before="80" w:line="240" w:lineRule="auto"/>
        <w:jc w:val="center"/>
      </w:pPr>
      <w:r>
        <w:rPr>
          <w:sz w:val="20"/>
        </w:rPr>
        <w:t>TABLE VI: Tukey-fence (IQR) outliers per feature</w:t>
      </w:r>
    </w:p>
    <w:p>
      <w:pPr>
        <w:keepNext/>
        <w:spacing w:after="40" w:line="240" w:lineRule="auto"/>
        <w:jc w:val="center"/>
      </w:pPr>
      <w:r>
        <w:drawing>
          <wp:inline xmlns:a="http://schemas.openxmlformats.org/drawingml/2006/main" xmlns:pic="http://schemas.openxmlformats.org/drawingml/2006/picture">
            <wp:extent cx="5120640" cy="2776070"/>
            <wp:docPr id="4" name="Picture 4"/>
            <wp:cNvGraphicFramePr>
              <a:graphicFrameLocks noChangeAspect="1"/>
            </wp:cNvGraphicFramePr>
            <a:graphic>
              <a:graphicData uri="http://schemas.openxmlformats.org/drawingml/2006/picture">
                <pic:pic>
                  <pic:nvPicPr>
                    <pic:cNvPr id="0" name="fig_02_03_isolation_forest_outliers.png"/>
                    <pic:cNvPicPr/>
                  </pic:nvPicPr>
                  <pic:blipFill>
                    <a:blip r:embed="rId38"/>
                    <a:stretch>
                      <a:fillRect/>
                    </a:stretch>
                  </pic:blipFill>
                  <pic:spPr>
                    <a:xfrm>
                      <a:off x="0" y="0"/>
                      <a:ext cx="5120640" cy="2776070"/>
                    </a:xfrm>
                    <a:prstGeom prst="rect"/>
                  </pic:spPr>
                </pic:pic>
              </a:graphicData>
            </a:graphic>
          </wp:inline>
        </w:drawing>
      </w:r>
    </w:p>
    <w:p>
      <w:pPr>
        <w:spacing w:line="240" w:lineRule="auto"/>
        <w:jc w:val="center"/>
      </w:pPr>
      <w:r>
        <w:rPr>
          <w:sz w:val="20"/>
        </w:rPr>
        <w:t>Fig. 4. Isolation Forest outliers in the speechiness-loudness plane</w:t>
      </w:r>
    </w:p>
    <w:p>
      <w:pPr>
        <w:jc w:val="both"/>
      </w:pPr>
      <w:r>
        <w:rPr>
          <w:b w:val="0"/>
          <w:i w:val="0"/>
        </w:rPr>
        <w:t>Real examples confirm that the flags pick out genuine special cases rather than errors:</w:t>
      </w:r>
    </w:p>
    <w:p>
      <w:pPr>
        <w:pStyle w:val="ListBullet"/>
        <w:spacing w:after="80"/>
        <w:jc w:val="both"/>
      </w:pPr>
      <w:r>
        <w:rPr>
          <w:b/>
        </w:rPr>
        <w:t xml:space="preserve">Extreme tempo: </w:t>
      </w:r>
      <w:r>
        <w:rPr>
          <w:b w:val="0"/>
          <w:i w:val="0"/>
        </w:rPr>
        <w:t>118 tracks above 220 BPM, usually double-time readings of fast punk or drum-and-bass.</w:t>
      </w:r>
    </w:p>
    <w:p>
      <w:pPr>
        <w:pStyle w:val="ListBullet"/>
        <w:spacing w:after="80"/>
        <w:jc w:val="both"/>
      </w:pPr>
      <w:r>
        <w:rPr>
          <w:b/>
        </w:rPr>
        <w:t xml:space="preserve">Near-silent or ambient: </w:t>
      </w:r>
      <w:r>
        <w:rPr>
          <w:b w:val="0"/>
          <w:i w:val="0"/>
        </w:rPr>
        <w:t>709 tracks quieter than -45 dB, such as field recordings, sleep sounds and silent tracks.</w:t>
      </w:r>
    </w:p>
    <w:p>
      <w:pPr>
        <w:pStyle w:val="ListBullet"/>
        <w:spacing w:after="80"/>
        <w:jc w:val="both"/>
      </w:pPr>
      <w:r>
        <w:rPr>
          <w:b/>
        </w:rPr>
        <w:t xml:space="preserve">Spoken word and comedy: </w:t>
      </w:r>
      <w:r>
        <w:rPr>
          <w:b w:val="0"/>
          <w:i w:val="0"/>
        </w:rPr>
        <w:t>11,679 tracks with speechiness above 0.66 (the level Spotify associates with speech-only content), 6,025 of them above 0.9, mostly audiobooks, poetry and stand-up comedy.</w:t>
      </w:r>
    </w:p>
    <w:p>
      <w:pPr>
        <w:pStyle w:val="Heading2"/>
        <w:jc w:val="center"/>
      </w:pPr>
      <w:r>
        <w:t>4.2 Descriptive Statistics, Multivariate Visual Storytelling, Dimensionality Reduction and Time-Series Dynamics of Musical Characteristics</w:t>
      </w:r>
    </w:p>
    <w:p>
      <w:pPr>
        <w:jc w:val="both"/>
      </w:pPr>
      <w:r>
        <w:rPr>
          <w:b w:val="0"/>
          <w:i w:val="0"/>
        </w:rPr>
        <w:t>This block explores the cleaned data with the statistical and visual methods of the course, moving from single features to the full multivariate space and then to time.</w:t>
      </w:r>
    </w:p>
    <w:p>
      <w:pPr>
        <w:pStyle w:val="Heading3"/>
        <w:jc w:val="left"/>
      </w:pPr>
      <w:r>
        <w:t>4.2.1 Statistical Conventions</w:t>
      </w:r>
    </w:p>
    <w:p>
      <w:pPr>
        <w:jc w:val="both"/>
      </w:pPr>
      <w:r>
        <w:rPr>
          <w:b w:val="0"/>
          <w:i w:val="0"/>
        </w:rPr>
        <w:t>All summaries follow the conventions used in the course tutorials: sample variance with denominator n-1; Q1 and Q3 by Tukey’s median-of-halves (hinges); the adjusted Fisher-Pearson skewness G1; and the bias-corrected excess kurtosis G2, with Pearson kurtosis = G2 + 3. The functions live in the package module sonicatlas.stats and are unit-tested against SciPy. On the tutorial data set {4, 5, 5, 6, 6, 6, 7, 8, 9, 14} they reproduce the expected values (TABLE VII). The pandas default quartiles, which interpolate linearly, are shown for comparison; the report uses the Tukey values.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551"/>
        <w:gridCol w:w="3969"/>
        <w:gridCol w:w="1984"/>
      </w:tblGrid>
      <w:tr>
        <w:trPr>
          <w:tblHeader w:val="true"/>
          <w:cantSplit w:val="true"/>
        </w:trPr>
        <w:tc>
          <w:tcPr>
            <w:tcW w:type="dxa" w:w="2551"/>
          </w:tcPr>
          <w:p>
            <w:pPr>
              <w:keepNext/>
              <w:spacing w:line="240" w:lineRule="auto" w:after="0"/>
              <w:jc w:val="center"/>
            </w:pPr>
            <w:r/>
            <w:r>
              <w:rPr>
                <w:b/>
                <w:sz w:val="20"/>
              </w:rPr>
              <w:t>Statistic</w:t>
            </w:r>
          </w:p>
        </w:tc>
        <w:tc>
          <w:tcPr>
            <w:tcW w:type="dxa" w:w="3969"/>
          </w:tcPr>
          <w:p>
            <w:pPr>
              <w:keepNext/>
              <w:spacing w:line="240" w:lineRule="auto" w:after="0"/>
              <w:jc w:val="center"/>
            </w:pPr>
            <w:r/>
            <w:r>
              <w:rPr>
                <w:b/>
                <w:sz w:val="20"/>
              </w:rPr>
              <w:t>Formula / rule</w:t>
            </w:r>
          </w:p>
        </w:tc>
        <w:tc>
          <w:tcPr>
            <w:tcW w:type="dxa" w:w="1984"/>
          </w:tcPr>
          <w:p>
            <w:pPr>
              <w:keepNext/>
              <w:spacing w:line="240" w:lineRule="auto" w:after="0"/>
              <w:jc w:val="center"/>
            </w:pPr>
            <w:r/>
            <w:r>
              <w:rPr>
                <w:b/>
                <w:sz w:val="20"/>
              </w:rPr>
              <w:t>Value</w:t>
            </w:r>
          </w:p>
        </w:tc>
      </w:tr>
      <w:tr>
        <w:trPr>
          <w:cantSplit w:val="true"/>
        </w:trPr>
        <w:tc>
          <w:tcPr>
            <w:tcW w:type="dxa" w:w="2551"/>
          </w:tcPr>
          <w:p>
            <w:pPr>
              <w:keepNext/>
              <w:spacing w:line="240" w:lineRule="auto" w:after="0"/>
              <w:jc w:val="center"/>
            </w:pPr>
            <w:r>
              <w:rPr>
                <w:b w:val="0"/>
                <w:i w:val="0"/>
                <w:sz w:val="20"/>
              </w:rPr>
              <w:t>Mean</w:t>
            </w:r>
          </w:p>
        </w:tc>
        <w:tc>
          <w:tcPr>
            <w:tcW w:type="dxa" w:w="3969"/>
          </w:tcPr>
          <w:p>
            <w:pPr>
              <w:keepNext/>
              <w:spacing w:line="240" w:lineRule="auto" w:after="0"/>
              <w:jc w:val="center"/>
            </w:pPr>
            <w:r>
              <w:rPr>
                <w:b w:val="0"/>
                <w:i w:val="0"/>
                <w:sz w:val="20"/>
              </w:rPr>
              <w:t>sum(x) / n</w:t>
            </w:r>
          </w:p>
        </w:tc>
        <w:tc>
          <w:tcPr>
            <w:tcW w:type="dxa" w:w="1984"/>
          </w:tcPr>
          <w:p>
            <w:pPr>
              <w:keepNext/>
              <w:spacing w:line="240" w:lineRule="auto" w:after="0"/>
              <w:jc w:val="center"/>
            </w:pPr>
            <w:r>
              <w:rPr>
                <w:b w:val="0"/>
                <w:i w:val="0"/>
                <w:sz w:val="20"/>
              </w:rPr>
              <w:t>7.00</w:t>
            </w:r>
          </w:p>
        </w:tc>
      </w:tr>
      <w:tr>
        <w:trPr>
          <w:cantSplit w:val="true"/>
        </w:trPr>
        <w:tc>
          <w:tcPr>
            <w:tcW w:type="dxa" w:w="2551"/>
          </w:tcPr>
          <w:p>
            <w:pPr>
              <w:keepNext/>
              <w:spacing w:line="240" w:lineRule="auto" w:after="0"/>
              <w:jc w:val="center"/>
            </w:pPr>
            <w:r>
              <w:rPr>
                <w:b w:val="0"/>
                <w:i w:val="0"/>
                <w:sz w:val="20"/>
              </w:rPr>
              <w:t>Median</w:t>
            </w:r>
          </w:p>
        </w:tc>
        <w:tc>
          <w:tcPr>
            <w:tcW w:type="dxa" w:w="3969"/>
          </w:tcPr>
          <w:p>
            <w:pPr>
              <w:keepNext/>
              <w:spacing w:line="240" w:lineRule="auto" w:after="0"/>
              <w:jc w:val="center"/>
            </w:pPr>
            <w:r>
              <w:rPr>
                <w:b w:val="0"/>
                <w:i w:val="0"/>
                <w:sz w:val="20"/>
              </w:rPr>
              <w:t>middle value</w:t>
            </w:r>
          </w:p>
        </w:tc>
        <w:tc>
          <w:tcPr>
            <w:tcW w:type="dxa" w:w="1984"/>
          </w:tcPr>
          <w:p>
            <w:pPr>
              <w:keepNext/>
              <w:spacing w:line="240" w:lineRule="auto" w:after="0"/>
              <w:jc w:val="center"/>
            </w:pPr>
            <w:r>
              <w:rPr>
                <w:b w:val="0"/>
                <w:i w:val="0"/>
                <w:sz w:val="20"/>
              </w:rPr>
              <w:t>6.00</w:t>
            </w:r>
          </w:p>
        </w:tc>
      </w:tr>
      <w:tr>
        <w:trPr>
          <w:cantSplit w:val="true"/>
        </w:trPr>
        <w:tc>
          <w:tcPr>
            <w:tcW w:type="dxa" w:w="2551"/>
          </w:tcPr>
          <w:p>
            <w:pPr>
              <w:keepNext/>
              <w:spacing w:line="240" w:lineRule="auto" w:after="0"/>
              <w:jc w:val="center"/>
            </w:pPr>
            <w:r>
              <w:rPr>
                <w:b w:val="0"/>
                <w:i w:val="0"/>
                <w:sz w:val="20"/>
              </w:rPr>
              <w:t>Mode</w:t>
            </w:r>
          </w:p>
        </w:tc>
        <w:tc>
          <w:tcPr>
            <w:tcW w:type="dxa" w:w="3969"/>
          </w:tcPr>
          <w:p>
            <w:pPr>
              <w:keepNext/>
              <w:spacing w:line="240" w:lineRule="auto" w:after="0"/>
              <w:jc w:val="center"/>
            </w:pPr>
            <w:r>
              <w:rPr>
                <w:b w:val="0"/>
                <w:i w:val="0"/>
                <w:sz w:val="20"/>
              </w:rPr>
              <w:t>most frequent</w:t>
            </w:r>
          </w:p>
        </w:tc>
        <w:tc>
          <w:tcPr>
            <w:tcW w:type="dxa" w:w="1984"/>
          </w:tcPr>
          <w:p>
            <w:pPr>
              <w:keepNext/>
              <w:spacing w:line="240" w:lineRule="auto" w:after="0"/>
              <w:jc w:val="center"/>
            </w:pPr>
            <w:r>
              <w:rPr>
                <w:b w:val="0"/>
                <w:i w:val="0"/>
                <w:sz w:val="20"/>
              </w:rPr>
              <w:t>6</w:t>
            </w:r>
          </w:p>
        </w:tc>
      </w:tr>
      <w:tr>
        <w:trPr>
          <w:cantSplit w:val="true"/>
        </w:trPr>
        <w:tc>
          <w:tcPr>
            <w:tcW w:type="dxa" w:w="2551"/>
          </w:tcPr>
          <w:p>
            <w:pPr>
              <w:keepNext/>
              <w:spacing w:line="240" w:lineRule="auto" w:after="0"/>
              <w:jc w:val="left"/>
            </w:pPr>
            <w:r>
              <w:rPr>
                <w:b w:val="0"/>
                <w:i w:val="0"/>
                <w:sz w:val="20"/>
              </w:rPr>
              <w:t>Sample variance</w:t>
            </w:r>
          </w:p>
        </w:tc>
        <w:tc>
          <w:tcPr>
            <w:tcW w:type="dxa" w:w="3969"/>
          </w:tcPr>
          <w:p>
            <w:pPr>
              <w:keepNext/>
              <w:spacing w:line="240" w:lineRule="auto" w:after="0"/>
              <w:jc w:val="left"/>
            </w:pPr>
            <w:r>
              <w:rPr>
                <w:b w:val="0"/>
                <w:i w:val="0"/>
                <w:sz w:val="20"/>
              </w:rPr>
              <w:t>sum(x - mean)^2 / (n - 1)</w:t>
            </w:r>
          </w:p>
        </w:tc>
        <w:tc>
          <w:tcPr>
            <w:tcW w:type="dxa" w:w="1984"/>
          </w:tcPr>
          <w:p>
            <w:pPr>
              <w:keepNext/>
              <w:spacing w:line="240" w:lineRule="auto" w:after="0"/>
              <w:jc w:val="center"/>
            </w:pPr>
            <w:r>
              <w:rPr>
                <w:b w:val="0"/>
                <w:i w:val="0"/>
                <w:sz w:val="20"/>
              </w:rPr>
              <w:t>8.222</w:t>
            </w:r>
          </w:p>
        </w:tc>
      </w:tr>
      <w:tr>
        <w:trPr>
          <w:cantSplit w:val="true"/>
        </w:trPr>
        <w:tc>
          <w:tcPr>
            <w:tcW w:type="dxa" w:w="2551"/>
          </w:tcPr>
          <w:p>
            <w:pPr>
              <w:keepNext/>
              <w:spacing w:line="240" w:lineRule="auto" w:after="0"/>
              <w:jc w:val="left"/>
            </w:pPr>
            <w:r>
              <w:rPr>
                <w:b w:val="0"/>
                <w:i w:val="0"/>
                <w:sz w:val="20"/>
              </w:rPr>
              <w:t>Standard deviation</w:t>
            </w:r>
          </w:p>
        </w:tc>
        <w:tc>
          <w:tcPr>
            <w:tcW w:type="dxa" w:w="3969"/>
          </w:tcPr>
          <w:p>
            <w:pPr>
              <w:keepNext/>
              <w:spacing w:line="240" w:lineRule="auto" w:after="0"/>
              <w:jc w:val="center"/>
            </w:pPr>
            <w:r>
              <w:rPr>
                <w:b w:val="0"/>
                <w:i w:val="0"/>
                <w:sz w:val="20"/>
              </w:rPr>
              <w:t>sqrt(variance)</w:t>
            </w:r>
          </w:p>
        </w:tc>
        <w:tc>
          <w:tcPr>
            <w:tcW w:type="dxa" w:w="1984"/>
          </w:tcPr>
          <w:p>
            <w:pPr>
              <w:keepNext/>
              <w:spacing w:line="240" w:lineRule="auto" w:after="0"/>
              <w:jc w:val="center"/>
            </w:pPr>
            <w:r>
              <w:rPr>
                <w:b w:val="0"/>
                <w:i w:val="0"/>
                <w:sz w:val="20"/>
              </w:rPr>
              <w:t>2.867</w:t>
            </w:r>
          </w:p>
        </w:tc>
      </w:tr>
      <w:tr>
        <w:trPr>
          <w:cantSplit w:val="true"/>
        </w:trPr>
        <w:tc>
          <w:tcPr>
            <w:tcW w:type="dxa" w:w="2551"/>
          </w:tcPr>
          <w:p>
            <w:pPr>
              <w:keepNext/>
              <w:spacing w:line="240" w:lineRule="auto" w:after="0"/>
              <w:jc w:val="center"/>
            </w:pPr>
            <w:r>
              <w:rPr>
                <w:b w:val="0"/>
                <w:i w:val="0"/>
                <w:sz w:val="20"/>
              </w:rPr>
              <w:t>Q1, Q3 (Tukey)</w:t>
            </w:r>
          </w:p>
        </w:tc>
        <w:tc>
          <w:tcPr>
            <w:tcW w:type="dxa" w:w="3969"/>
          </w:tcPr>
          <w:p>
            <w:pPr>
              <w:keepNext/>
              <w:spacing w:line="240" w:lineRule="auto" w:after="0"/>
              <w:jc w:val="left"/>
            </w:pPr>
            <w:r>
              <w:rPr>
                <w:b w:val="0"/>
                <w:i w:val="0"/>
                <w:sz w:val="20"/>
              </w:rPr>
              <w:t>medians of lower and upper halves</w:t>
            </w:r>
          </w:p>
        </w:tc>
        <w:tc>
          <w:tcPr>
            <w:tcW w:type="dxa" w:w="1984"/>
          </w:tcPr>
          <w:p>
            <w:pPr>
              <w:keepNext/>
              <w:spacing w:line="240" w:lineRule="auto" w:after="0"/>
              <w:jc w:val="center"/>
            </w:pPr>
            <w:r>
              <w:rPr>
                <w:b w:val="0"/>
                <w:i w:val="0"/>
                <w:sz w:val="20"/>
              </w:rPr>
              <w:t>5.00, 8.00</w:t>
            </w:r>
          </w:p>
        </w:tc>
      </w:tr>
      <w:tr>
        <w:trPr>
          <w:cantSplit w:val="true"/>
        </w:trPr>
        <w:tc>
          <w:tcPr>
            <w:tcW w:type="dxa" w:w="2551"/>
          </w:tcPr>
          <w:p>
            <w:pPr>
              <w:keepNext/>
              <w:spacing w:line="240" w:lineRule="auto" w:after="0"/>
              <w:jc w:val="left"/>
            </w:pPr>
            <w:r>
              <w:rPr>
                <w:b w:val="0"/>
                <w:i w:val="0"/>
                <w:sz w:val="20"/>
              </w:rPr>
              <w:t>Q1, Q3 (pandas default)</w:t>
            </w:r>
          </w:p>
        </w:tc>
        <w:tc>
          <w:tcPr>
            <w:tcW w:type="dxa" w:w="3969"/>
          </w:tcPr>
          <w:p>
            <w:pPr>
              <w:keepNext/>
              <w:spacing w:line="240" w:lineRule="auto" w:after="0"/>
              <w:jc w:val="left"/>
            </w:pPr>
            <w:r>
              <w:rPr>
                <w:b w:val="0"/>
                <w:i w:val="0"/>
                <w:sz w:val="20"/>
              </w:rPr>
              <w:t>linear interpolation</w:t>
            </w:r>
          </w:p>
        </w:tc>
        <w:tc>
          <w:tcPr>
            <w:tcW w:type="dxa" w:w="1984"/>
          </w:tcPr>
          <w:p>
            <w:pPr>
              <w:keepNext/>
              <w:spacing w:line="240" w:lineRule="auto" w:after="0"/>
              <w:jc w:val="center"/>
            </w:pPr>
            <w:r>
              <w:rPr>
                <w:b w:val="0"/>
                <w:i w:val="0"/>
                <w:sz w:val="20"/>
              </w:rPr>
              <w:t>5.25, 7.75</w:t>
            </w:r>
          </w:p>
        </w:tc>
      </w:tr>
      <w:tr>
        <w:trPr>
          <w:cantSplit w:val="true"/>
        </w:trPr>
        <w:tc>
          <w:tcPr>
            <w:tcW w:type="dxa" w:w="2551"/>
          </w:tcPr>
          <w:p>
            <w:pPr>
              <w:keepNext/>
              <w:spacing w:line="240" w:lineRule="auto" w:after="0"/>
              <w:jc w:val="center"/>
            </w:pPr>
            <w:r>
              <w:rPr>
                <w:b w:val="0"/>
                <w:i w:val="0"/>
                <w:sz w:val="20"/>
              </w:rPr>
              <w:t>IQR (Tukey)</w:t>
            </w:r>
          </w:p>
        </w:tc>
        <w:tc>
          <w:tcPr>
            <w:tcW w:type="dxa" w:w="3969"/>
          </w:tcPr>
          <w:p>
            <w:pPr>
              <w:keepNext/>
              <w:spacing w:line="240" w:lineRule="auto" w:after="0"/>
              <w:jc w:val="center"/>
            </w:pPr>
            <w:r>
              <w:rPr>
                <w:b w:val="0"/>
                <w:i w:val="0"/>
                <w:sz w:val="20"/>
              </w:rPr>
              <w:t>Q3 - Q1</w:t>
            </w:r>
          </w:p>
        </w:tc>
        <w:tc>
          <w:tcPr>
            <w:tcW w:type="dxa" w:w="1984"/>
          </w:tcPr>
          <w:p>
            <w:pPr>
              <w:keepNext/>
              <w:spacing w:line="240" w:lineRule="auto" w:after="0"/>
              <w:jc w:val="center"/>
            </w:pPr>
            <w:r>
              <w:rPr>
                <w:b w:val="0"/>
                <w:i w:val="0"/>
                <w:sz w:val="20"/>
              </w:rPr>
              <w:t>3.00</w:t>
            </w:r>
          </w:p>
        </w:tc>
      </w:tr>
      <w:tr>
        <w:trPr>
          <w:cantSplit w:val="true"/>
        </w:trPr>
        <w:tc>
          <w:tcPr>
            <w:tcW w:type="dxa" w:w="2551"/>
          </w:tcPr>
          <w:p>
            <w:pPr>
              <w:keepNext/>
              <w:spacing w:line="240" w:lineRule="auto" w:after="0"/>
              <w:jc w:val="center"/>
            </w:pPr>
            <w:r>
              <w:rPr>
                <w:b w:val="0"/>
                <w:i w:val="0"/>
                <w:sz w:val="20"/>
              </w:rPr>
              <w:t>Skewness G1</w:t>
            </w:r>
          </w:p>
        </w:tc>
        <w:tc>
          <w:tcPr>
            <w:tcW w:type="dxa" w:w="3969"/>
          </w:tcPr>
          <w:p>
            <w:pPr>
              <w:keepNext/>
              <w:spacing w:line="240" w:lineRule="auto" w:after="0"/>
              <w:jc w:val="left"/>
            </w:pPr>
            <w:r>
              <w:rPr>
                <w:b w:val="0"/>
                <w:i w:val="0"/>
                <w:sz w:val="20"/>
              </w:rPr>
              <w:t>adjusted Fisher-Pearson</w:t>
            </w:r>
          </w:p>
        </w:tc>
        <w:tc>
          <w:tcPr>
            <w:tcW w:type="dxa" w:w="1984"/>
          </w:tcPr>
          <w:p>
            <w:pPr>
              <w:keepNext/>
              <w:spacing w:line="240" w:lineRule="auto" w:after="0"/>
              <w:jc w:val="center"/>
            </w:pPr>
            <w:r>
              <w:rPr>
                <w:b w:val="0"/>
                <w:i w:val="0"/>
                <w:sz w:val="20"/>
              </w:rPr>
              <w:t>1.8026</w:t>
            </w:r>
          </w:p>
        </w:tc>
      </w:tr>
      <w:tr>
        <w:trPr>
          <w:cantSplit w:val="true"/>
        </w:trPr>
        <w:tc>
          <w:tcPr>
            <w:tcW w:type="dxa" w:w="2551"/>
          </w:tcPr>
          <w:p>
            <w:pPr>
              <w:keepNext/>
              <w:spacing w:line="240" w:lineRule="auto" w:after="0"/>
              <w:jc w:val="left"/>
            </w:pPr>
            <w:r>
              <w:rPr>
                <w:b w:val="0"/>
                <w:i w:val="0"/>
                <w:sz w:val="20"/>
              </w:rPr>
              <w:t>Excess kurtosis G2</w:t>
            </w:r>
          </w:p>
        </w:tc>
        <w:tc>
          <w:tcPr>
            <w:tcW w:type="dxa" w:w="3969"/>
          </w:tcPr>
          <w:p>
            <w:pPr>
              <w:keepNext/>
              <w:spacing w:line="240" w:lineRule="auto" w:after="0"/>
              <w:jc w:val="center"/>
            </w:pPr>
            <w:r>
              <w:rPr>
                <w:b w:val="0"/>
                <w:i w:val="0"/>
                <w:sz w:val="20"/>
              </w:rPr>
              <w:t>bias-corrected</w:t>
            </w:r>
          </w:p>
        </w:tc>
        <w:tc>
          <w:tcPr>
            <w:tcW w:type="dxa" w:w="1984"/>
          </w:tcPr>
          <w:p>
            <w:pPr>
              <w:keepNext/>
              <w:spacing w:line="240" w:lineRule="auto" w:after="0"/>
              <w:jc w:val="center"/>
            </w:pPr>
            <w:r>
              <w:rPr>
                <w:b w:val="0"/>
                <w:i w:val="0"/>
                <w:sz w:val="20"/>
              </w:rPr>
              <w:t>3.8414</w:t>
            </w:r>
          </w:p>
        </w:tc>
      </w:tr>
      <w:tr>
        <w:trPr>
          <w:cantSplit w:val="true"/>
        </w:trPr>
        <w:tc>
          <w:tcPr>
            <w:tcW w:type="dxa" w:w="2551"/>
          </w:tcPr>
          <w:p>
            <w:pPr>
              <w:keepNext/>
              <w:spacing w:line="240" w:lineRule="auto" w:after="0"/>
              <w:jc w:val="left"/>
            </w:pPr>
            <w:r>
              <w:rPr>
                <w:b w:val="0"/>
                <w:i w:val="0"/>
                <w:sz w:val="20"/>
              </w:rPr>
              <w:t>Pearson kurtosis</w:t>
            </w:r>
          </w:p>
        </w:tc>
        <w:tc>
          <w:tcPr>
            <w:tcW w:type="dxa" w:w="3969"/>
          </w:tcPr>
          <w:p>
            <w:pPr>
              <w:keepNext/>
              <w:spacing w:line="240" w:lineRule="auto" w:after="0"/>
              <w:jc w:val="center"/>
            </w:pPr>
            <w:r>
              <w:rPr>
                <w:b w:val="0"/>
                <w:i w:val="0"/>
                <w:sz w:val="20"/>
              </w:rPr>
              <w:t>G2 + 3</w:t>
            </w:r>
          </w:p>
        </w:tc>
        <w:tc>
          <w:tcPr>
            <w:tcW w:type="dxa" w:w="1984"/>
          </w:tcPr>
          <w:p>
            <w:pPr>
              <w:keepNext/>
              <w:spacing w:line="240" w:lineRule="auto" w:after="0"/>
              <w:jc w:val="center"/>
            </w:pPr>
            <w:r>
              <w:rPr>
                <w:b w:val="0"/>
                <w:i w:val="0"/>
                <w:sz w:val="20"/>
              </w:rPr>
              <w:t>6.8414</w:t>
            </w:r>
          </w:p>
        </w:tc>
      </w:tr>
    </w:tbl>
    <w:p>
      <w:pPr>
        <w:spacing w:before="80" w:line="240" w:lineRule="auto"/>
        <w:jc w:val="center"/>
      </w:pPr>
      <w:r>
        <w:rPr>
          <w:sz w:val="20"/>
        </w:rPr>
        <w:t>TABLE VII: Worked example on the tutorial data set</w:t>
      </w:r>
    </w:p>
    <w:p>
      <w:pPr>
        <w:pStyle w:val="Heading3"/>
        <w:jc w:val="left"/>
      </w:pPr>
      <w:r>
        <w:t>4.2.2 Descriptive Statistics of the Audio Features</w:t>
      </w:r>
    </w:p>
    <w:p>
      <w:pPr>
        <w:jc w:val="both"/>
      </w:pPr>
      <w:r>
        <w:rPr>
          <w:b w:val="0"/>
          <w:i w:val="0"/>
        </w:rPr>
        <w:t>TABLE VIII gives the summary for all 1,204,025 tracks and Fig. 5 the distributions. Danceability and tempo are close to symmetric. Speechiness (G1 = 4.24, G2 = 22.3), liveness and duration are strongly right-skewed and heavy-tailed: most tracks are sung studio recordings of three to five minutes, with a long tail of spoken, live and very long pieces. Loudness is left-skewed (G1 = -1.28) because a minority of quiet classical and ambient tracks pulls the tail down. Acousticness and instrumentalness are platykurtic (G2 below -1) because they pile up near both 0 and 1.</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594"/>
        <w:gridCol w:w="770"/>
        <w:gridCol w:w="770"/>
        <w:gridCol w:w="770"/>
        <w:gridCol w:w="824"/>
        <w:gridCol w:w="770"/>
        <w:gridCol w:w="770"/>
        <w:gridCol w:w="770"/>
        <w:gridCol w:w="660"/>
        <w:gridCol w:w="715"/>
        <w:gridCol w:w="605"/>
      </w:tblGrid>
      <w:tr>
        <w:trPr>
          <w:tblHeader w:val="true"/>
          <w:cantSplit w:val="true"/>
        </w:trPr>
        <w:tc>
          <w:tcPr>
            <w:tcW w:type="dxa" w:w="1594"/>
          </w:tcPr>
          <w:p>
            <w:pPr>
              <w:keepNext/>
              <w:spacing w:line="240" w:lineRule="auto" w:after="0"/>
              <w:jc w:val="center"/>
            </w:pPr>
            <w:r/>
            <w:r>
              <w:rPr>
                <w:b/>
                <w:sz w:val="17"/>
              </w:rPr>
              <w:t>Feature</w:t>
            </w:r>
          </w:p>
        </w:tc>
        <w:tc>
          <w:tcPr>
            <w:tcW w:type="dxa" w:w="770"/>
          </w:tcPr>
          <w:p>
            <w:pPr>
              <w:keepNext/>
              <w:spacing w:line="240" w:lineRule="auto" w:after="0"/>
              <w:jc w:val="center"/>
            </w:pPr>
            <w:r/>
            <w:r>
              <w:rPr>
                <w:b/>
                <w:sz w:val="17"/>
              </w:rPr>
              <w:t>Mean</w:t>
            </w:r>
          </w:p>
        </w:tc>
        <w:tc>
          <w:tcPr>
            <w:tcW w:type="dxa" w:w="770"/>
          </w:tcPr>
          <w:p>
            <w:pPr>
              <w:keepNext/>
              <w:spacing w:line="240" w:lineRule="auto" w:after="0"/>
              <w:jc w:val="center"/>
            </w:pPr>
            <w:r/>
            <w:r>
              <w:rPr>
                <w:b/>
                <w:sz w:val="17"/>
              </w:rPr>
              <w:t>Median</w:t>
            </w:r>
          </w:p>
        </w:tc>
        <w:tc>
          <w:tcPr>
            <w:tcW w:type="dxa" w:w="770"/>
          </w:tcPr>
          <w:p>
            <w:pPr>
              <w:keepNext/>
              <w:spacing w:line="240" w:lineRule="auto" w:after="0"/>
              <w:jc w:val="center"/>
            </w:pPr>
            <w:r/>
            <w:r>
              <w:rPr>
                <w:b/>
                <w:sz w:val="17"/>
              </w:rPr>
              <w:t>Mode</w:t>
            </w:r>
          </w:p>
        </w:tc>
        <w:tc>
          <w:tcPr>
            <w:tcW w:type="dxa" w:w="824"/>
          </w:tcPr>
          <w:p>
            <w:pPr>
              <w:keepNext/>
              <w:spacing w:line="240" w:lineRule="auto" w:after="0"/>
              <w:jc w:val="center"/>
            </w:pPr>
            <w:r/>
            <w:r>
              <w:rPr>
                <w:b/>
                <w:sz w:val="17"/>
              </w:rPr>
              <w:t>Var (n-1)</w:t>
            </w:r>
          </w:p>
        </w:tc>
        <w:tc>
          <w:tcPr>
            <w:tcW w:type="dxa" w:w="770"/>
          </w:tcPr>
          <w:p>
            <w:pPr>
              <w:keepNext/>
              <w:spacing w:line="240" w:lineRule="auto" w:after="0"/>
              <w:jc w:val="center"/>
            </w:pPr>
            <w:r/>
            <w:r>
              <w:rPr>
                <w:b/>
                <w:sz w:val="17"/>
              </w:rPr>
              <w:t>Q1</w:t>
            </w:r>
          </w:p>
        </w:tc>
        <w:tc>
          <w:tcPr>
            <w:tcW w:type="dxa" w:w="770"/>
          </w:tcPr>
          <w:p>
            <w:pPr>
              <w:keepNext/>
              <w:spacing w:line="240" w:lineRule="auto" w:after="0"/>
              <w:jc w:val="center"/>
            </w:pPr>
            <w:r/>
            <w:r>
              <w:rPr>
                <w:b/>
                <w:sz w:val="17"/>
              </w:rPr>
              <w:t>Q3</w:t>
            </w:r>
          </w:p>
        </w:tc>
        <w:tc>
          <w:tcPr>
            <w:tcW w:type="dxa" w:w="770"/>
          </w:tcPr>
          <w:p>
            <w:pPr>
              <w:keepNext/>
              <w:spacing w:line="240" w:lineRule="auto" w:after="0"/>
              <w:jc w:val="center"/>
            </w:pPr>
            <w:r/>
            <w:r>
              <w:rPr>
                <w:b/>
                <w:sz w:val="17"/>
              </w:rPr>
              <w:t>IQR</w:t>
            </w:r>
          </w:p>
        </w:tc>
        <w:tc>
          <w:tcPr>
            <w:tcW w:type="dxa" w:w="660"/>
          </w:tcPr>
          <w:p>
            <w:pPr>
              <w:keepNext/>
              <w:spacing w:line="240" w:lineRule="auto" w:after="0"/>
              <w:jc w:val="center"/>
            </w:pPr>
            <w:r/>
            <w:r>
              <w:rPr>
                <w:b/>
                <w:sz w:val="17"/>
              </w:rPr>
              <w:t>G1</w:t>
            </w:r>
          </w:p>
        </w:tc>
        <w:tc>
          <w:tcPr>
            <w:tcW w:type="dxa" w:w="715"/>
          </w:tcPr>
          <w:p>
            <w:pPr>
              <w:keepNext/>
              <w:spacing w:line="240" w:lineRule="auto" w:after="0"/>
              <w:jc w:val="center"/>
            </w:pPr>
            <w:r/>
            <w:r>
              <w:rPr>
                <w:b/>
                <w:sz w:val="17"/>
              </w:rPr>
              <w:t>G2</w:t>
            </w:r>
          </w:p>
        </w:tc>
        <w:tc>
          <w:tcPr>
            <w:tcW w:type="dxa" w:w="605"/>
          </w:tcPr>
          <w:p>
            <w:pPr>
              <w:keepNext/>
              <w:spacing w:line="240" w:lineRule="auto" w:after="0"/>
              <w:jc w:val="center"/>
            </w:pPr>
            <w:r/>
            <w:r>
              <w:rPr>
                <w:b/>
                <w:sz w:val="17"/>
              </w:rPr>
              <w:t>CV</w:t>
            </w:r>
          </w:p>
        </w:tc>
      </w:tr>
      <w:tr>
        <w:trPr>
          <w:cantSplit w:val="true"/>
        </w:trPr>
        <w:tc>
          <w:tcPr>
            <w:tcW w:type="dxa" w:w="1594"/>
          </w:tcPr>
          <w:p>
            <w:pPr>
              <w:keepNext/>
              <w:spacing w:line="240" w:lineRule="auto" w:after="0"/>
              <w:jc w:val="center"/>
            </w:pPr>
            <w:r>
              <w:rPr>
                <w:b w:val="0"/>
                <w:i w:val="0"/>
                <w:sz w:val="17"/>
              </w:rPr>
              <w:t>danceability</w:t>
            </w:r>
          </w:p>
        </w:tc>
        <w:tc>
          <w:tcPr>
            <w:tcW w:type="dxa" w:w="770"/>
          </w:tcPr>
          <w:p>
            <w:pPr>
              <w:keepNext/>
              <w:spacing w:line="240" w:lineRule="auto" w:after="0"/>
              <w:jc w:val="center"/>
            </w:pPr>
            <w:r>
              <w:rPr>
                <w:b w:val="0"/>
                <w:i w:val="0"/>
                <w:sz w:val="17"/>
              </w:rPr>
              <w:t>0.493</w:t>
            </w:r>
          </w:p>
        </w:tc>
        <w:tc>
          <w:tcPr>
            <w:tcW w:type="dxa" w:w="770"/>
          </w:tcPr>
          <w:p>
            <w:pPr>
              <w:keepNext/>
              <w:spacing w:line="240" w:lineRule="auto" w:after="0"/>
              <w:jc w:val="center"/>
            </w:pPr>
            <w:r>
              <w:rPr>
                <w:b w:val="0"/>
                <w:i w:val="0"/>
                <w:sz w:val="17"/>
              </w:rPr>
              <w:t>0.501</w:t>
            </w:r>
          </w:p>
        </w:tc>
        <w:tc>
          <w:tcPr>
            <w:tcW w:type="dxa" w:w="770"/>
          </w:tcPr>
          <w:p>
            <w:pPr>
              <w:keepNext/>
              <w:spacing w:line="240" w:lineRule="auto" w:after="0"/>
              <w:jc w:val="center"/>
            </w:pPr>
            <w:r>
              <w:rPr>
                <w:b w:val="0"/>
                <w:i w:val="0"/>
                <w:sz w:val="17"/>
              </w:rPr>
              <w:t>0.000</w:t>
            </w:r>
          </w:p>
        </w:tc>
        <w:tc>
          <w:tcPr>
            <w:tcW w:type="dxa" w:w="824"/>
          </w:tcPr>
          <w:p>
            <w:pPr>
              <w:keepNext/>
              <w:spacing w:line="240" w:lineRule="auto" w:after="0"/>
              <w:jc w:val="center"/>
            </w:pPr>
            <w:r>
              <w:rPr>
                <w:b w:val="0"/>
                <w:i w:val="0"/>
                <w:sz w:val="17"/>
              </w:rPr>
              <w:t>0.036</w:t>
            </w:r>
          </w:p>
        </w:tc>
        <w:tc>
          <w:tcPr>
            <w:tcW w:type="dxa" w:w="770"/>
          </w:tcPr>
          <w:p>
            <w:pPr>
              <w:keepNext/>
              <w:spacing w:line="240" w:lineRule="auto" w:after="0"/>
              <w:jc w:val="center"/>
            </w:pPr>
            <w:r>
              <w:rPr>
                <w:b w:val="0"/>
                <w:i w:val="0"/>
                <w:sz w:val="17"/>
              </w:rPr>
              <w:t>0.356</w:t>
            </w:r>
          </w:p>
        </w:tc>
        <w:tc>
          <w:tcPr>
            <w:tcW w:type="dxa" w:w="770"/>
          </w:tcPr>
          <w:p>
            <w:pPr>
              <w:keepNext/>
              <w:spacing w:line="240" w:lineRule="auto" w:after="0"/>
              <w:jc w:val="center"/>
            </w:pPr>
            <w:r>
              <w:rPr>
                <w:b w:val="0"/>
                <w:i w:val="0"/>
                <w:sz w:val="17"/>
              </w:rPr>
              <w:t>0.633</w:t>
            </w:r>
          </w:p>
        </w:tc>
        <w:tc>
          <w:tcPr>
            <w:tcW w:type="dxa" w:w="770"/>
          </w:tcPr>
          <w:p>
            <w:pPr>
              <w:keepNext/>
              <w:spacing w:line="240" w:lineRule="auto" w:after="0"/>
              <w:jc w:val="center"/>
            </w:pPr>
            <w:r>
              <w:rPr>
                <w:b w:val="0"/>
                <w:i w:val="0"/>
                <w:sz w:val="17"/>
              </w:rPr>
              <w:t>0.277</w:t>
            </w:r>
          </w:p>
        </w:tc>
        <w:tc>
          <w:tcPr>
            <w:tcW w:type="dxa" w:w="660"/>
          </w:tcPr>
          <w:p>
            <w:pPr>
              <w:keepNext/>
              <w:spacing w:line="240" w:lineRule="auto" w:after="0"/>
              <w:jc w:val="center"/>
            </w:pPr>
            <w:r>
              <w:rPr>
                <w:b w:val="0"/>
                <w:i w:val="0"/>
                <w:sz w:val="17"/>
              </w:rPr>
              <w:t>-0.10</w:t>
            </w:r>
          </w:p>
        </w:tc>
        <w:tc>
          <w:tcPr>
            <w:tcW w:type="dxa" w:w="715"/>
          </w:tcPr>
          <w:p>
            <w:pPr>
              <w:keepNext/>
              <w:spacing w:line="240" w:lineRule="auto" w:after="0"/>
              <w:jc w:val="center"/>
            </w:pPr>
            <w:r>
              <w:rPr>
                <w:b w:val="0"/>
                <w:i w:val="0"/>
                <w:sz w:val="17"/>
              </w:rPr>
              <w:t>-0.61</w:t>
            </w:r>
          </w:p>
        </w:tc>
        <w:tc>
          <w:tcPr>
            <w:tcW w:type="dxa" w:w="605"/>
          </w:tcPr>
          <w:p>
            <w:pPr>
              <w:keepNext/>
              <w:spacing w:line="240" w:lineRule="auto" w:after="0"/>
              <w:jc w:val="center"/>
            </w:pPr>
            <w:r>
              <w:rPr>
                <w:b w:val="0"/>
                <w:i w:val="0"/>
                <w:sz w:val="17"/>
              </w:rPr>
              <w:t>0.38</w:t>
            </w:r>
          </w:p>
        </w:tc>
      </w:tr>
      <w:tr>
        <w:trPr>
          <w:cantSplit w:val="true"/>
        </w:trPr>
        <w:tc>
          <w:tcPr>
            <w:tcW w:type="dxa" w:w="1594"/>
          </w:tcPr>
          <w:p>
            <w:pPr>
              <w:keepNext/>
              <w:spacing w:line="240" w:lineRule="auto" w:after="0"/>
              <w:jc w:val="center"/>
            </w:pPr>
            <w:r>
              <w:rPr>
                <w:b w:val="0"/>
                <w:i w:val="0"/>
                <w:sz w:val="17"/>
              </w:rPr>
              <w:t>energy</w:t>
            </w:r>
          </w:p>
        </w:tc>
        <w:tc>
          <w:tcPr>
            <w:tcW w:type="dxa" w:w="770"/>
          </w:tcPr>
          <w:p>
            <w:pPr>
              <w:keepNext/>
              <w:spacing w:line="240" w:lineRule="auto" w:after="0"/>
              <w:jc w:val="center"/>
            </w:pPr>
            <w:r>
              <w:rPr>
                <w:b w:val="0"/>
                <w:i w:val="0"/>
                <w:sz w:val="17"/>
              </w:rPr>
              <w:t>0.510</w:t>
            </w:r>
          </w:p>
        </w:tc>
        <w:tc>
          <w:tcPr>
            <w:tcW w:type="dxa" w:w="770"/>
          </w:tcPr>
          <w:p>
            <w:pPr>
              <w:keepNext/>
              <w:spacing w:line="240" w:lineRule="auto" w:after="0"/>
              <w:jc w:val="center"/>
            </w:pPr>
            <w:r>
              <w:rPr>
                <w:b w:val="0"/>
                <w:i w:val="0"/>
                <w:sz w:val="17"/>
              </w:rPr>
              <w:t>0.524</w:t>
            </w:r>
          </w:p>
        </w:tc>
        <w:tc>
          <w:tcPr>
            <w:tcW w:type="dxa" w:w="770"/>
          </w:tcPr>
          <w:p>
            <w:pPr>
              <w:keepNext/>
              <w:spacing w:line="240" w:lineRule="auto" w:after="0"/>
              <w:jc w:val="center"/>
            </w:pPr>
            <w:r>
              <w:rPr>
                <w:b w:val="0"/>
                <w:i w:val="0"/>
                <w:sz w:val="17"/>
              </w:rPr>
              <w:t>0.032</w:t>
            </w:r>
          </w:p>
        </w:tc>
        <w:tc>
          <w:tcPr>
            <w:tcW w:type="dxa" w:w="824"/>
          </w:tcPr>
          <w:p>
            <w:pPr>
              <w:keepNext/>
              <w:spacing w:line="240" w:lineRule="auto" w:after="0"/>
              <w:jc w:val="center"/>
            </w:pPr>
            <w:r>
              <w:rPr>
                <w:b w:val="0"/>
                <w:i w:val="0"/>
                <w:sz w:val="17"/>
              </w:rPr>
              <w:t>0.087</w:t>
            </w:r>
          </w:p>
        </w:tc>
        <w:tc>
          <w:tcPr>
            <w:tcW w:type="dxa" w:w="770"/>
          </w:tcPr>
          <w:p>
            <w:pPr>
              <w:keepNext/>
              <w:spacing w:line="240" w:lineRule="auto" w:after="0"/>
              <w:jc w:val="center"/>
            </w:pPr>
            <w:r>
              <w:rPr>
                <w:b w:val="0"/>
                <w:i w:val="0"/>
                <w:sz w:val="17"/>
              </w:rPr>
              <w:t>0.252</w:t>
            </w:r>
          </w:p>
        </w:tc>
        <w:tc>
          <w:tcPr>
            <w:tcW w:type="dxa" w:w="770"/>
          </w:tcPr>
          <w:p>
            <w:pPr>
              <w:keepNext/>
              <w:spacing w:line="240" w:lineRule="auto" w:after="0"/>
              <w:jc w:val="center"/>
            </w:pPr>
            <w:r>
              <w:rPr>
                <w:b w:val="0"/>
                <w:i w:val="0"/>
                <w:sz w:val="17"/>
              </w:rPr>
              <w:t>0.766</w:t>
            </w:r>
          </w:p>
        </w:tc>
        <w:tc>
          <w:tcPr>
            <w:tcW w:type="dxa" w:w="770"/>
          </w:tcPr>
          <w:p>
            <w:pPr>
              <w:keepNext/>
              <w:spacing w:line="240" w:lineRule="auto" w:after="0"/>
              <w:jc w:val="center"/>
            </w:pPr>
            <w:r>
              <w:rPr>
                <w:b w:val="0"/>
                <w:i w:val="0"/>
                <w:sz w:val="17"/>
              </w:rPr>
              <w:t>0.514</w:t>
            </w:r>
          </w:p>
        </w:tc>
        <w:tc>
          <w:tcPr>
            <w:tcW w:type="dxa" w:w="660"/>
          </w:tcPr>
          <w:p>
            <w:pPr>
              <w:keepNext/>
              <w:spacing w:line="240" w:lineRule="auto" w:after="0"/>
              <w:jc w:val="center"/>
            </w:pPr>
            <w:r>
              <w:rPr>
                <w:b w:val="0"/>
                <w:i w:val="0"/>
                <w:sz w:val="17"/>
              </w:rPr>
              <w:t>-0.09</w:t>
            </w:r>
          </w:p>
        </w:tc>
        <w:tc>
          <w:tcPr>
            <w:tcW w:type="dxa" w:w="715"/>
          </w:tcPr>
          <w:p>
            <w:pPr>
              <w:keepNext/>
              <w:spacing w:line="240" w:lineRule="auto" w:after="0"/>
              <w:jc w:val="center"/>
            </w:pPr>
            <w:r>
              <w:rPr>
                <w:b w:val="0"/>
                <w:i w:val="0"/>
                <w:sz w:val="17"/>
              </w:rPr>
              <w:t>-1.22</w:t>
            </w:r>
          </w:p>
        </w:tc>
        <w:tc>
          <w:tcPr>
            <w:tcW w:type="dxa" w:w="605"/>
          </w:tcPr>
          <w:p>
            <w:pPr>
              <w:keepNext/>
              <w:spacing w:line="240" w:lineRule="auto" w:after="0"/>
              <w:jc w:val="center"/>
            </w:pPr>
            <w:r>
              <w:rPr>
                <w:b w:val="0"/>
                <w:i w:val="0"/>
                <w:sz w:val="17"/>
              </w:rPr>
              <w:t>0.58</w:t>
            </w:r>
          </w:p>
        </w:tc>
      </w:tr>
      <w:tr>
        <w:trPr>
          <w:cantSplit w:val="true"/>
        </w:trPr>
        <w:tc>
          <w:tcPr>
            <w:tcW w:type="dxa" w:w="1594"/>
          </w:tcPr>
          <w:p>
            <w:pPr>
              <w:keepNext/>
              <w:spacing w:line="240" w:lineRule="auto" w:after="0"/>
              <w:jc w:val="center"/>
            </w:pPr>
            <w:r>
              <w:rPr>
                <w:b w:val="0"/>
                <w:i w:val="0"/>
                <w:sz w:val="17"/>
              </w:rPr>
              <w:t>loudness</w:t>
            </w:r>
          </w:p>
        </w:tc>
        <w:tc>
          <w:tcPr>
            <w:tcW w:type="dxa" w:w="770"/>
          </w:tcPr>
          <w:p>
            <w:pPr>
              <w:keepNext/>
              <w:spacing w:line="240" w:lineRule="auto" w:after="0"/>
              <w:jc w:val="center"/>
            </w:pPr>
            <w:r>
              <w:rPr>
                <w:b w:val="0"/>
                <w:i w:val="0"/>
                <w:sz w:val="17"/>
              </w:rPr>
              <w:t>-11.809</w:t>
            </w:r>
          </w:p>
        </w:tc>
        <w:tc>
          <w:tcPr>
            <w:tcW w:type="dxa" w:w="770"/>
          </w:tcPr>
          <w:p>
            <w:pPr>
              <w:keepNext/>
              <w:spacing w:line="240" w:lineRule="auto" w:after="0"/>
              <w:jc w:val="center"/>
            </w:pPr>
            <w:r>
              <w:rPr>
                <w:b w:val="0"/>
                <w:i w:val="0"/>
                <w:sz w:val="17"/>
              </w:rPr>
              <w:t>-9.791</w:t>
            </w:r>
          </w:p>
        </w:tc>
        <w:tc>
          <w:tcPr>
            <w:tcW w:type="dxa" w:w="770"/>
          </w:tcPr>
          <w:p>
            <w:pPr>
              <w:keepNext/>
              <w:spacing w:line="240" w:lineRule="auto" w:after="0"/>
              <w:jc w:val="center"/>
            </w:pPr>
            <w:r>
              <w:rPr>
                <w:b w:val="0"/>
                <w:i w:val="0"/>
                <w:sz w:val="17"/>
              </w:rPr>
              <w:t>-60.000</w:t>
            </w:r>
          </w:p>
        </w:tc>
        <w:tc>
          <w:tcPr>
            <w:tcW w:type="dxa" w:w="824"/>
          </w:tcPr>
          <w:p>
            <w:pPr>
              <w:keepNext/>
              <w:spacing w:line="240" w:lineRule="auto" w:after="0"/>
              <w:jc w:val="center"/>
            </w:pPr>
            <w:r>
              <w:rPr>
                <w:b w:val="0"/>
                <w:i w:val="0"/>
                <w:sz w:val="17"/>
              </w:rPr>
              <w:t>48.750</w:t>
            </w:r>
          </w:p>
        </w:tc>
        <w:tc>
          <w:tcPr>
            <w:tcW w:type="dxa" w:w="770"/>
          </w:tcPr>
          <w:p>
            <w:pPr>
              <w:keepNext/>
              <w:spacing w:line="240" w:lineRule="auto" w:after="0"/>
              <w:jc w:val="center"/>
            </w:pPr>
            <w:r>
              <w:rPr>
                <w:b w:val="0"/>
                <w:i w:val="0"/>
                <w:sz w:val="17"/>
              </w:rPr>
              <w:t>-15.254</w:t>
            </w:r>
          </w:p>
        </w:tc>
        <w:tc>
          <w:tcPr>
            <w:tcW w:type="dxa" w:w="770"/>
          </w:tcPr>
          <w:p>
            <w:pPr>
              <w:keepNext/>
              <w:spacing w:line="240" w:lineRule="auto" w:after="0"/>
              <w:jc w:val="center"/>
            </w:pPr>
            <w:r>
              <w:rPr>
                <w:b w:val="0"/>
                <w:i w:val="0"/>
                <w:sz w:val="17"/>
              </w:rPr>
              <w:t>-6.717</w:t>
            </w:r>
          </w:p>
        </w:tc>
        <w:tc>
          <w:tcPr>
            <w:tcW w:type="dxa" w:w="770"/>
          </w:tcPr>
          <w:p>
            <w:pPr>
              <w:keepNext/>
              <w:spacing w:line="240" w:lineRule="auto" w:after="0"/>
              <w:jc w:val="center"/>
            </w:pPr>
            <w:r>
              <w:rPr>
                <w:b w:val="0"/>
                <w:i w:val="0"/>
                <w:sz w:val="17"/>
              </w:rPr>
              <w:t>8.537</w:t>
            </w:r>
          </w:p>
        </w:tc>
        <w:tc>
          <w:tcPr>
            <w:tcW w:type="dxa" w:w="660"/>
          </w:tcPr>
          <w:p>
            <w:pPr>
              <w:keepNext/>
              <w:spacing w:line="240" w:lineRule="auto" w:after="0"/>
              <w:jc w:val="center"/>
            </w:pPr>
            <w:r>
              <w:rPr>
                <w:b w:val="0"/>
                <w:i w:val="0"/>
                <w:sz w:val="17"/>
              </w:rPr>
              <w:t>-1.28</w:t>
            </w:r>
          </w:p>
        </w:tc>
        <w:tc>
          <w:tcPr>
            <w:tcW w:type="dxa" w:w="715"/>
          </w:tcPr>
          <w:p>
            <w:pPr>
              <w:keepNext/>
              <w:spacing w:line="240" w:lineRule="auto" w:after="0"/>
              <w:jc w:val="center"/>
            </w:pPr>
            <w:r>
              <w:rPr>
                <w:b w:val="0"/>
                <w:i w:val="0"/>
                <w:sz w:val="17"/>
              </w:rPr>
              <w:t>1.78</w:t>
            </w:r>
          </w:p>
        </w:tc>
        <w:tc>
          <w:tcPr>
            <w:tcW w:type="dxa" w:w="605"/>
          </w:tcPr>
          <w:p>
            <w:pPr>
              <w:keepNext/>
              <w:spacing w:line="240" w:lineRule="auto" w:after="0"/>
              <w:jc w:val="center"/>
            </w:pPr>
            <w:r>
              <w:rPr>
                <w:b w:val="0"/>
                <w:i w:val="0"/>
                <w:sz w:val="17"/>
              </w:rPr>
              <w:t>-0.59</w:t>
            </w:r>
          </w:p>
        </w:tc>
      </w:tr>
      <w:tr>
        <w:trPr>
          <w:cantSplit w:val="true"/>
        </w:trPr>
        <w:tc>
          <w:tcPr>
            <w:tcW w:type="dxa" w:w="1594"/>
          </w:tcPr>
          <w:p>
            <w:pPr>
              <w:keepNext/>
              <w:spacing w:line="240" w:lineRule="auto" w:after="0"/>
              <w:jc w:val="center"/>
            </w:pPr>
            <w:r>
              <w:rPr>
                <w:b w:val="0"/>
                <w:i w:val="0"/>
                <w:sz w:val="17"/>
              </w:rPr>
              <w:t>speechiness</w:t>
            </w:r>
          </w:p>
        </w:tc>
        <w:tc>
          <w:tcPr>
            <w:tcW w:type="dxa" w:w="770"/>
          </w:tcPr>
          <w:p>
            <w:pPr>
              <w:keepNext/>
              <w:spacing w:line="240" w:lineRule="auto" w:after="0"/>
              <w:jc w:val="center"/>
            </w:pPr>
            <w:r>
              <w:rPr>
                <w:b w:val="0"/>
                <w:i w:val="0"/>
                <w:sz w:val="17"/>
              </w:rPr>
              <w:t>0.084</w:t>
            </w:r>
          </w:p>
        </w:tc>
        <w:tc>
          <w:tcPr>
            <w:tcW w:type="dxa" w:w="770"/>
          </w:tcPr>
          <w:p>
            <w:pPr>
              <w:keepNext/>
              <w:spacing w:line="240" w:lineRule="auto" w:after="0"/>
              <w:jc w:val="center"/>
            </w:pPr>
            <w:r>
              <w:rPr>
                <w:b w:val="0"/>
                <w:i w:val="0"/>
                <w:sz w:val="17"/>
              </w:rPr>
              <w:t>0.045</w:t>
            </w:r>
          </w:p>
        </w:tc>
        <w:tc>
          <w:tcPr>
            <w:tcW w:type="dxa" w:w="770"/>
          </w:tcPr>
          <w:p>
            <w:pPr>
              <w:keepNext/>
              <w:spacing w:line="240" w:lineRule="auto" w:after="0"/>
              <w:jc w:val="center"/>
            </w:pPr>
            <w:r>
              <w:rPr>
                <w:b w:val="0"/>
                <w:i w:val="0"/>
                <w:sz w:val="17"/>
              </w:rPr>
              <w:t>0.034</w:t>
            </w:r>
          </w:p>
        </w:tc>
        <w:tc>
          <w:tcPr>
            <w:tcW w:type="dxa" w:w="824"/>
          </w:tcPr>
          <w:p>
            <w:pPr>
              <w:keepNext/>
              <w:spacing w:line="240" w:lineRule="auto" w:after="0"/>
              <w:jc w:val="center"/>
            </w:pPr>
            <w:r>
              <w:rPr>
                <w:b w:val="0"/>
                <w:i w:val="0"/>
                <w:sz w:val="17"/>
              </w:rPr>
              <w:t>0.013</w:t>
            </w:r>
          </w:p>
        </w:tc>
        <w:tc>
          <w:tcPr>
            <w:tcW w:type="dxa" w:w="770"/>
          </w:tcPr>
          <w:p>
            <w:pPr>
              <w:keepNext/>
              <w:spacing w:line="240" w:lineRule="auto" w:after="0"/>
              <w:jc w:val="center"/>
            </w:pPr>
            <w:r>
              <w:rPr>
                <w:b w:val="0"/>
                <w:i w:val="0"/>
                <w:sz w:val="17"/>
              </w:rPr>
              <w:t>0.035</w:t>
            </w:r>
          </w:p>
        </w:tc>
        <w:tc>
          <w:tcPr>
            <w:tcW w:type="dxa" w:w="770"/>
          </w:tcPr>
          <w:p>
            <w:pPr>
              <w:keepNext/>
              <w:spacing w:line="240" w:lineRule="auto" w:after="0"/>
              <w:jc w:val="center"/>
            </w:pPr>
            <w:r>
              <w:rPr>
                <w:b w:val="0"/>
                <w:i w:val="0"/>
                <w:sz w:val="17"/>
              </w:rPr>
              <w:t>0.072</w:t>
            </w:r>
          </w:p>
        </w:tc>
        <w:tc>
          <w:tcPr>
            <w:tcW w:type="dxa" w:w="770"/>
          </w:tcPr>
          <w:p>
            <w:pPr>
              <w:keepNext/>
              <w:spacing w:line="240" w:lineRule="auto" w:after="0"/>
              <w:jc w:val="center"/>
            </w:pPr>
            <w:r>
              <w:rPr>
                <w:b w:val="0"/>
                <w:i w:val="0"/>
                <w:sz w:val="17"/>
              </w:rPr>
              <w:t>0.037</w:t>
            </w:r>
          </w:p>
        </w:tc>
        <w:tc>
          <w:tcPr>
            <w:tcW w:type="dxa" w:w="660"/>
          </w:tcPr>
          <w:p>
            <w:pPr>
              <w:keepNext/>
              <w:spacing w:line="240" w:lineRule="auto" w:after="0"/>
              <w:jc w:val="center"/>
            </w:pPr>
            <w:r>
              <w:rPr>
                <w:b w:val="0"/>
                <w:i w:val="0"/>
                <w:sz w:val="17"/>
              </w:rPr>
              <w:t>4.24</w:t>
            </w:r>
          </w:p>
        </w:tc>
        <w:tc>
          <w:tcPr>
            <w:tcW w:type="dxa" w:w="715"/>
          </w:tcPr>
          <w:p>
            <w:pPr>
              <w:keepNext/>
              <w:spacing w:line="240" w:lineRule="auto" w:after="0"/>
              <w:jc w:val="center"/>
            </w:pPr>
            <w:r>
              <w:rPr>
                <w:b w:val="0"/>
                <w:i w:val="0"/>
                <w:sz w:val="17"/>
              </w:rPr>
              <w:t>22.35</w:t>
            </w:r>
          </w:p>
        </w:tc>
        <w:tc>
          <w:tcPr>
            <w:tcW w:type="dxa" w:w="605"/>
          </w:tcPr>
          <w:p>
            <w:pPr>
              <w:keepNext/>
              <w:spacing w:line="240" w:lineRule="auto" w:after="0"/>
              <w:jc w:val="center"/>
            </w:pPr>
            <w:r>
              <w:rPr>
                <w:b w:val="0"/>
                <w:i w:val="0"/>
                <w:sz w:val="17"/>
              </w:rPr>
              <w:t>1.37</w:t>
            </w:r>
          </w:p>
        </w:tc>
      </w:tr>
      <w:tr>
        <w:trPr>
          <w:cantSplit w:val="true"/>
        </w:trPr>
        <w:tc>
          <w:tcPr>
            <w:tcW w:type="dxa" w:w="1594"/>
          </w:tcPr>
          <w:p>
            <w:pPr>
              <w:keepNext/>
              <w:spacing w:line="240" w:lineRule="auto" w:after="0"/>
              <w:jc w:val="center"/>
            </w:pPr>
            <w:r>
              <w:rPr>
                <w:b w:val="0"/>
                <w:i w:val="0"/>
                <w:sz w:val="17"/>
              </w:rPr>
              <w:t>acousticness</w:t>
            </w:r>
          </w:p>
        </w:tc>
        <w:tc>
          <w:tcPr>
            <w:tcW w:type="dxa" w:w="770"/>
          </w:tcPr>
          <w:p>
            <w:pPr>
              <w:keepNext/>
              <w:spacing w:line="240" w:lineRule="auto" w:after="0"/>
              <w:jc w:val="center"/>
            </w:pPr>
            <w:r>
              <w:rPr>
                <w:b w:val="0"/>
                <w:i w:val="0"/>
                <w:sz w:val="17"/>
              </w:rPr>
              <w:t>0.447</w:t>
            </w:r>
          </w:p>
        </w:tc>
        <w:tc>
          <w:tcPr>
            <w:tcW w:type="dxa" w:w="770"/>
          </w:tcPr>
          <w:p>
            <w:pPr>
              <w:keepNext/>
              <w:spacing w:line="240" w:lineRule="auto" w:after="0"/>
              <w:jc w:val="center"/>
            </w:pPr>
            <w:r>
              <w:rPr>
                <w:b w:val="0"/>
                <w:i w:val="0"/>
                <w:sz w:val="17"/>
              </w:rPr>
              <w:t>0.389</w:t>
            </w:r>
          </w:p>
        </w:tc>
        <w:tc>
          <w:tcPr>
            <w:tcW w:type="dxa" w:w="770"/>
          </w:tcPr>
          <w:p>
            <w:pPr>
              <w:keepNext/>
              <w:spacing w:line="240" w:lineRule="auto" w:after="0"/>
              <w:jc w:val="center"/>
            </w:pPr>
            <w:r>
              <w:rPr>
                <w:b w:val="0"/>
                <w:i w:val="0"/>
                <w:sz w:val="17"/>
              </w:rPr>
              <w:t>0.000</w:t>
            </w:r>
          </w:p>
        </w:tc>
        <w:tc>
          <w:tcPr>
            <w:tcW w:type="dxa" w:w="824"/>
          </w:tcPr>
          <w:p>
            <w:pPr>
              <w:keepNext/>
              <w:spacing w:line="240" w:lineRule="auto" w:after="0"/>
              <w:jc w:val="center"/>
            </w:pPr>
            <w:r>
              <w:rPr>
                <w:b w:val="0"/>
                <w:i w:val="0"/>
                <w:sz w:val="17"/>
              </w:rPr>
              <w:t>0.148</w:t>
            </w:r>
          </w:p>
        </w:tc>
        <w:tc>
          <w:tcPr>
            <w:tcW w:type="dxa" w:w="770"/>
          </w:tcPr>
          <w:p>
            <w:pPr>
              <w:keepNext/>
              <w:spacing w:line="240" w:lineRule="auto" w:after="0"/>
              <w:jc w:val="center"/>
            </w:pPr>
            <w:r>
              <w:rPr>
                <w:b w:val="0"/>
                <w:i w:val="0"/>
                <w:sz w:val="17"/>
              </w:rPr>
              <w:t>0.038</w:t>
            </w:r>
          </w:p>
        </w:tc>
        <w:tc>
          <w:tcPr>
            <w:tcW w:type="dxa" w:w="770"/>
          </w:tcPr>
          <w:p>
            <w:pPr>
              <w:keepNext/>
              <w:spacing w:line="240" w:lineRule="auto" w:after="0"/>
              <w:jc w:val="center"/>
            </w:pPr>
            <w:r>
              <w:rPr>
                <w:b w:val="0"/>
                <w:i w:val="0"/>
                <w:sz w:val="17"/>
              </w:rPr>
              <w:t>0.861</w:t>
            </w:r>
          </w:p>
        </w:tc>
        <w:tc>
          <w:tcPr>
            <w:tcW w:type="dxa" w:w="770"/>
          </w:tcPr>
          <w:p>
            <w:pPr>
              <w:keepNext/>
              <w:spacing w:line="240" w:lineRule="auto" w:after="0"/>
              <w:jc w:val="center"/>
            </w:pPr>
            <w:r>
              <w:rPr>
                <w:b w:val="0"/>
                <w:i w:val="0"/>
                <w:sz w:val="17"/>
              </w:rPr>
              <w:t>0.823</w:t>
            </w:r>
          </w:p>
        </w:tc>
        <w:tc>
          <w:tcPr>
            <w:tcW w:type="dxa" w:w="660"/>
          </w:tcPr>
          <w:p>
            <w:pPr>
              <w:keepNext/>
              <w:spacing w:line="240" w:lineRule="auto" w:after="0"/>
              <w:jc w:val="center"/>
            </w:pPr>
            <w:r>
              <w:rPr>
                <w:b w:val="0"/>
                <w:i w:val="0"/>
                <w:sz w:val="17"/>
              </w:rPr>
              <w:t>0.16</w:t>
            </w:r>
          </w:p>
        </w:tc>
        <w:tc>
          <w:tcPr>
            <w:tcW w:type="dxa" w:w="715"/>
          </w:tcPr>
          <w:p>
            <w:pPr>
              <w:keepNext/>
              <w:spacing w:line="240" w:lineRule="auto" w:after="0"/>
              <w:jc w:val="center"/>
            </w:pPr>
            <w:r>
              <w:rPr>
                <w:b w:val="0"/>
                <w:i w:val="0"/>
                <w:sz w:val="17"/>
              </w:rPr>
              <w:t>-1.64</w:t>
            </w:r>
          </w:p>
        </w:tc>
        <w:tc>
          <w:tcPr>
            <w:tcW w:type="dxa" w:w="605"/>
          </w:tcPr>
          <w:p>
            <w:pPr>
              <w:keepNext/>
              <w:spacing w:line="240" w:lineRule="auto" w:after="0"/>
              <w:jc w:val="center"/>
            </w:pPr>
            <w:r>
              <w:rPr>
                <w:b w:val="0"/>
                <w:i w:val="0"/>
                <w:sz w:val="17"/>
              </w:rPr>
              <w:t>0.86</w:t>
            </w:r>
          </w:p>
        </w:tc>
      </w:tr>
      <w:tr>
        <w:trPr>
          <w:cantSplit w:val="true"/>
        </w:trPr>
        <w:tc>
          <w:tcPr>
            <w:tcW w:type="dxa" w:w="1594"/>
          </w:tcPr>
          <w:p>
            <w:pPr>
              <w:keepNext/>
              <w:spacing w:line="240" w:lineRule="auto" w:after="0"/>
              <w:jc w:val="left"/>
            </w:pPr>
            <w:r>
              <w:rPr>
                <w:b w:val="0"/>
                <w:i w:val="0"/>
                <w:sz w:val="17"/>
              </w:rPr>
              <w:t>instrumentalness</w:t>
            </w:r>
          </w:p>
        </w:tc>
        <w:tc>
          <w:tcPr>
            <w:tcW w:type="dxa" w:w="770"/>
          </w:tcPr>
          <w:p>
            <w:pPr>
              <w:keepNext/>
              <w:spacing w:line="240" w:lineRule="auto" w:after="0"/>
              <w:jc w:val="center"/>
            </w:pPr>
            <w:r>
              <w:rPr>
                <w:b w:val="0"/>
                <w:i w:val="0"/>
                <w:sz w:val="17"/>
              </w:rPr>
              <w:t>0.283</w:t>
            </w:r>
          </w:p>
        </w:tc>
        <w:tc>
          <w:tcPr>
            <w:tcW w:type="dxa" w:w="770"/>
          </w:tcPr>
          <w:p>
            <w:pPr>
              <w:keepNext/>
              <w:spacing w:line="240" w:lineRule="auto" w:after="0"/>
              <w:jc w:val="center"/>
            </w:pPr>
            <w:r>
              <w:rPr>
                <w:b w:val="0"/>
                <w:i w:val="0"/>
                <w:sz w:val="17"/>
              </w:rPr>
              <w:t>0.008</w:t>
            </w:r>
          </w:p>
        </w:tc>
        <w:tc>
          <w:tcPr>
            <w:tcW w:type="dxa" w:w="770"/>
          </w:tcPr>
          <w:p>
            <w:pPr>
              <w:keepNext/>
              <w:spacing w:line="240" w:lineRule="auto" w:after="0"/>
              <w:jc w:val="center"/>
            </w:pPr>
            <w:r>
              <w:rPr>
                <w:b w:val="0"/>
                <w:i w:val="0"/>
                <w:sz w:val="17"/>
              </w:rPr>
              <w:t>0.000</w:t>
            </w:r>
          </w:p>
        </w:tc>
        <w:tc>
          <w:tcPr>
            <w:tcW w:type="dxa" w:w="824"/>
          </w:tcPr>
          <w:p>
            <w:pPr>
              <w:keepNext/>
              <w:spacing w:line="240" w:lineRule="auto" w:after="0"/>
              <w:jc w:val="center"/>
            </w:pPr>
            <w:r>
              <w:rPr>
                <w:b w:val="0"/>
                <w:i w:val="0"/>
                <w:sz w:val="17"/>
              </w:rPr>
              <w:t>0.142</w:t>
            </w:r>
          </w:p>
        </w:tc>
        <w:tc>
          <w:tcPr>
            <w:tcW w:type="dxa" w:w="770"/>
          </w:tcPr>
          <w:p>
            <w:pPr>
              <w:keepNext/>
              <w:spacing w:line="240" w:lineRule="auto" w:after="0"/>
              <w:jc w:val="center"/>
            </w:pPr>
            <w:r>
              <w:rPr>
                <w:b w:val="0"/>
                <w:i w:val="0"/>
                <w:sz w:val="17"/>
              </w:rPr>
              <w:t>0.000</w:t>
            </w:r>
          </w:p>
        </w:tc>
        <w:tc>
          <w:tcPr>
            <w:tcW w:type="dxa" w:w="770"/>
          </w:tcPr>
          <w:p>
            <w:pPr>
              <w:keepNext/>
              <w:spacing w:line="240" w:lineRule="auto" w:after="0"/>
              <w:jc w:val="center"/>
            </w:pPr>
            <w:r>
              <w:rPr>
                <w:b w:val="0"/>
                <w:i w:val="0"/>
                <w:sz w:val="17"/>
              </w:rPr>
              <w:t>0.719</w:t>
            </w:r>
          </w:p>
        </w:tc>
        <w:tc>
          <w:tcPr>
            <w:tcW w:type="dxa" w:w="770"/>
          </w:tcPr>
          <w:p>
            <w:pPr>
              <w:keepNext/>
              <w:spacing w:line="240" w:lineRule="auto" w:after="0"/>
              <w:jc w:val="center"/>
            </w:pPr>
            <w:r>
              <w:rPr>
                <w:b w:val="0"/>
                <w:i w:val="0"/>
                <w:sz w:val="17"/>
              </w:rPr>
              <w:t>0.719</w:t>
            </w:r>
          </w:p>
        </w:tc>
        <w:tc>
          <w:tcPr>
            <w:tcW w:type="dxa" w:w="660"/>
          </w:tcPr>
          <w:p>
            <w:pPr>
              <w:keepNext/>
              <w:spacing w:line="240" w:lineRule="auto" w:after="0"/>
              <w:jc w:val="center"/>
            </w:pPr>
            <w:r>
              <w:rPr>
                <w:b w:val="0"/>
                <w:i w:val="0"/>
                <w:sz w:val="17"/>
              </w:rPr>
              <w:t>0.80</w:t>
            </w:r>
          </w:p>
        </w:tc>
        <w:tc>
          <w:tcPr>
            <w:tcW w:type="dxa" w:w="715"/>
          </w:tcPr>
          <w:p>
            <w:pPr>
              <w:keepNext/>
              <w:spacing w:line="240" w:lineRule="auto" w:after="0"/>
              <w:jc w:val="center"/>
            </w:pPr>
            <w:r>
              <w:rPr>
                <w:b w:val="0"/>
                <w:i w:val="0"/>
                <w:sz w:val="17"/>
              </w:rPr>
              <w:t>-1.18</w:t>
            </w:r>
          </w:p>
        </w:tc>
        <w:tc>
          <w:tcPr>
            <w:tcW w:type="dxa" w:w="605"/>
          </w:tcPr>
          <w:p>
            <w:pPr>
              <w:keepNext/>
              <w:spacing w:line="240" w:lineRule="auto" w:after="0"/>
              <w:jc w:val="center"/>
            </w:pPr>
            <w:r>
              <w:rPr>
                <w:b w:val="0"/>
                <w:i w:val="0"/>
                <w:sz w:val="17"/>
              </w:rPr>
              <w:t>1.33</w:t>
            </w:r>
          </w:p>
        </w:tc>
      </w:tr>
      <w:tr>
        <w:trPr>
          <w:cantSplit w:val="true"/>
        </w:trPr>
        <w:tc>
          <w:tcPr>
            <w:tcW w:type="dxa" w:w="1594"/>
          </w:tcPr>
          <w:p>
            <w:pPr>
              <w:keepNext/>
              <w:spacing w:line="240" w:lineRule="auto" w:after="0"/>
              <w:jc w:val="center"/>
            </w:pPr>
            <w:r>
              <w:rPr>
                <w:b w:val="0"/>
                <w:i w:val="0"/>
                <w:sz w:val="17"/>
              </w:rPr>
              <w:t>liveness</w:t>
            </w:r>
          </w:p>
        </w:tc>
        <w:tc>
          <w:tcPr>
            <w:tcW w:type="dxa" w:w="770"/>
          </w:tcPr>
          <w:p>
            <w:pPr>
              <w:keepNext/>
              <w:spacing w:line="240" w:lineRule="auto" w:after="0"/>
              <w:jc w:val="center"/>
            </w:pPr>
            <w:r>
              <w:rPr>
                <w:b w:val="0"/>
                <w:i w:val="0"/>
                <w:sz w:val="17"/>
              </w:rPr>
              <w:t>0.202</w:t>
            </w:r>
          </w:p>
        </w:tc>
        <w:tc>
          <w:tcPr>
            <w:tcW w:type="dxa" w:w="770"/>
          </w:tcPr>
          <w:p>
            <w:pPr>
              <w:keepNext/>
              <w:spacing w:line="240" w:lineRule="auto" w:after="0"/>
              <w:jc w:val="center"/>
            </w:pPr>
            <w:r>
              <w:rPr>
                <w:b w:val="0"/>
                <w:i w:val="0"/>
                <w:sz w:val="17"/>
              </w:rPr>
              <w:t>0.125</w:t>
            </w:r>
          </w:p>
        </w:tc>
        <w:tc>
          <w:tcPr>
            <w:tcW w:type="dxa" w:w="770"/>
          </w:tcPr>
          <w:p>
            <w:pPr>
              <w:keepNext/>
              <w:spacing w:line="240" w:lineRule="auto" w:after="0"/>
              <w:jc w:val="center"/>
            </w:pPr>
            <w:r>
              <w:rPr>
                <w:b w:val="0"/>
                <w:i w:val="0"/>
                <w:sz w:val="17"/>
              </w:rPr>
              <w:t>0.111</w:t>
            </w:r>
          </w:p>
        </w:tc>
        <w:tc>
          <w:tcPr>
            <w:tcW w:type="dxa" w:w="824"/>
          </w:tcPr>
          <w:p>
            <w:pPr>
              <w:keepNext/>
              <w:spacing w:line="240" w:lineRule="auto" w:after="0"/>
              <w:jc w:val="center"/>
            </w:pPr>
            <w:r>
              <w:rPr>
                <w:b w:val="0"/>
                <w:i w:val="0"/>
                <w:sz w:val="17"/>
              </w:rPr>
              <w:t>0.033</w:t>
            </w:r>
          </w:p>
        </w:tc>
        <w:tc>
          <w:tcPr>
            <w:tcW w:type="dxa" w:w="770"/>
          </w:tcPr>
          <w:p>
            <w:pPr>
              <w:keepNext/>
              <w:spacing w:line="240" w:lineRule="auto" w:after="0"/>
              <w:jc w:val="center"/>
            </w:pPr>
            <w:r>
              <w:rPr>
                <w:b w:val="0"/>
                <w:i w:val="0"/>
                <w:sz w:val="17"/>
              </w:rPr>
              <w:t>0.097</w:t>
            </w:r>
          </w:p>
        </w:tc>
        <w:tc>
          <w:tcPr>
            <w:tcW w:type="dxa" w:w="770"/>
          </w:tcPr>
          <w:p>
            <w:pPr>
              <w:keepNext/>
              <w:spacing w:line="240" w:lineRule="auto" w:after="0"/>
              <w:jc w:val="center"/>
            </w:pPr>
            <w:r>
              <w:rPr>
                <w:b w:val="0"/>
                <w:i w:val="0"/>
                <w:sz w:val="17"/>
              </w:rPr>
              <w:t>0.245</w:t>
            </w:r>
          </w:p>
        </w:tc>
        <w:tc>
          <w:tcPr>
            <w:tcW w:type="dxa" w:w="770"/>
          </w:tcPr>
          <w:p>
            <w:pPr>
              <w:keepNext/>
              <w:spacing w:line="240" w:lineRule="auto" w:after="0"/>
              <w:jc w:val="center"/>
            </w:pPr>
            <w:r>
              <w:rPr>
                <w:b w:val="0"/>
                <w:i w:val="0"/>
                <w:sz w:val="17"/>
              </w:rPr>
              <w:t>0.148</w:t>
            </w:r>
          </w:p>
        </w:tc>
        <w:tc>
          <w:tcPr>
            <w:tcW w:type="dxa" w:w="660"/>
          </w:tcPr>
          <w:p>
            <w:pPr>
              <w:keepNext/>
              <w:spacing w:line="240" w:lineRule="auto" w:after="0"/>
              <w:jc w:val="center"/>
            </w:pPr>
            <w:r>
              <w:rPr>
                <w:b w:val="0"/>
                <w:i w:val="0"/>
                <w:sz w:val="17"/>
              </w:rPr>
              <w:t>2.27</w:t>
            </w:r>
          </w:p>
        </w:tc>
        <w:tc>
          <w:tcPr>
            <w:tcW w:type="dxa" w:w="715"/>
          </w:tcPr>
          <w:p>
            <w:pPr>
              <w:keepNext/>
              <w:spacing w:line="240" w:lineRule="auto" w:after="0"/>
              <w:jc w:val="center"/>
            </w:pPr>
            <w:r>
              <w:rPr>
                <w:b w:val="0"/>
                <w:i w:val="0"/>
                <w:sz w:val="17"/>
              </w:rPr>
              <w:t>5.25</w:t>
            </w:r>
          </w:p>
        </w:tc>
        <w:tc>
          <w:tcPr>
            <w:tcW w:type="dxa" w:w="605"/>
          </w:tcPr>
          <w:p>
            <w:pPr>
              <w:keepNext/>
              <w:spacing w:line="240" w:lineRule="auto" w:after="0"/>
              <w:jc w:val="center"/>
            </w:pPr>
            <w:r>
              <w:rPr>
                <w:b w:val="0"/>
                <w:i w:val="0"/>
                <w:sz w:val="17"/>
              </w:rPr>
              <w:t>0.90</w:t>
            </w:r>
          </w:p>
        </w:tc>
      </w:tr>
      <w:tr>
        <w:trPr>
          <w:cantSplit w:val="true"/>
        </w:trPr>
        <w:tc>
          <w:tcPr>
            <w:tcW w:type="dxa" w:w="1594"/>
          </w:tcPr>
          <w:p>
            <w:pPr>
              <w:keepNext/>
              <w:spacing w:line="240" w:lineRule="auto" w:after="0"/>
              <w:jc w:val="center"/>
            </w:pPr>
            <w:r>
              <w:rPr>
                <w:b w:val="0"/>
                <w:i w:val="0"/>
                <w:sz w:val="17"/>
              </w:rPr>
              <w:t>valence</w:t>
            </w:r>
          </w:p>
        </w:tc>
        <w:tc>
          <w:tcPr>
            <w:tcW w:type="dxa" w:w="770"/>
          </w:tcPr>
          <w:p>
            <w:pPr>
              <w:keepNext/>
              <w:spacing w:line="240" w:lineRule="auto" w:after="0"/>
              <w:jc w:val="center"/>
            </w:pPr>
            <w:r>
              <w:rPr>
                <w:b w:val="0"/>
                <w:i w:val="0"/>
                <w:sz w:val="17"/>
              </w:rPr>
              <w:t>0.428</w:t>
            </w:r>
          </w:p>
        </w:tc>
        <w:tc>
          <w:tcPr>
            <w:tcW w:type="dxa" w:w="770"/>
          </w:tcPr>
          <w:p>
            <w:pPr>
              <w:keepNext/>
              <w:spacing w:line="240" w:lineRule="auto" w:after="0"/>
              <w:jc w:val="center"/>
            </w:pPr>
            <w:r>
              <w:rPr>
                <w:b w:val="0"/>
                <w:i w:val="0"/>
                <w:sz w:val="17"/>
              </w:rPr>
              <w:t>0.403</w:t>
            </w:r>
          </w:p>
        </w:tc>
        <w:tc>
          <w:tcPr>
            <w:tcW w:type="dxa" w:w="770"/>
          </w:tcPr>
          <w:p>
            <w:pPr>
              <w:keepNext/>
              <w:spacing w:line="240" w:lineRule="auto" w:after="0"/>
              <w:jc w:val="center"/>
            </w:pPr>
            <w:r>
              <w:rPr>
                <w:b w:val="0"/>
                <w:i w:val="0"/>
                <w:sz w:val="17"/>
              </w:rPr>
              <w:t>0.038</w:t>
            </w:r>
          </w:p>
        </w:tc>
        <w:tc>
          <w:tcPr>
            <w:tcW w:type="dxa" w:w="824"/>
          </w:tcPr>
          <w:p>
            <w:pPr>
              <w:keepNext/>
              <w:spacing w:line="240" w:lineRule="auto" w:after="0"/>
              <w:jc w:val="center"/>
            </w:pPr>
            <w:r>
              <w:rPr>
                <w:b w:val="0"/>
                <w:i w:val="0"/>
                <w:sz w:val="17"/>
              </w:rPr>
              <w:t>0.073</w:t>
            </w:r>
          </w:p>
        </w:tc>
        <w:tc>
          <w:tcPr>
            <w:tcW w:type="dxa" w:w="770"/>
          </w:tcPr>
          <w:p>
            <w:pPr>
              <w:keepNext/>
              <w:spacing w:line="240" w:lineRule="auto" w:after="0"/>
              <w:jc w:val="center"/>
            </w:pPr>
            <w:r>
              <w:rPr>
                <w:b w:val="0"/>
                <w:i w:val="0"/>
                <w:sz w:val="17"/>
              </w:rPr>
              <w:t>0.191</w:t>
            </w:r>
          </w:p>
        </w:tc>
        <w:tc>
          <w:tcPr>
            <w:tcW w:type="dxa" w:w="770"/>
          </w:tcPr>
          <w:p>
            <w:pPr>
              <w:keepNext/>
              <w:spacing w:line="240" w:lineRule="auto" w:after="0"/>
              <w:jc w:val="center"/>
            </w:pPr>
            <w:r>
              <w:rPr>
                <w:b w:val="0"/>
                <w:i w:val="0"/>
                <w:sz w:val="17"/>
              </w:rPr>
              <w:t>0.644</w:t>
            </w:r>
          </w:p>
        </w:tc>
        <w:tc>
          <w:tcPr>
            <w:tcW w:type="dxa" w:w="770"/>
          </w:tcPr>
          <w:p>
            <w:pPr>
              <w:keepNext/>
              <w:spacing w:line="240" w:lineRule="auto" w:after="0"/>
              <w:jc w:val="center"/>
            </w:pPr>
            <w:r>
              <w:rPr>
                <w:b w:val="0"/>
                <w:i w:val="0"/>
                <w:sz w:val="17"/>
              </w:rPr>
              <w:t>0.453</w:t>
            </w:r>
          </w:p>
        </w:tc>
        <w:tc>
          <w:tcPr>
            <w:tcW w:type="dxa" w:w="660"/>
          </w:tcPr>
          <w:p>
            <w:pPr>
              <w:keepNext/>
              <w:spacing w:line="240" w:lineRule="auto" w:after="0"/>
              <w:jc w:val="center"/>
            </w:pPr>
            <w:r>
              <w:rPr>
                <w:b w:val="0"/>
                <w:i w:val="0"/>
                <w:sz w:val="17"/>
              </w:rPr>
              <w:t>0.25</w:t>
            </w:r>
          </w:p>
        </w:tc>
        <w:tc>
          <w:tcPr>
            <w:tcW w:type="dxa" w:w="715"/>
          </w:tcPr>
          <w:p>
            <w:pPr>
              <w:keepNext/>
              <w:spacing w:line="240" w:lineRule="auto" w:after="0"/>
              <w:jc w:val="center"/>
            </w:pPr>
            <w:r>
              <w:rPr>
                <w:b w:val="0"/>
                <w:i w:val="0"/>
                <w:sz w:val="17"/>
              </w:rPr>
              <w:t>-1.05</w:t>
            </w:r>
          </w:p>
        </w:tc>
        <w:tc>
          <w:tcPr>
            <w:tcW w:type="dxa" w:w="605"/>
          </w:tcPr>
          <w:p>
            <w:pPr>
              <w:keepNext/>
              <w:spacing w:line="240" w:lineRule="auto" w:after="0"/>
              <w:jc w:val="center"/>
            </w:pPr>
            <w:r>
              <w:rPr>
                <w:b w:val="0"/>
                <w:i w:val="0"/>
                <w:sz w:val="17"/>
              </w:rPr>
              <w:t>0.63</w:t>
            </w:r>
          </w:p>
        </w:tc>
      </w:tr>
      <w:tr>
        <w:trPr>
          <w:cantSplit w:val="true"/>
        </w:trPr>
        <w:tc>
          <w:tcPr>
            <w:tcW w:type="dxa" w:w="1594"/>
          </w:tcPr>
          <w:p>
            <w:pPr>
              <w:keepNext/>
              <w:spacing w:line="240" w:lineRule="auto" w:after="0"/>
              <w:jc w:val="center"/>
            </w:pPr>
            <w:r>
              <w:rPr>
                <w:b w:val="0"/>
                <w:i w:val="0"/>
                <w:sz w:val="17"/>
              </w:rPr>
              <w:t>tempo</w:t>
            </w:r>
          </w:p>
        </w:tc>
        <w:tc>
          <w:tcPr>
            <w:tcW w:type="dxa" w:w="770"/>
          </w:tcPr>
          <w:p>
            <w:pPr>
              <w:keepNext/>
              <w:spacing w:line="240" w:lineRule="auto" w:after="0"/>
              <w:jc w:val="center"/>
            </w:pPr>
            <w:r>
              <w:rPr>
                <w:b w:val="0"/>
                <w:i w:val="0"/>
                <w:sz w:val="17"/>
              </w:rPr>
              <w:t>117.899</w:t>
            </w:r>
          </w:p>
        </w:tc>
        <w:tc>
          <w:tcPr>
            <w:tcW w:type="dxa" w:w="770"/>
          </w:tcPr>
          <w:p>
            <w:pPr>
              <w:keepNext/>
              <w:spacing w:line="240" w:lineRule="auto" w:after="0"/>
              <w:jc w:val="center"/>
            </w:pPr>
            <w:r>
              <w:rPr>
                <w:b w:val="0"/>
                <w:i w:val="0"/>
                <w:sz w:val="17"/>
              </w:rPr>
              <w:t>116.838</w:t>
            </w:r>
          </w:p>
        </w:tc>
        <w:tc>
          <w:tcPr>
            <w:tcW w:type="dxa" w:w="770"/>
          </w:tcPr>
          <w:p>
            <w:pPr>
              <w:keepNext/>
              <w:spacing w:line="240" w:lineRule="auto" w:after="0"/>
              <w:jc w:val="center"/>
            </w:pPr>
            <w:r>
              <w:rPr>
                <w:b w:val="0"/>
                <w:i w:val="0"/>
                <w:sz w:val="17"/>
              </w:rPr>
              <w:t>120.001</w:t>
            </w:r>
          </w:p>
        </w:tc>
        <w:tc>
          <w:tcPr>
            <w:tcW w:type="dxa" w:w="824"/>
          </w:tcPr>
          <w:p>
            <w:pPr>
              <w:keepNext/>
              <w:spacing w:line="240" w:lineRule="auto" w:after="0"/>
              <w:jc w:val="center"/>
            </w:pPr>
            <w:r>
              <w:rPr>
                <w:b w:val="0"/>
                <w:i w:val="0"/>
                <w:sz w:val="17"/>
              </w:rPr>
              <w:t>925.307</w:t>
            </w:r>
          </w:p>
        </w:tc>
        <w:tc>
          <w:tcPr>
            <w:tcW w:type="dxa" w:w="770"/>
          </w:tcPr>
          <w:p>
            <w:pPr>
              <w:keepNext/>
              <w:spacing w:line="240" w:lineRule="auto" w:after="0"/>
              <w:jc w:val="center"/>
            </w:pPr>
            <w:r>
              <w:rPr>
                <w:b w:val="0"/>
                <w:i w:val="0"/>
                <w:sz w:val="17"/>
              </w:rPr>
              <w:t>94.294</w:t>
            </w:r>
          </w:p>
        </w:tc>
        <w:tc>
          <w:tcPr>
            <w:tcW w:type="dxa" w:w="770"/>
          </w:tcPr>
          <w:p>
            <w:pPr>
              <w:keepNext/>
              <w:spacing w:line="240" w:lineRule="auto" w:after="0"/>
              <w:jc w:val="center"/>
            </w:pPr>
            <w:r>
              <w:rPr>
                <w:b w:val="0"/>
                <w:i w:val="0"/>
                <w:sz w:val="17"/>
              </w:rPr>
              <w:t>137.047</w:t>
            </w:r>
          </w:p>
        </w:tc>
        <w:tc>
          <w:tcPr>
            <w:tcW w:type="dxa" w:w="770"/>
          </w:tcPr>
          <w:p>
            <w:pPr>
              <w:keepNext/>
              <w:spacing w:line="240" w:lineRule="auto" w:after="0"/>
              <w:jc w:val="center"/>
            </w:pPr>
            <w:r>
              <w:rPr>
                <w:b w:val="0"/>
                <w:i w:val="0"/>
                <w:sz w:val="17"/>
              </w:rPr>
              <w:t>42.753</w:t>
            </w:r>
          </w:p>
        </w:tc>
        <w:tc>
          <w:tcPr>
            <w:tcW w:type="dxa" w:w="660"/>
          </w:tcPr>
          <w:p>
            <w:pPr>
              <w:keepNext/>
              <w:spacing w:line="240" w:lineRule="auto" w:after="0"/>
              <w:jc w:val="center"/>
            </w:pPr>
            <w:r>
              <w:rPr>
                <w:b w:val="0"/>
                <w:i w:val="0"/>
                <w:sz w:val="17"/>
              </w:rPr>
              <w:t>0.40</w:t>
            </w:r>
          </w:p>
        </w:tc>
        <w:tc>
          <w:tcPr>
            <w:tcW w:type="dxa" w:w="715"/>
          </w:tcPr>
          <w:p>
            <w:pPr>
              <w:keepNext/>
              <w:spacing w:line="240" w:lineRule="auto" w:after="0"/>
              <w:jc w:val="center"/>
            </w:pPr>
            <w:r>
              <w:rPr>
                <w:b w:val="0"/>
                <w:i w:val="0"/>
                <w:sz w:val="17"/>
              </w:rPr>
              <w:t>-0.29</w:t>
            </w:r>
          </w:p>
        </w:tc>
        <w:tc>
          <w:tcPr>
            <w:tcW w:type="dxa" w:w="605"/>
          </w:tcPr>
          <w:p>
            <w:pPr>
              <w:keepNext/>
              <w:spacing w:line="240" w:lineRule="auto" w:after="0"/>
              <w:jc w:val="center"/>
            </w:pPr>
            <w:r>
              <w:rPr>
                <w:b w:val="0"/>
                <w:i w:val="0"/>
                <w:sz w:val="17"/>
              </w:rPr>
              <w:t>0.26</w:t>
            </w:r>
          </w:p>
        </w:tc>
      </w:tr>
      <w:tr>
        <w:trPr>
          <w:cantSplit w:val="true"/>
        </w:trPr>
        <w:tc>
          <w:tcPr>
            <w:tcW w:type="dxa" w:w="1594"/>
          </w:tcPr>
          <w:p>
            <w:pPr>
              <w:keepNext/>
              <w:spacing w:line="240" w:lineRule="auto" w:after="0"/>
              <w:jc w:val="center"/>
            </w:pPr>
            <w:r>
              <w:rPr>
                <w:b w:val="0"/>
                <w:i w:val="0"/>
                <w:sz w:val="17"/>
              </w:rPr>
              <w:t>duration_min</w:t>
            </w:r>
          </w:p>
        </w:tc>
        <w:tc>
          <w:tcPr>
            <w:tcW w:type="dxa" w:w="770"/>
          </w:tcPr>
          <w:p>
            <w:pPr>
              <w:keepNext/>
              <w:spacing w:line="240" w:lineRule="auto" w:after="0"/>
              <w:jc w:val="center"/>
            </w:pPr>
            <w:r>
              <w:rPr>
                <w:b w:val="0"/>
                <w:i w:val="0"/>
                <w:sz w:val="17"/>
              </w:rPr>
              <w:t>4.147</w:t>
            </w:r>
          </w:p>
        </w:tc>
        <w:tc>
          <w:tcPr>
            <w:tcW w:type="dxa" w:w="770"/>
          </w:tcPr>
          <w:p>
            <w:pPr>
              <w:keepNext/>
              <w:spacing w:line="240" w:lineRule="auto" w:after="0"/>
              <w:jc w:val="center"/>
            </w:pPr>
            <w:r>
              <w:rPr>
                <w:b w:val="0"/>
                <w:i w:val="0"/>
                <w:sz w:val="17"/>
              </w:rPr>
              <w:t>3.739</w:t>
            </w:r>
          </w:p>
        </w:tc>
        <w:tc>
          <w:tcPr>
            <w:tcW w:type="dxa" w:w="770"/>
          </w:tcPr>
          <w:p>
            <w:pPr>
              <w:keepNext/>
              <w:spacing w:line="240" w:lineRule="auto" w:after="0"/>
              <w:jc w:val="center"/>
            </w:pPr>
            <w:r>
              <w:rPr>
                <w:b w:val="0"/>
                <w:i w:val="0"/>
                <w:sz w:val="17"/>
              </w:rPr>
              <w:t>4.000</w:t>
            </w:r>
          </w:p>
        </w:tc>
        <w:tc>
          <w:tcPr>
            <w:tcW w:type="dxa" w:w="824"/>
          </w:tcPr>
          <w:p>
            <w:pPr>
              <w:keepNext/>
              <w:spacing w:line="240" w:lineRule="auto" w:after="0"/>
              <w:jc w:val="center"/>
            </w:pPr>
            <w:r>
              <w:rPr>
                <w:b w:val="0"/>
                <w:i w:val="0"/>
                <w:sz w:val="17"/>
              </w:rPr>
              <w:t>7.309</w:t>
            </w:r>
          </w:p>
        </w:tc>
        <w:tc>
          <w:tcPr>
            <w:tcW w:type="dxa" w:w="770"/>
          </w:tcPr>
          <w:p>
            <w:pPr>
              <w:keepNext/>
              <w:spacing w:line="240" w:lineRule="auto" w:after="0"/>
              <w:jc w:val="center"/>
            </w:pPr>
            <w:r>
              <w:rPr>
                <w:b w:val="0"/>
                <w:i w:val="0"/>
                <w:sz w:val="17"/>
              </w:rPr>
              <w:t>2.901</w:t>
            </w:r>
          </w:p>
        </w:tc>
        <w:tc>
          <w:tcPr>
            <w:tcW w:type="dxa" w:w="770"/>
          </w:tcPr>
          <w:p>
            <w:pPr>
              <w:keepNext/>
              <w:spacing w:line="240" w:lineRule="auto" w:after="0"/>
              <w:jc w:val="center"/>
            </w:pPr>
            <w:r>
              <w:rPr>
                <w:b w:val="0"/>
                <w:i w:val="0"/>
                <w:sz w:val="17"/>
              </w:rPr>
              <w:t>4.764</w:t>
            </w:r>
          </w:p>
        </w:tc>
        <w:tc>
          <w:tcPr>
            <w:tcW w:type="dxa" w:w="770"/>
          </w:tcPr>
          <w:p>
            <w:pPr>
              <w:keepNext/>
              <w:spacing w:line="240" w:lineRule="auto" w:after="0"/>
              <w:jc w:val="center"/>
            </w:pPr>
            <w:r>
              <w:rPr>
                <w:b w:val="0"/>
                <w:i w:val="0"/>
                <w:sz w:val="17"/>
              </w:rPr>
              <w:t>1.863</w:t>
            </w:r>
          </w:p>
        </w:tc>
        <w:tc>
          <w:tcPr>
            <w:tcW w:type="dxa" w:w="660"/>
          </w:tcPr>
          <w:p>
            <w:pPr>
              <w:keepNext/>
              <w:spacing w:line="240" w:lineRule="auto" w:after="0"/>
              <w:jc w:val="center"/>
            </w:pPr>
            <w:r>
              <w:rPr>
                <w:b w:val="0"/>
                <w:i w:val="0"/>
                <w:sz w:val="17"/>
              </w:rPr>
              <w:t>8.04</w:t>
            </w:r>
          </w:p>
        </w:tc>
        <w:tc>
          <w:tcPr>
            <w:tcW w:type="dxa" w:w="715"/>
          </w:tcPr>
          <w:p>
            <w:pPr>
              <w:keepNext/>
              <w:spacing w:line="240" w:lineRule="auto" w:after="0"/>
              <w:jc w:val="center"/>
            </w:pPr>
            <w:r>
              <w:rPr>
                <w:b w:val="0"/>
                <w:i w:val="0"/>
                <w:sz w:val="17"/>
              </w:rPr>
              <w:t>146.28</w:t>
            </w:r>
          </w:p>
        </w:tc>
        <w:tc>
          <w:tcPr>
            <w:tcW w:type="dxa" w:w="605"/>
          </w:tcPr>
          <w:p>
            <w:pPr>
              <w:keepNext/>
              <w:spacing w:line="240" w:lineRule="auto" w:after="0"/>
              <w:jc w:val="center"/>
            </w:pPr>
            <w:r>
              <w:rPr>
                <w:b w:val="0"/>
                <w:i w:val="0"/>
                <w:sz w:val="17"/>
              </w:rPr>
              <w:t>0.65</w:t>
            </w:r>
          </w:p>
        </w:tc>
      </w:tr>
    </w:tbl>
    <w:p>
      <w:pPr>
        <w:spacing w:before="80" w:line="240" w:lineRule="auto"/>
        <w:jc w:val="center"/>
      </w:pPr>
      <w:r>
        <w:rPr>
          <w:sz w:val="20"/>
        </w:rPr>
        <w:t>TABLE VIII: Descriptive statistics of audio features (n = 1,204,025)</w:t>
      </w:r>
    </w:p>
    <w:p>
      <w:pPr>
        <w:keepNext/>
        <w:spacing w:after="40" w:line="240" w:lineRule="auto"/>
        <w:jc w:val="center"/>
      </w:pPr>
      <w:r>
        <w:drawing>
          <wp:inline xmlns:a="http://schemas.openxmlformats.org/drawingml/2006/main" xmlns:pic="http://schemas.openxmlformats.org/drawingml/2006/picture">
            <wp:extent cx="5852160" cy="2294759"/>
            <wp:docPr id="5" name="Picture 5"/>
            <wp:cNvGraphicFramePr>
              <a:graphicFrameLocks noChangeAspect="1"/>
            </wp:cNvGraphicFramePr>
            <a:graphic>
              <a:graphicData uri="http://schemas.openxmlformats.org/drawingml/2006/picture">
                <pic:pic>
                  <pic:nvPicPr>
                    <pic:cNvPr id="0" name="fig_03_01_feature_histograms_kde.png"/>
                    <pic:cNvPicPr/>
                  </pic:nvPicPr>
                  <pic:blipFill>
                    <a:blip r:embed="rId39"/>
                    <a:stretch>
                      <a:fillRect/>
                    </a:stretch>
                  </pic:blipFill>
                  <pic:spPr>
                    <a:xfrm>
                      <a:off x="0" y="0"/>
                      <a:ext cx="5852160" cy="2294759"/>
                    </a:xfrm>
                    <a:prstGeom prst="rect"/>
                  </pic:spPr>
                </pic:pic>
              </a:graphicData>
            </a:graphic>
          </wp:inline>
        </w:drawing>
      </w:r>
    </w:p>
    <w:p>
      <w:pPr>
        <w:spacing w:line="240" w:lineRule="auto"/>
        <w:jc w:val="center"/>
      </w:pPr>
      <w:r>
        <w:rPr>
          <w:sz w:val="20"/>
        </w:rPr>
        <w:t>Fig. 5. Histograms with kernel density estimates of the ten audio features</w:t>
      </w:r>
    </w:p>
    <w:p>
      <w:pPr>
        <w:jc w:val="both"/>
      </w:pPr>
      <w:r>
        <w:rPr>
          <w:b w:val="0"/>
          <w:i w:val="0"/>
        </w:rPr>
        <w:t>The plain-English reading of each shape, generated from G1 and G2 with fixed thresholds (|G1| &lt; 0.5 symmetric, G1 &gt;= 1 strongly skewed; G2 &gt; 1 heavy-tailed, G2 &lt; -1 flat), is: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68"/>
        <w:gridCol w:w="6236"/>
      </w:tblGrid>
      <w:tr>
        <w:trPr>
          <w:tblHeader w:val="true"/>
          <w:cantSplit w:val="true"/>
        </w:trPr>
        <w:tc>
          <w:tcPr>
            <w:tcW w:type="dxa" w:w="2268"/>
          </w:tcPr>
          <w:p>
            <w:pPr>
              <w:keepNext/>
              <w:spacing w:line="240" w:lineRule="auto" w:after="0"/>
              <w:jc w:val="center"/>
            </w:pPr>
            <w:r/>
            <w:r>
              <w:rPr>
                <w:b/>
                <w:sz w:val="20"/>
              </w:rPr>
              <w:t>Feature</w:t>
            </w:r>
          </w:p>
        </w:tc>
        <w:tc>
          <w:tcPr>
            <w:tcW w:type="dxa" w:w="6236"/>
          </w:tcPr>
          <w:p>
            <w:pPr>
              <w:keepNext/>
              <w:spacing w:line="240" w:lineRule="auto" w:after="0"/>
              <w:jc w:val="center"/>
            </w:pPr>
            <w:r/>
            <w:r>
              <w:rPr>
                <w:b/>
                <w:sz w:val="20"/>
              </w:rPr>
              <w:t>Shape interpretation</w:t>
            </w:r>
          </w:p>
        </w:tc>
      </w:tr>
      <w:tr>
        <w:trPr>
          <w:cantSplit w:val="true"/>
        </w:trPr>
        <w:tc>
          <w:tcPr>
            <w:tcW w:type="dxa" w:w="2268"/>
          </w:tcPr>
          <w:p>
            <w:pPr>
              <w:keepNext/>
              <w:spacing w:line="240" w:lineRule="auto" w:after="0"/>
              <w:jc w:val="center"/>
            </w:pPr>
            <w:r>
              <w:rPr>
                <w:b w:val="0"/>
                <w:i w:val="0"/>
                <w:sz w:val="20"/>
              </w:rPr>
              <w:t>danceability</w:t>
            </w:r>
          </w:p>
        </w:tc>
        <w:tc>
          <w:tcPr>
            <w:tcW w:type="dxa" w:w="6236"/>
          </w:tcPr>
          <w:p>
            <w:pPr>
              <w:keepNext/>
              <w:spacing w:line="240" w:lineRule="auto" w:after="0"/>
              <w:jc w:val="left"/>
            </w:pPr>
            <w:r>
              <w:rPr>
                <w:b w:val="0"/>
                <w:i w:val="0"/>
                <w:sz w:val="20"/>
              </w:rPr>
              <w:t>roughly symmetric, near-normal tails (mesokurtic)</w:t>
            </w:r>
          </w:p>
        </w:tc>
      </w:tr>
      <w:tr>
        <w:trPr>
          <w:cantSplit w:val="true"/>
        </w:trPr>
        <w:tc>
          <w:tcPr>
            <w:tcW w:type="dxa" w:w="2268"/>
          </w:tcPr>
          <w:p>
            <w:pPr>
              <w:keepNext/>
              <w:spacing w:line="240" w:lineRule="auto" w:after="0"/>
              <w:jc w:val="center"/>
            </w:pPr>
            <w:r>
              <w:rPr>
                <w:b w:val="0"/>
                <w:i w:val="0"/>
                <w:sz w:val="20"/>
              </w:rPr>
              <w:t>energy</w:t>
            </w:r>
          </w:p>
        </w:tc>
        <w:tc>
          <w:tcPr>
            <w:tcW w:type="dxa" w:w="6236"/>
          </w:tcPr>
          <w:p>
            <w:pPr>
              <w:keepNext/>
              <w:spacing w:line="240" w:lineRule="auto" w:after="0"/>
              <w:jc w:val="left"/>
            </w:pPr>
            <w:r>
              <w:rPr>
                <w:b w:val="0"/>
                <w:i w:val="0"/>
                <w:sz w:val="20"/>
              </w:rPr>
              <w:t>roughly symmetric, flat (platykurtic)</w:t>
            </w:r>
          </w:p>
        </w:tc>
      </w:tr>
      <w:tr>
        <w:trPr>
          <w:cantSplit w:val="true"/>
        </w:trPr>
        <w:tc>
          <w:tcPr>
            <w:tcW w:type="dxa" w:w="2268"/>
          </w:tcPr>
          <w:p>
            <w:pPr>
              <w:keepNext/>
              <w:spacing w:line="240" w:lineRule="auto" w:after="0"/>
              <w:jc w:val="center"/>
            </w:pPr>
            <w:r>
              <w:rPr>
                <w:b w:val="0"/>
                <w:i w:val="0"/>
                <w:sz w:val="20"/>
              </w:rPr>
              <w:t>loudness</w:t>
            </w:r>
          </w:p>
        </w:tc>
        <w:tc>
          <w:tcPr>
            <w:tcW w:type="dxa" w:w="6236"/>
          </w:tcPr>
          <w:p>
            <w:pPr>
              <w:keepNext/>
              <w:spacing w:line="240" w:lineRule="auto" w:after="0"/>
              <w:jc w:val="left"/>
            </w:pPr>
            <w:r>
              <w:rPr>
                <w:b w:val="0"/>
                <w:i w:val="0"/>
                <w:sz w:val="20"/>
              </w:rPr>
              <w:t>left-skewed (long tail of low values), heavy-tailed (leptokurtic)</w:t>
            </w:r>
          </w:p>
        </w:tc>
      </w:tr>
      <w:tr>
        <w:trPr>
          <w:cantSplit w:val="true"/>
        </w:trPr>
        <w:tc>
          <w:tcPr>
            <w:tcW w:type="dxa" w:w="2268"/>
          </w:tcPr>
          <w:p>
            <w:pPr>
              <w:keepNext/>
              <w:spacing w:line="240" w:lineRule="auto" w:after="0"/>
              <w:jc w:val="center"/>
            </w:pPr>
            <w:r>
              <w:rPr>
                <w:b w:val="0"/>
                <w:i w:val="0"/>
                <w:sz w:val="20"/>
              </w:rPr>
              <w:t>speechiness</w:t>
            </w:r>
          </w:p>
        </w:tc>
        <w:tc>
          <w:tcPr>
            <w:tcW w:type="dxa" w:w="6236"/>
          </w:tcPr>
          <w:p>
            <w:pPr>
              <w:keepNext/>
              <w:spacing w:line="240" w:lineRule="auto" w:after="0"/>
              <w:jc w:val="left"/>
            </w:pPr>
            <w:r>
              <w:rPr>
                <w:b w:val="0"/>
                <w:i w:val="0"/>
                <w:sz w:val="20"/>
              </w:rPr>
              <w:t>right-skewed (long tail of high values), heavy-tailed (leptokurtic)</w:t>
            </w:r>
          </w:p>
        </w:tc>
      </w:tr>
      <w:tr>
        <w:trPr>
          <w:cantSplit w:val="true"/>
        </w:trPr>
        <w:tc>
          <w:tcPr>
            <w:tcW w:type="dxa" w:w="2268"/>
          </w:tcPr>
          <w:p>
            <w:pPr>
              <w:keepNext/>
              <w:spacing w:line="240" w:lineRule="auto" w:after="0"/>
              <w:jc w:val="center"/>
            </w:pPr>
            <w:r>
              <w:rPr>
                <w:b w:val="0"/>
                <w:i w:val="0"/>
                <w:sz w:val="20"/>
              </w:rPr>
              <w:t>acousticness</w:t>
            </w:r>
          </w:p>
        </w:tc>
        <w:tc>
          <w:tcPr>
            <w:tcW w:type="dxa" w:w="6236"/>
          </w:tcPr>
          <w:p>
            <w:pPr>
              <w:keepNext/>
              <w:spacing w:line="240" w:lineRule="auto" w:after="0"/>
              <w:jc w:val="left"/>
            </w:pPr>
            <w:r>
              <w:rPr>
                <w:b w:val="0"/>
                <w:i w:val="0"/>
                <w:sz w:val="20"/>
              </w:rPr>
              <w:t>roughly symmetric, flat (platykurtic)</w:t>
            </w:r>
          </w:p>
        </w:tc>
      </w:tr>
      <w:tr>
        <w:trPr>
          <w:cantSplit w:val="true"/>
        </w:trPr>
        <w:tc>
          <w:tcPr>
            <w:tcW w:type="dxa" w:w="2268"/>
          </w:tcPr>
          <w:p>
            <w:pPr>
              <w:keepNext/>
              <w:spacing w:line="240" w:lineRule="auto" w:after="0"/>
              <w:jc w:val="left"/>
            </w:pPr>
            <w:r>
              <w:rPr>
                <w:b w:val="0"/>
                <w:i w:val="0"/>
                <w:sz w:val="20"/>
              </w:rPr>
              <w:t>instrumentalness</w:t>
            </w:r>
          </w:p>
        </w:tc>
        <w:tc>
          <w:tcPr>
            <w:tcW w:type="dxa" w:w="6236"/>
          </w:tcPr>
          <w:p>
            <w:pPr>
              <w:keepNext/>
              <w:spacing w:line="240" w:lineRule="auto" w:after="0"/>
              <w:jc w:val="left"/>
            </w:pPr>
            <w:r>
              <w:rPr>
                <w:b w:val="0"/>
                <w:i w:val="0"/>
                <w:sz w:val="20"/>
              </w:rPr>
              <w:t>moderately right-skewed, flat (platykurtic)</w:t>
            </w:r>
          </w:p>
        </w:tc>
      </w:tr>
      <w:tr>
        <w:trPr>
          <w:cantSplit w:val="true"/>
        </w:trPr>
        <w:tc>
          <w:tcPr>
            <w:tcW w:type="dxa" w:w="2268"/>
          </w:tcPr>
          <w:p>
            <w:pPr>
              <w:keepNext/>
              <w:spacing w:line="240" w:lineRule="auto" w:after="0"/>
              <w:jc w:val="center"/>
            </w:pPr>
            <w:r>
              <w:rPr>
                <w:b w:val="0"/>
                <w:i w:val="0"/>
                <w:sz w:val="20"/>
              </w:rPr>
              <w:t>liveness</w:t>
            </w:r>
          </w:p>
        </w:tc>
        <w:tc>
          <w:tcPr>
            <w:tcW w:type="dxa" w:w="6236"/>
          </w:tcPr>
          <w:p>
            <w:pPr>
              <w:keepNext/>
              <w:spacing w:line="240" w:lineRule="auto" w:after="0"/>
              <w:jc w:val="left"/>
            </w:pPr>
            <w:r>
              <w:rPr>
                <w:b w:val="0"/>
                <w:i w:val="0"/>
                <w:sz w:val="20"/>
              </w:rPr>
              <w:t>right-skewed (long tail of high values), heavy-tailed (leptokurtic)</w:t>
            </w:r>
          </w:p>
        </w:tc>
      </w:tr>
      <w:tr>
        <w:trPr>
          <w:cantSplit w:val="true"/>
        </w:trPr>
        <w:tc>
          <w:tcPr>
            <w:tcW w:type="dxa" w:w="2268"/>
          </w:tcPr>
          <w:p>
            <w:pPr>
              <w:keepNext/>
              <w:spacing w:line="240" w:lineRule="auto" w:after="0"/>
              <w:jc w:val="center"/>
            </w:pPr>
            <w:r>
              <w:rPr>
                <w:b w:val="0"/>
                <w:i w:val="0"/>
                <w:sz w:val="20"/>
              </w:rPr>
              <w:t>valence</w:t>
            </w:r>
          </w:p>
        </w:tc>
        <w:tc>
          <w:tcPr>
            <w:tcW w:type="dxa" w:w="6236"/>
          </w:tcPr>
          <w:p>
            <w:pPr>
              <w:keepNext/>
              <w:spacing w:line="240" w:lineRule="auto" w:after="0"/>
              <w:jc w:val="left"/>
            </w:pPr>
            <w:r>
              <w:rPr>
                <w:b w:val="0"/>
                <w:i w:val="0"/>
                <w:sz w:val="20"/>
              </w:rPr>
              <w:t>roughly symmetric, flat (platykurtic)</w:t>
            </w:r>
          </w:p>
        </w:tc>
      </w:tr>
      <w:tr>
        <w:trPr>
          <w:cantSplit w:val="true"/>
        </w:trPr>
        <w:tc>
          <w:tcPr>
            <w:tcW w:type="dxa" w:w="2268"/>
          </w:tcPr>
          <w:p>
            <w:pPr>
              <w:keepNext/>
              <w:spacing w:line="240" w:lineRule="auto" w:after="0"/>
              <w:jc w:val="center"/>
            </w:pPr>
            <w:r>
              <w:rPr>
                <w:b w:val="0"/>
                <w:i w:val="0"/>
                <w:sz w:val="20"/>
              </w:rPr>
              <w:t>tempo</w:t>
            </w:r>
          </w:p>
        </w:tc>
        <w:tc>
          <w:tcPr>
            <w:tcW w:type="dxa" w:w="6236"/>
          </w:tcPr>
          <w:p>
            <w:pPr>
              <w:keepNext/>
              <w:spacing w:line="240" w:lineRule="auto" w:after="0"/>
              <w:jc w:val="left"/>
            </w:pPr>
            <w:r>
              <w:rPr>
                <w:b w:val="0"/>
                <w:i w:val="0"/>
                <w:sz w:val="20"/>
              </w:rPr>
              <w:t>roughly symmetric, near-normal tails (mesokurtic)</w:t>
            </w:r>
          </w:p>
        </w:tc>
      </w:tr>
      <w:tr>
        <w:trPr>
          <w:cantSplit w:val="true"/>
        </w:trPr>
        <w:tc>
          <w:tcPr>
            <w:tcW w:type="dxa" w:w="2268"/>
          </w:tcPr>
          <w:p>
            <w:pPr>
              <w:keepNext/>
              <w:spacing w:line="240" w:lineRule="auto" w:after="0"/>
              <w:jc w:val="center"/>
            </w:pPr>
            <w:r>
              <w:rPr>
                <w:b w:val="0"/>
                <w:i w:val="0"/>
                <w:sz w:val="20"/>
              </w:rPr>
              <w:t>duration_min</w:t>
            </w:r>
          </w:p>
        </w:tc>
        <w:tc>
          <w:tcPr>
            <w:tcW w:type="dxa" w:w="6236"/>
          </w:tcPr>
          <w:p>
            <w:pPr>
              <w:keepNext/>
              <w:spacing w:line="240" w:lineRule="auto" w:after="0"/>
              <w:jc w:val="left"/>
            </w:pPr>
            <w:r>
              <w:rPr>
                <w:b w:val="0"/>
                <w:i w:val="0"/>
                <w:sz w:val="20"/>
              </w:rPr>
              <w:t>right-skewed (long tail of high values), heavy-tailed (leptokurtic)</w:t>
            </w:r>
          </w:p>
        </w:tc>
      </w:tr>
    </w:tbl>
    <w:p>
      <w:pPr>
        <w:spacing w:before="80" w:line="240" w:lineRule="auto"/>
        <w:jc w:val="center"/>
      </w:pPr>
      <w:r>
        <w:rPr>
          <w:sz w:val="20"/>
        </w:rPr>
        <w:t>TABLE IX: Interpretation of distribution shapes</w:t>
      </w:r>
    </w:p>
    <w:p>
      <w:pPr>
        <w:pStyle w:val="Heading3"/>
        <w:jc w:val="left"/>
      </w:pPr>
      <w:r>
        <w:t>4.2.3 Categorical Distributions</w:t>
      </w:r>
    </w:p>
    <w:p>
      <w:pPr>
        <w:jc w:val="both"/>
      </w:pPr>
      <w:r>
        <w:rPr>
          <w:b w:val="0"/>
          <w:i w:val="0"/>
        </w:rPr>
        <w:t>Fig. 6 shows the categorical fields. The three most common keys are G, C, D, which are easy keys on guitar and piano, and 67.1% of tracks are in a major mode. The share of tracks marked explicit stays below 1% before the 1980s, reaches 3.2% in the 1990s and 8.3% in the 2010s, and is 31.8% for 2020 releases, the single year available in the 2020s.</w:t>
      </w:r>
    </w:p>
    <w:p>
      <w:pPr>
        <w:keepNext/>
        <w:spacing w:after="40" w:line="240" w:lineRule="auto"/>
        <w:jc w:val="center"/>
      </w:pPr>
      <w:r>
        <w:drawing>
          <wp:inline xmlns:a="http://schemas.openxmlformats.org/drawingml/2006/main" xmlns:pic="http://schemas.openxmlformats.org/drawingml/2006/picture">
            <wp:extent cx="5852160" cy="1563454"/>
            <wp:docPr id="6" name="Picture 6"/>
            <wp:cNvGraphicFramePr>
              <a:graphicFrameLocks noChangeAspect="1"/>
            </wp:cNvGraphicFramePr>
            <a:graphic>
              <a:graphicData uri="http://schemas.openxmlformats.org/drawingml/2006/picture">
                <pic:pic>
                  <pic:nvPicPr>
                    <pic:cNvPr id="0" name="fig_03_02_key_mode_explicit_bars.png"/>
                    <pic:cNvPicPr/>
                  </pic:nvPicPr>
                  <pic:blipFill>
                    <a:blip r:embed="rId40"/>
                    <a:stretch>
                      <a:fillRect/>
                    </a:stretch>
                  </pic:blipFill>
                  <pic:spPr>
                    <a:xfrm>
                      <a:off x="0" y="0"/>
                      <a:ext cx="5852160" cy="1563454"/>
                    </a:xfrm>
                    <a:prstGeom prst="rect"/>
                  </pic:spPr>
                </pic:pic>
              </a:graphicData>
            </a:graphic>
          </wp:inline>
        </w:drawing>
      </w:r>
    </w:p>
    <w:p>
      <w:pPr>
        <w:spacing w:line="240" w:lineRule="auto"/>
        <w:jc w:val="center"/>
      </w:pPr>
      <w:r>
        <w:rPr>
          <w:sz w:val="20"/>
        </w:rPr>
        <w:t>Fig. 6. Key, mode and explicit-content distributions</w:t>
      </w:r>
    </w:p>
    <w:p>
      <w:pPr>
        <w:jc w:val="both"/>
      </w:pPr>
      <w:r>
        <w:rPr>
          <w:b w:val="0"/>
          <w:i w:val="0"/>
        </w:rPr>
        <w:t>Per-decade means for canonical releases (TABLE X) already reveal the main historical story that Section 4.2.9 analyses formally.</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89"/>
        <w:gridCol w:w="1289"/>
        <w:gridCol w:w="1289"/>
        <w:gridCol w:w="1289"/>
        <w:gridCol w:w="1289"/>
        <w:gridCol w:w="1289"/>
        <w:gridCol w:w="1289"/>
      </w:tblGrid>
      <w:tr>
        <w:trPr>
          <w:tblHeader w:val="true"/>
          <w:cantSplit w:val="true"/>
        </w:trPr>
        <w:tc>
          <w:tcPr>
            <w:tcW w:type="dxa" w:w="1289"/>
          </w:tcPr>
          <w:p>
            <w:pPr>
              <w:keepNext/>
              <w:spacing w:line="240" w:lineRule="auto" w:after="0"/>
              <w:jc w:val="center"/>
            </w:pPr>
            <w:r/>
            <w:r>
              <w:rPr>
                <w:b/>
                <w:sz w:val="19"/>
              </w:rPr>
              <w:t>Decade</w:t>
            </w:r>
          </w:p>
        </w:tc>
        <w:tc>
          <w:tcPr>
            <w:tcW w:type="dxa" w:w="1289"/>
          </w:tcPr>
          <w:p>
            <w:pPr>
              <w:keepNext/>
              <w:spacing w:line="240" w:lineRule="auto" w:after="0"/>
              <w:jc w:val="center"/>
            </w:pPr>
            <w:r/>
            <w:r>
              <w:rPr>
                <w:b/>
                <w:sz w:val="19"/>
              </w:rPr>
              <w:t>Danceability</w:t>
            </w:r>
          </w:p>
        </w:tc>
        <w:tc>
          <w:tcPr>
            <w:tcW w:type="dxa" w:w="1289"/>
          </w:tcPr>
          <w:p>
            <w:pPr>
              <w:keepNext/>
              <w:spacing w:line="240" w:lineRule="auto" w:after="0"/>
              <w:jc w:val="center"/>
            </w:pPr>
            <w:r/>
            <w:r>
              <w:rPr>
                <w:b/>
                <w:sz w:val="19"/>
              </w:rPr>
              <w:t>Energy</w:t>
            </w:r>
          </w:p>
        </w:tc>
        <w:tc>
          <w:tcPr>
            <w:tcW w:type="dxa" w:w="1289"/>
          </w:tcPr>
          <w:p>
            <w:pPr>
              <w:keepNext/>
              <w:spacing w:line="240" w:lineRule="auto" w:after="0"/>
              <w:jc w:val="center"/>
            </w:pPr>
            <w:r/>
            <w:r>
              <w:rPr>
                <w:b/>
                <w:sz w:val="19"/>
              </w:rPr>
              <w:t>Acousticness</w:t>
            </w:r>
          </w:p>
        </w:tc>
        <w:tc>
          <w:tcPr>
            <w:tcW w:type="dxa" w:w="1289"/>
          </w:tcPr>
          <w:p>
            <w:pPr>
              <w:keepNext/>
              <w:spacing w:line="240" w:lineRule="auto" w:after="0"/>
              <w:jc w:val="center"/>
            </w:pPr>
            <w:r/>
            <w:r>
              <w:rPr>
                <w:b/>
                <w:sz w:val="19"/>
              </w:rPr>
              <w:t>Valence</w:t>
            </w:r>
          </w:p>
        </w:tc>
        <w:tc>
          <w:tcPr>
            <w:tcW w:type="dxa" w:w="1289"/>
          </w:tcPr>
          <w:p>
            <w:pPr>
              <w:keepNext/>
              <w:spacing w:line="240" w:lineRule="auto" w:after="0"/>
              <w:jc w:val="center"/>
            </w:pPr>
            <w:r/>
            <w:r>
              <w:rPr>
                <w:b/>
                <w:sz w:val="19"/>
              </w:rPr>
              <w:t>Loudness (dB)</w:t>
            </w:r>
          </w:p>
        </w:tc>
        <w:tc>
          <w:tcPr>
            <w:tcW w:type="dxa" w:w="1289"/>
          </w:tcPr>
          <w:p>
            <w:pPr>
              <w:keepNext/>
              <w:spacing w:line="240" w:lineRule="auto" w:after="0"/>
              <w:jc w:val="center"/>
            </w:pPr>
            <w:r/>
            <w:r>
              <w:rPr>
                <w:b/>
                <w:sz w:val="19"/>
              </w:rPr>
              <w:t>Duration (min)</w:t>
            </w:r>
          </w:p>
        </w:tc>
      </w:tr>
      <w:tr>
        <w:trPr>
          <w:cantSplit w:val="true"/>
        </w:trPr>
        <w:tc>
          <w:tcPr>
            <w:tcW w:type="dxa" w:w="1289"/>
          </w:tcPr>
          <w:p>
            <w:pPr>
              <w:keepNext/>
              <w:spacing w:line="240" w:lineRule="auto" w:after="0"/>
              <w:jc w:val="center"/>
            </w:pPr>
            <w:r>
              <w:rPr>
                <w:b w:val="0"/>
                <w:i w:val="0"/>
                <w:sz w:val="19"/>
              </w:rPr>
              <w:t>1950s</w:t>
            </w:r>
          </w:p>
        </w:tc>
        <w:tc>
          <w:tcPr>
            <w:tcW w:type="dxa" w:w="1289"/>
          </w:tcPr>
          <w:p>
            <w:pPr>
              <w:keepNext/>
              <w:spacing w:line="240" w:lineRule="auto" w:after="0"/>
              <w:jc w:val="center"/>
            </w:pPr>
            <w:r>
              <w:rPr>
                <w:b w:val="0"/>
                <w:i w:val="0"/>
                <w:sz w:val="19"/>
              </w:rPr>
              <w:t>0.427</w:t>
            </w:r>
          </w:p>
        </w:tc>
        <w:tc>
          <w:tcPr>
            <w:tcW w:type="dxa" w:w="1289"/>
          </w:tcPr>
          <w:p>
            <w:pPr>
              <w:keepNext/>
              <w:spacing w:line="240" w:lineRule="auto" w:after="0"/>
              <w:jc w:val="center"/>
            </w:pPr>
            <w:r>
              <w:rPr>
                <w:b w:val="0"/>
                <w:i w:val="0"/>
                <w:sz w:val="19"/>
              </w:rPr>
              <w:t>0.296</w:t>
            </w:r>
          </w:p>
        </w:tc>
        <w:tc>
          <w:tcPr>
            <w:tcW w:type="dxa" w:w="1289"/>
          </w:tcPr>
          <w:p>
            <w:pPr>
              <w:keepNext/>
              <w:spacing w:line="240" w:lineRule="auto" w:after="0"/>
              <w:jc w:val="center"/>
            </w:pPr>
            <w:r>
              <w:rPr>
                <w:b w:val="0"/>
                <w:i w:val="0"/>
                <w:sz w:val="19"/>
              </w:rPr>
              <w:t>0.834</w:t>
            </w:r>
          </w:p>
        </w:tc>
        <w:tc>
          <w:tcPr>
            <w:tcW w:type="dxa" w:w="1289"/>
          </w:tcPr>
          <w:p>
            <w:pPr>
              <w:keepNext/>
              <w:spacing w:line="240" w:lineRule="auto" w:after="0"/>
              <w:jc w:val="center"/>
            </w:pPr>
            <w:r>
              <w:rPr>
                <w:b w:val="0"/>
                <w:i w:val="0"/>
                <w:sz w:val="19"/>
              </w:rPr>
              <w:t>0.426</w:t>
            </w:r>
          </w:p>
        </w:tc>
        <w:tc>
          <w:tcPr>
            <w:tcW w:type="dxa" w:w="1289"/>
          </w:tcPr>
          <w:p>
            <w:pPr>
              <w:keepNext/>
              <w:spacing w:line="240" w:lineRule="auto" w:after="0"/>
              <w:jc w:val="center"/>
            </w:pPr>
            <w:r>
              <w:rPr>
                <w:b w:val="0"/>
                <w:i w:val="0"/>
                <w:sz w:val="19"/>
              </w:rPr>
              <w:t>-15.63</w:t>
            </w:r>
          </w:p>
        </w:tc>
        <w:tc>
          <w:tcPr>
            <w:tcW w:type="dxa" w:w="1289"/>
          </w:tcPr>
          <w:p>
            <w:pPr>
              <w:keepNext/>
              <w:spacing w:line="240" w:lineRule="auto" w:after="0"/>
              <w:jc w:val="center"/>
            </w:pPr>
            <w:r>
              <w:rPr>
                <w:b w:val="0"/>
                <w:i w:val="0"/>
                <w:sz w:val="19"/>
              </w:rPr>
              <w:t>4.12</w:t>
            </w:r>
          </w:p>
        </w:tc>
      </w:tr>
      <w:tr>
        <w:trPr>
          <w:cantSplit w:val="true"/>
        </w:trPr>
        <w:tc>
          <w:tcPr>
            <w:tcW w:type="dxa" w:w="1289"/>
          </w:tcPr>
          <w:p>
            <w:pPr>
              <w:keepNext/>
              <w:spacing w:line="240" w:lineRule="auto" w:after="0"/>
              <w:jc w:val="center"/>
            </w:pPr>
            <w:r>
              <w:rPr>
                <w:b w:val="0"/>
                <w:i w:val="0"/>
                <w:sz w:val="19"/>
              </w:rPr>
              <w:t>1960s</w:t>
            </w:r>
          </w:p>
        </w:tc>
        <w:tc>
          <w:tcPr>
            <w:tcW w:type="dxa" w:w="1289"/>
          </w:tcPr>
          <w:p>
            <w:pPr>
              <w:keepNext/>
              <w:spacing w:line="240" w:lineRule="auto" w:after="0"/>
              <w:jc w:val="center"/>
            </w:pPr>
            <w:r>
              <w:rPr>
                <w:b w:val="0"/>
                <w:i w:val="0"/>
                <w:sz w:val="19"/>
              </w:rPr>
              <w:t>0.440</w:t>
            </w:r>
          </w:p>
        </w:tc>
        <w:tc>
          <w:tcPr>
            <w:tcW w:type="dxa" w:w="1289"/>
          </w:tcPr>
          <w:p>
            <w:pPr>
              <w:keepNext/>
              <w:spacing w:line="240" w:lineRule="auto" w:after="0"/>
              <w:jc w:val="center"/>
            </w:pPr>
            <w:r>
              <w:rPr>
                <w:b w:val="0"/>
                <w:i w:val="0"/>
                <w:sz w:val="19"/>
              </w:rPr>
              <w:t>0.354</w:t>
            </w:r>
          </w:p>
        </w:tc>
        <w:tc>
          <w:tcPr>
            <w:tcW w:type="dxa" w:w="1289"/>
          </w:tcPr>
          <w:p>
            <w:pPr>
              <w:keepNext/>
              <w:spacing w:line="240" w:lineRule="auto" w:after="0"/>
              <w:jc w:val="center"/>
            </w:pPr>
            <w:r>
              <w:rPr>
                <w:b w:val="0"/>
                <w:i w:val="0"/>
                <w:sz w:val="19"/>
              </w:rPr>
              <w:t>0.698</w:t>
            </w:r>
          </w:p>
        </w:tc>
        <w:tc>
          <w:tcPr>
            <w:tcW w:type="dxa" w:w="1289"/>
          </w:tcPr>
          <w:p>
            <w:pPr>
              <w:keepNext/>
              <w:spacing w:line="240" w:lineRule="auto" w:after="0"/>
              <w:jc w:val="center"/>
            </w:pPr>
            <w:r>
              <w:rPr>
                <w:b w:val="0"/>
                <w:i w:val="0"/>
                <w:sz w:val="19"/>
              </w:rPr>
              <w:t>0.465</w:t>
            </w:r>
          </w:p>
        </w:tc>
        <w:tc>
          <w:tcPr>
            <w:tcW w:type="dxa" w:w="1289"/>
          </w:tcPr>
          <w:p>
            <w:pPr>
              <w:keepNext/>
              <w:spacing w:line="240" w:lineRule="auto" w:after="0"/>
              <w:jc w:val="center"/>
            </w:pPr>
            <w:r>
              <w:rPr>
                <w:b w:val="0"/>
                <w:i w:val="0"/>
                <w:sz w:val="19"/>
              </w:rPr>
              <w:t>-14.67</w:t>
            </w:r>
          </w:p>
        </w:tc>
        <w:tc>
          <w:tcPr>
            <w:tcW w:type="dxa" w:w="1289"/>
          </w:tcPr>
          <w:p>
            <w:pPr>
              <w:keepNext/>
              <w:spacing w:line="240" w:lineRule="auto" w:after="0"/>
              <w:jc w:val="center"/>
            </w:pPr>
            <w:r>
              <w:rPr>
                <w:b w:val="0"/>
                <w:i w:val="0"/>
                <w:sz w:val="19"/>
              </w:rPr>
              <w:t>3.79</w:t>
            </w:r>
          </w:p>
        </w:tc>
      </w:tr>
      <w:tr>
        <w:trPr>
          <w:cantSplit w:val="true"/>
        </w:trPr>
        <w:tc>
          <w:tcPr>
            <w:tcW w:type="dxa" w:w="1289"/>
          </w:tcPr>
          <w:p>
            <w:pPr>
              <w:keepNext/>
              <w:spacing w:line="240" w:lineRule="auto" w:after="0"/>
              <w:jc w:val="center"/>
            </w:pPr>
            <w:r>
              <w:rPr>
                <w:b w:val="0"/>
                <w:i w:val="0"/>
                <w:sz w:val="19"/>
              </w:rPr>
              <w:t>1970s</w:t>
            </w:r>
          </w:p>
        </w:tc>
        <w:tc>
          <w:tcPr>
            <w:tcW w:type="dxa" w:w="1289"/>
          </w:tcPr>
          <w:p>
            <w:pPr>
              <w:keepNext/>
              <w:spacing w:line="240" w:lineRule="auto" w:after="0"/>
              <w:jc w:val="center"/>
            </w:pPr>
            <w:r>
              <w:rPr>
                <w:b w:val="0"/>
                <w:i w:val="0"/>
                <w:sz w:val="19"/>
              </w:rPr>
              <w:t>0.482</w:t>
            </w:r>
          </w:p>
        </w:tc>
        <w:tc>
          <w:tcPr>
            <w:tcW w:type="dxa" w:w="1289"/>
          </w:tcPr>
          <w:p>
            <w:pPr>
              <w:keepNext/>
              <w:spacing w:line="240" w:lineRule="auto" w:after="0"/>
              <w:jc w:val="center"/>
            </w:pPr>
            <w:r>
              <w:rPr>
                <w:b w:val="0"/>
                <w:i w:val="0"/>
                <w:sz w:val="19"/>
              </w:rPr>
              <w:t>0.452</w:t>
            </w:r>
          </w:p>
        </w:tc>
        <w:tc>
          <w:tcPr>
            <w:tcW w:type="dxa" w:w="1289"/>
          </w:tcPr>
          <w:p>
            <w:pPr>
              <w:keepNext/>
              <w:spacing w:line="240" w:lineRule="auto" w:after="0"/>
              <w:jc w:val="center"/>
            </w:pPr>
            <w:r>
              <w:rPr>
                <w:b w:val="0"/>
                <w:i w:val="0"/>
                <w:sz w:val="19"/>
              </w:rPr>
              <w:t>0.531</w:t>
            </w:r>
          </w:p>
        </w:tc>
        <w:tc>
          <w:tcPr>
            <w:tcW w:type="dxa" w:w="1289"/>
          </w:tcPr>
          <w:p>
            <w:pPr>
              <w:keepNext/>
              <w:spacing w:line="240" w:lineRule="auto" w:after="0"/>
              <w:jc w:val="center"/>
            </w:pPr>
            <w:r>
              <w:rPr>
                <w:b w:val="0"/>
                <w:i w:val="0"/>
                <w:sz w:val="19"/>
              </w:rPr>
              <w:t>0.514</w:t>
            </w:r>
          </w:p>
        </w:tc>
        <w:tc>
          <w:tcPr>
            <w:tcW w:type="dxa" w:w="1289"/>
          </w:tcPr>
          <w:p>
            <w:pPr>
              <w:keepNext/>
              <w:spacing w:line="240" w:lineRule="auto" w:after="0"/>
              <w:jc w:val="center"/>
            </w:pPr>
            <w:r>
              <w:rPr>
                <w:b w:val="0"/>
                <w:i w:val="0"/>
                <w:sz w:val="19"/>
              </w:rPr>
              <w:t>-13.57</w:t>
            </w:r>
          </w:p>
        </w:tc>
        <w:tc>
          <w:tcPr>
            <w:tcW w:type="dxa" w:w="1289"/>
          </w:tcPr>
          <w:p>
            <w:pPr>
              <w:keepNext/>
              <w:spacing w:line="240" w:lineRule="auto" w:after="0"/>
              <w:jc w:val="center"/>
            </w:pPr>
            <w:r>
              <w:rPr>
                <w:b w:val="0"/>
                <w:i w:val="0"/>
                <w:sz w:val="19"/>
              </w:rPr>
              <w:t>4.22</w:t>
            </w:r>
          </w:p>
        </w:tc>
      </w:tr>
      <w:tr>
        <w:trPr>
          <w:cantSplit w:val="true"/>
        </w:trPr>
        <w:tc>
          <w:tcPr>
            <w:tcW w:type="dxa" w:w="1289"/>
          </w:tcPr>
          <w:p>
            <w:pPr>
              <w:keepNext/>
              <w:spacing w:line="240" w:lineRule="auto" w:after="0"/>
              <w:jc w:val="center"/>
            </w:pPr>
            <w:r>
              <w:rPr>
                <w:b w:val="0"/>
                <w:i w:val="0"/>
                <w:sz w:val="19"/>
              </w:rPr>
              <w:t>1980s</w:t>
            </w:r>
          </w:p>
        </w:tc>
        <w:tc>
          <w:tcPr>
            <w:tcW w:type="dxa" w:w="1289"/>
          </w:tcPr>
          <w:p>
            <w:pPr>
              <w:keepNext/>
              <w:spacing w:line="240" w:lineRule="auto" w:after="0"/>
              <w:jc w:val="center"/>
            </w:pPr>
            <w:r>
              <w:rPr>
                <w:b w:val="0"/>
                <w:i w:val="0"/>
                <w:sz w:val="19"/>
              </w:rPr>
              <w:t>0.479</w:t>
            </w:r>
          </w:p>
        </w:tc>
        <w:tc>
          <w:tcPr>
            <w:tcW w:type="dxa" w:w="1289"/>
          </w:tcPr>
          <w:p>
            <w:pPr>
              <w:keepNext/>
              <w:spacing w:line="240" w:lineRule="auto" w:after="0"/>
              <w:jc w:val="center"/>
            </w:pPr>
            <w:r>
              <w:rPr>
                <w:b w:val="0"/>
                <w:i w:val="0"/>
                <w:sz w:val="19"/>
              </w:rPr>
              <w:t>0.468</w:t>
            </w:r>
          </w:p>
        </w:tc>
        <w:tc>
          <w:tcPr>
            <w:tcW w:type="dxa" w:w="1289"/>
          </w:tcPr>
          <w:p>
            <w:pPr>
              <w:keepNext/>
              <w:spacing w:line="240" w:lineRule="auto" w:after="0"/>
              <w:jc w:val="center"/>
            </w:pPr>
            <w:r>
              <w:rPr>
                <w:b w:val="0"/>
                <w:i w:val="0"/>
                <w:sz w:val="19"/>
              </w:rPr>
              <w:t>0.472</w:t>
            </w:r>
          </w:p>
        </w:tc>
        <w:tc>
          <w:tcPr>
            <w:tcW w:type="dxa" w:w="1289"/>
          </w:tcPr>
          <w:p>
            <w:pPr>
              <w:keepNext/>
              <w:spacing w:line="240" w:lineRule="auto" w:after="0"/>
              <w:jc w:val="center"/>
            </w:pPr>
            <w:r>
              <w:rPr>
                <w:b w:val="0"/>
                <w:i w:val="0"/>
                <w:sz w:val="19"/>
              </w:rPr>
              <w:t>0.477</w:t>
            </w:r>
          </w:p>
        </w:tc>
        <w:tc>
          <w:tcPr>
            <w:tcW w:type="dxa" w:w="1289"/>
          </w:tcPr>
          <w:p>
            <w:pPr>
              <w:keepNext/>
              <w:spacing w:line="240" w:lineRule="auto" w:after="0"/>
              <w:jc w:val="center"/>
            </w:pPr>
            <w:r>
              <w:rPr>
                <w:b w:val="0"/>
                <w:i w:val="0"/>
                <w:sz w:val="19"/>
              </w:rPr>
              <w:t>-14.34</w:t>
            </w:r>
          </w:p>
        </w:tc>
        <w:tc>
          <w:tcPr>
            <w:tcW w:type="dxa" w:w="1289"/>
          </w:tcPr>
          <w:p>
            <w:pPr>
              <w:keepNext/>
              <w:spacing w:line="240" w:lineRule="auto" w:after="0"/>
              <w:jc w:val="center"/>
            </w:pPr>
            <w:r>
              <w:rPr>
                <w:b w:val="0"/>
                <w:i w:val="0"/>
                <w:sz w:val="19"/>
              </w:rPr>
              <w:t>4.26</w:t>
            </w:r>
          </w:p>
        </w:tc>
      </w:tr>
      <w:tr>
        <w:trPr>
          <w:cantSplit w:val="true"/>
        </w:trPr>
        <w:tc>
          <w:tcPr>
            <w:tcW w:type="dxa" w:w="1289"/>
          </w:tcPr>
          <w:p>
            <w:pPr>
              <w:keepNext/>
              <w:spacing w:line="240" w:lineRule="auto" w:after="0"/>
              <w:jc w:val="center"/>
            </w:pPr>
            <w:r>
              <w:rPr>
                <w:b w:val="0"/>
                <w:i w:val="0"/>
                <w:sz w:val="19"/>
              </w:rPr>
              <w:t>1990s</w:t>
            </w:r>
          </w:p>
        </w:tc>
        <w:tc>
          <w:tcPr>
            <w:tcW w:type="dxa" w:w="1289"/>
          </w:tcPr>
          <w:p>
            <w:pPr>
              <w:keepNext/>
              <w:spacing w:line="240" w:lineRule="auto" w:after="0"/>
              <w:jc w:val="center"/>
            </w:pPr>
            <w:r>
              <w:rPr>
                <w:b w:val="0"/>
                <w:i w:val="0"/>
                <w:sz w:val="19"/>
              </w:rPr>
              <w:t>0.465</w:t>
            </w:r>
          </w:p>
        </w:tc>
        <w:tc>
          <w:tcPr>
            <w:tcW w:type="dxa" w:w="1289"/>
          </w:tcPr>
          <w:p>
            <w:pPr>
              <w:keepNext/>
              <w:spacing w:line="240" w:lineRule="auto" w:after="0"/>
              <w:jc w:val="center"/>
            </w:pPr>
            <w:r>
              <w:rPr>
                <w:b w:val="0"/>
                <w:i w:val="0"/>
                <w:sz w:val="19"/>
              </w:rPr>
              <w:t>0.411</w:t>
            </w:r>
          </w:p>
        </w:tc>
        <w:tc>
          <w:tcPr>
            <w:tcW w:type="dxa" w:w="1289"/>
          </w:tcPr>
          <w:p>
            <w:pPr>
              <w:keepNext/>
              <w:spacing w:line="240" w:lineRule="auto" w:after="0"/>
              <w:jc w:val="center"/>
            </w:pPr>
            <w:r>
              <w:rPr>
                <w:b w:val="0"/>
                <w:i w:val="0"/>
                <w:sz w:val="19"/>
              </w:rPr>
              <w:t>0.553</w:t>
            </w:r>
          </w:p>
        </w:tc>
        <w:tc>
          <w:tcPr>
            <w:tcW w:type="dxa" w:w="1289"/>
          </w:tcPr>
          <w:p>
            <w:pPr>
              <w:keepNext/>
              <w:spacing w:line="240" w:lineRule="auto" w:after="0"/>
              <w:jc w:val="center"/>
            </w:pPr>
            <w:r>
              <w:rPr>
                <w:b w:val="0"/>
                <w:i w:val="0"/>
                <w:sz w:val="19"/>
              </w:rPr>
              <w:t>0.428</w:t>
            </w:r>
          </w:p>
        </w:tc>
        <w:tc>
          <w:tcPr>
            <w:tcW w:type="dxa" w:w="1289"/>
          </w:tcPr>
          <w:p>
            <w:pPr>
              <w:keepNext/>
              <w:spacing w:line="240" w:lineRule="auto" w:after="0"/>
              <w:jc w:val="center"/>
            </w:pPr>
            <w:r>
              <w:rPr>
                <w:b w:val="0"/>
                <w:i w:val="0"/>
                <w:sz w:val="19"/>
              </w:rPr>
              <w:t>-15.05</w:t>
            </w:r>
          </w:p>
        </w:tc>
        <w:tc>
          <w:tcPr>
            <w:tcW w:type="dxa" w:w="1289"/>
          </w:tcPr>
          <w:p>
            <w:pPr>
              <w:keepNext/>
              <w:spacing w:line="240" w:lineRule="auto" w:after="0"/>
              <w:jc w:val="center"/>
            </w:pPr>
            <w:r>
              <w:rPr>
                <w:b w:val="0"/>
                <w:i w:val="0"/>
                <w:sz w:val="19"/>
              </w:rPr>
              <w:t>4.19</w:t>
            </w:r>
          </w:p>
        </w:tc>
      </w:tr>
      <w:tr>
        <w:trPr>
          <w:cantSplit w:val="true"/>
        </w:trPr>
        <w:tc>
          <w:tcPr>
            <w:tcW w:type="dxa" w:w="1289"/>
          </w:tcPr>
          <w:p>
            <w:pPr>
              <w:keepNext/>
              <w:spacing w:line="240" w:lineRule="auto" w:after="0"/>
              <w:jc w:val="center"/>
            </w:pPr>
            <w:r>
              <w:rPr>
                <w:b w:val="0"/>
                <w:i w:val="0"/>
                <w:sz w:val="19"/>
              </w:rPr>
              <w:t>2000s</w:t>
            </w:r>
          </w:p>
        </w:tc>
        <w:tc>
          <w:tcPr>
            <w:tcW w:type="dxa" w:w="1289"/>
          </w:tcPr>
          <w:p>
            <w:pPr>
              <w:keepNext/>
              <w:spacing w:line="240" w:lineRule="auto" w:after="0"/>
              <w:jc w:val="center"/>
            </w:pPr>
            <w:r>
              <w:rPr>
                <w:b w:val="0"/>
                <w:i w:val="0"/>
                <w:sz w:val="19"/>
              </w:rPr>
              <w:t>0.494</w:t>
            </w:r>
          </w:p>
        </w:tc>
        <w:tc>
          <w:tcPr>
            <w:tcW w:type="dxa" w:w="1289"/>
          </w:tcPr>
          <w:p>
            <w:pPr>
              <w:keepNext/>
              <w:spacing w:line="240" w:lineRule="auto" w:after="0"/>
              <w:jc w:val="center"/>
            </w:pPr>
            <w:r>
              <w:rPr>
                <w:b w:val="0"/>
                <w:i w:val="0"/>
                <w:sz w:val="19"/>
              </w:rPr>
              <w:t>0.508</w:t>
            </w:r>
          </w:p>
        </w:tc>
        <w:tc>
          <w:tcPr>
            <w:tcW w:type="dxa" w:w="1289"/>
          </w:tcPr>
          <w:p>
            <w:pPr>
              <w:keepNext/>
              <w:spacing w:line="240" w:lineRule="auto" w:after="0"/>
              <w:jc w:val="center"/>
            </w:pPr>
            <w:r>
              <w:rPr>
                <w:b w:val="0"/>
                <w:i w:val="0"/>
                <w:sz w:val="19"/>
              </w:rPr>
              <w:t>0.461</w:t>
            </w:r>
          </w:p>
        </w:tc>
        <w:tc>
          <w:tcPr>
            <w:tcW w:type="dxa" w:w="1289"/>
          </w:tcPr>
          <w:p>
            <w:pPr>
              <w:keepNext/>
              <w:spacing w:line="240" w:lineRule="auto" w:after="0"/>
              <w:jc w:val="center"/>
            </w:pPr>
            <w:r>
              <w:rPr>
                <w:b w:val="0"/>
                <w:i w:val="0"/>
                <w:sz w:val="19"/>
              </w:rPr>
              <w:t>0.446</w:t>
            </w:r>
          </w:p>
        </w:tc>
        <w:tc>
          <w:tcPr>
            <w:tcW w:type="dxa" w:w="1289"/>
          </w:tcPr>
          <w:p>
            <w:pPr>
              <w:keepNext/>
              <w:spacing w:line="240" w:lineRule="auto" w:after="0"/>
              <w:jc w:val="center"/>
            </w:pPr>
            <w:r>
              <w:rPr>
                <w:b w:val="0"/>
                <w:i w:val="0"/>
                <w:sz w:val="19"/>
              </w:rPr>
              <w:t>-11.61</w:t>
            </w:r>
          </w:p>
        </w:tc>
        <w:tc>
          <w:tcPr>
            <w:tcW w:type="dxa" w:w="1289"/>
          </w:tcPr>
          <w:p>
            <w:pPr>
              <w:keepNext/>
              <w:spacing w:line="240" w:lineRule="auto" w:after="0"/>
              <w:jc w:val="center"/>
            </w:pPr>
            <w:r>
              <w:rPr>
                <w:b w:val="0"/>
                <w:i w:val="0"/>
                <w:sz w:val="19"/>
              </w:rPr>
              <w:t>4.11</w:t>
            </w:r>
          </w:p>
        </w:tc>
      </w:tr>
      <w:tr>
        <w:trPr>
          <w:cantSplit w:val="true"/>
        </w:trPr>
        <w:tc>
          <w:tcPr>
            <w:tcW w:type="dxa" w:w="1289"/>
          </w:tcPr>
          <w:p>
            <w:pPr>
              <w:keepNext/>
              <w:spacing w:line="240" w:lineRule="auto" w:after="0"/>
              <w:jc w:val="center"/>
            </w:pPr>
            <w:r>
              <w:rPr>
                <w:b w:val="0"/>
                <w:i w:val="0"/>
                <w:sz w:val="19"/>
              </w:rPr>
              <w:t>2010s</w:t>
            </w:r>
          </w:p>
        </w:tc>
        <w:tc>
          <w:tcPr>
            <w:tcW w:type="dxa" w:w="1289"/>
          </w:tcPr>
          <w:p>
            <w:pPr>
              <w:keepNext/>
              <w:spacing w:line="240" w:lineRule="auto" w:after="0"/>
              <w:jc w:val="center"/>
            </w:pPr>
            <w:r>
              <w:rPr>
                <w:b w:val="0"/>
                <w:i w:val="0"/>
                <w:sz w:val="19"/>
              </w:rPr>
              <w:t>0.497</w:t>
            </w:r>
          </w:p>
        </w:tc>
        <w:tc>
          <w:tcPr>
            <w:tcW w:type="dxa" w:w="1289"/>
          </w:tcPr>
          <w:p>
            <w:pPr>
              <w:keepNext/>
              <w:spacing w:line="240" w:lineRule="auto" w:after="0"/>
              <w:jc w:val="center"/>
            </w:pPr>
            <w:r>
              <w:rPr>
                <w:b w:val="0"/>
                <w:i w:val="0"/>
                <w:sz w:val="19"/>
              </w:rPr>
              <w:t>0.547</w:t>
            </w:r>
          </w:p>
        </w:tc>
        <w:tc>
          <w:tcPr>
            <w:tcW w:type="dxa" w:w="1289"/>
          </w:tcPr>
          <w:p>
            <w:pPr>
              <w:keepNext/>
              <w:spacing w:line="240" w:lineRule="auto" w:after="0"/>
              <w:jc w:val="center"/>
            </w:pPr>
            <w:r>
              <w:rPr>
                <w:b w:val="0"/>
                <w:i w:val="0"/>
                <w:sz w:val="19"/>
              </w:rPr>
              <w:t>0.399</w:t>
            </w:r>
          </w:p>
        </w:tc>
        <w:tc>
          <w:tcPr>
            <w:tcW w:type="dxa" w:w="1289"/>
          </w:tcPr>
          <w:p>
            <w:pPr>
              <w:keepNext/>
              <w:spacing w:line="240" w:lineRule="auto" w:after="0"/>
              <w:jc w:val="center"/>
            </w:pPr>
            <w:r>
              <w:rPr>
                <w:b w:val="0"/>
                <w:i w:val="0"/>
                <w:sz w:val="19"/>
              </w:rPr>
              <w:t>0.409</w:t>
            </w:r>
          </w:p>
        </w:tc>
        <w:tc>
          <w:tcPr>
            <w:tcW w:type="dxa" w:w="1289"/>
          </w:tcPr>
          <w:p>
            <w:pPr>
              <w:keepNext/>
              <w:spacing w:line="240" w:lineRule="auto" w:after="0"/>
              <w:jc w:val="center"/>
            </w:pPr>
            <w:r>
              <w:rPr>
                <w:b w:val="0"/>
                <w:i w:val="0"/>
                <w:sz w:val="19"/>
              </w:rPr>
              <w:t>-10.78</w:t>
            </w:r>
          </w:p>
        </w:tc>
        <w:tc>
          <w:tcPr>
            <w:tcW w:type="dxa" w:w="1289"/>
          </w:tcPr>
          <w:p>
            <w:pPr>
              <w:keepNext/>
              <w:spacing w:line="240" w:lineRule="auto" w:after="0"/>
              <w:jc w:val="center"/>
            </w:pPr>
            <w:r>
              <w:rPr>
                <w:b w:val="0"/>
                <w:i w:val="0"/>
                <w:sz w:val="19"/>
              </w:rPr>
              <w:t>4.18</w:t>
            </w:r>
          </w:p>
        </w:tc>
      </w:tr>
      <w:tr>
        <w:trPr>
          <w:cantSplit w:val="true"/>
        </w:trPr>
        <w:tc>
          <w:tcPr>
            <w:tcW w:type="dxa" w:w="1289"/>
          </w:tcPr>
          <w:p>
            <w:pPr>
              <w:keepNext/>
              <w:spacing w:line="240" w:lineRule="auto" w:after="0"/>
              <w:jc w:val="center"/>
            </w:pPr>
            <w:r>
              <w:rPr>
                <w:b w:val="0"/>
                <w:i w:val="0"/>
                <w:sz w:val="19"/>
              </w:rPr>
              <w:t>2020s</w:t>
            </w:r>
          </w:p>
        </w:tc>
        <w:tc>
          <w:tcPr>
            <w:tcW w:type="dxa" w:w="1289"/>
          </w:tcPr>
          <w:p>
            <w:pPr>
              <w:keepNext/>
              <w:spacing w:line="240" w:lineRule="auto" w:after="0"/>
              <w:jc w:val="center"/>
            </w:pPr>
            <w:r>
              <w:rPr>
                <w:b w:val="0"/>
                <w:i w:val="0"/>
                <w:sz w:val="19"/>
              </w:rPr>
              <w:t>0.560</w:t>
            </w:r>
          </w:p>
        </w:tc>
        <w:tc>
          <w:tcPr>
            <w:tcW w:type="dxa" w:w="1289"/>
          </w:tcPr>
          <w:p>
            <w:pPr>
              <w:keepNext/>
              <w:spacing w:line="240" w:lineRule="auto" w:after="0"/>
              <w:jc w:val="center"/>
            </w:pPr>
            <w:r>
              <w:rPr>
                <w:b w:val="0"/>
                <w:i w:val="0"/>
                <w:sz w:val="19"/>
              </w:rPr>
              <w:t>0.587</w:t>
            </w:r>
          </w:p>
        </w:tc>
        <w:tc>
          <w:tcPr>
            <w:tcW w:type="dxa" w:w="1289"/>
          </w:tcPr>
          <w:p>
            <w:pPr>
              <w:keepNext/>
              <w:spacing w:line="240" w:lineRule="auto" w:after="0"/>
              <w:jc w:val="center"/>
            </w:pPr>
            <w:r>
              <w:rPr>
                <w:b w:val="0"/>
                <w:i w:val="0"/>
                <w:sz w:val="19"/>
              </w:rPr>
              <w:t>0.309</w:t>
            </w:r>
          </w:p>
        </w:tc>
        <w:tc>
          <w:tcPr>
            <w:tcW w:type="dxa" w:w="1289"/>
          </w:tcPr>
          <w:p>
            <w:pPr>
              <w:keepNext/>
              <w:spacing w:line="240" w:lineRule="auto" w:after="0"/>
              <w:jc w:val="center"/>
            </w:pPr>
            <w:r>
              <w:rPr>
                <w:b w:val="0"/>
                <w:i w:val="0"/>
                <w:sz w:val="19"/>
              </w:rPr>
              <w:t>0.408</w:t>
            </w:r>
          </w:p>
        </w:tc>
        <w:tc>
          <w:tcPr>
            <w:tcW w:type="dxa" w:w="1289"/>
          </w:tcPr>
          <w:p>
            <w:pPr>
              <w:keepNext/>
              <w:spacing w:line="240" w:lineRule="auto" w:after="0"/>
              <w:jc w:val="center"/>
            </w:pPr>
            <w:r>
              <w:rPr>
                <w:b w:val="0"/>
                <w:i w:val="0"/>
                <w:sz w:val="19"/>
              </w:rPr>
              <w:t>-9.66</w:t>
            </w:r>
          </w:p>
        </w:tc>
        <w:tc>
          <w:tcPr>
            <w:tcW w:type="dxa" w:w="1289"/>
          </w:tcPr>
          <w:p>
            <w:pPr>
              <w:keepNext/>
              <w:spacing w:line="240" w:lineRule="auto" w:after="0"/>
              <w:jc w:val="center"/>
            </w:pPr>
            <w:r>
              <w:rPr>
                <w:b w:val="0"/>
                <w:i w:val="0"/>
                <w:sz w:val="19"/>
              </w:rPr>
              <w:t>3.69</w:t>
            </w:r>
          </w:p>
        </w:tc>
      </w:tr>
    </w:tbl>
    <w:p>
      <w:pPr>
        <w:spacing w:before="80" w:line="240" w:lineRule="auto"/>
        <w:jc w:val="center"/>
      </w:pPr>
      <w:r>
        <w:rPr>
          <w:sz w:val="20"/>
        </w:rPr>
        <w:t>TABLE X: Mean audio features by decade (canonical releases)</w:t>
      </w:r>
    </w:p>
    <w:p>
      <w:pPr>
        <w:jc w:val="both"/>
      </w:pPr>
      <w:r>
        <w:rPr>
          <w:b w:val="0"/>
          <w:i w:val="0"/>
        </w:rPr>
        <w:t>TABLE XI gives the same summary for the eight representative genres used throughout the multivariate analysis.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89"/>
        <w:gridCol w:w="1289"/>
        <w:gridCol w:w="1289"/>
        <w:gridCol w:w="1289"/>
        <w:gridCol w:w="1289"/>
        <w:gridCol w:w="1289"/>
        <w:gridCol w:w="1289"/>
      </w:tblGrid>
      <w:tr>
        <w:trPr>
          <w:tblHeader w:val="true"/>
          <w:cantSplit w:val="true"/>
        </w:trPr>
        <w:tc>
          <w:tcPr>
            <w:tcW w:type="dxa" w:w="1289"/>
          </w:tcPr>
          <w:p>
            <w:pPr>
              <w:keepNext/>
              <w:spacing w:line="240" w:lineRule="auto" w:after="0"/>
              <w:jc w:val="center"/>
            </w:pPr>
            <w:r/>
            <w:r>
              <w:rPr>
                <w:b/>
                <w:sz w:val="19"/>
              </w:rPr>
              <w:t>Genre</w:t>
            </w:r>
          </w:p>
        </w:tc>
        <w:tc>
          <w:tcPr>
            <w:tcW w:type="dxa" w:w="1289"/>
          </w:tcPr>
          <w:p>
            <w:pPr>
              <w:keepNext/>
              <w:spacing w:line="240" w:lineRule="auto" w:after="0"/>
              <w:jc w:val="center"/>
            </w:pPr>
            <w:r/>
            <w:r>
              <w:rPr>
                <w:b/>
                <w:sz w:val="19"/>
              </w:rPr>
              <w:t>Danceability</w:t>
            </w:r>
          </w:p>
        </w:tc>
        <w:tc>
          <w:tcPr>
            <w:tcW w:type="dxa" w:w="1289"/>
          </w:tcPr>
          <w:p>
            <w:pPr>
              <w:keepNext/>
              <w:spacing w:line="240" w:lineRule="auto" w:after="0"/>
              <w:jc w:val="center"/>
            </w:pPr>
            <w:r/>
            <w:r>
              <w:rPr>
                <w:b/>
                <w:sz w:val="19"/>
              </w:rPr>
              <w:t>Energy</w:t>
            </w:r>
          </w:p>
        </w:tc>
        <w:tc>
          <w:tcPr>
            <w:tcW w:type="dxa" w:w="1289"/>
          </w:tcPr>
          <w:p>
            <w:pPr>
              <w:keepNext/>
              <w:spacing w:line="240" w:lineRule="auto" w:after="0"/>
              <w:jc w:val="center"/>
            </w:pPr>
            <w:r/>
            <w:r>
              <w:rPr>
                <w:b/>
                <w:sz w:val="19"/>
              </w:rPr>
              <w:t>Acousticness</w:t>
            </w:r>
          </w:p>
        </w:tc>
        <w:tc>
          <w:tcPr>
            <w:tcW w:type="dxa" w:w="1289"/>
          </w:tcPr>
          <w:p>
            <w:pPr>
              <w:keepNext/>
              <w:spacing w:line="240" w:lineRule="auto" w:after="0"/>
              <w:jc w:val="center"/>
            </w:pPr>
            <w:r/>
            <w:r>
              <w:rPr>
                <w:b/>
                <w:sz w:val="19"/>
              </w:rPr>
              <w:t>Valence</w:t>
            </w:r>
          </w:p>
        </w:tc>
        <w:tc>
          <w:tcPr>
            <w:tcW w:type="dxa" w:w="1289"/>
          </w:tcPr>
          <w:p>
            <w:pPr>
              <w:keepNext/>
              <w:spacing w:line="240" w:lineRule="auto" w:after="0"/>
              <w:jc w:val="center"/>
            </w:pPr>
            <w:r/>
            <w:r>
              <w:rPr>
                <w:b/>
                <w:sz w:val="19"/>
              </w:rPr>
              <w:t>Loudness (dB)</w:t>
            </w:r>
          </w:p>
        </w:tc>
        <w:tc>
          <w:tcPr>
            <w:tcW w:type="dxa" w:w="1289"/>
          </w:tcPr>
          <w:p>
            <w:pPr>
              <w:keepNext/>
              <w:spacing w:line="240" w:lineRule="auto" w:after="0"/>
              <w:jc w:val="center"/>
            </w:pPr>
            <w:r/>
            <w:r>
              <w:rPr>
                <w:b/>
                <w:sz w:val="19"/>
              </w:rPr>
              <w:t>Tempo (BPM)</w:t>
            </w:r>
          </w:p>
        </w:tc>
      </w:tr>
      <w:tr>
        <w:trPr>
          <w:cantSplit w:val="true"/>
        </w:trPr>
        <w:tc>
          <w:tcPr>
            <w:tcW w:type="dxa" w:w="1289"/>
          </w:tcPr>
          <w:p>
            <w:pPr>
              <w:keepNext/>
              <w:spacing w:line="240" w:lineRule="auto" w:after="0"/>
              <w:jc w:val="center"/>
            </w:pPr>
            <w:r>
              <w:rPr>
                <w:b w:val="0"/>
                <w:i w:val="0"/>
                <w:sz w:val="19"/>
              </w:rPr>
              <w:t>classical</w:t>
            </w:r>
          </w:p>
        </w:tc>
        <w:tc>
          <w:tcPr>
            <w:tcW w:type="dxa" w:w="1289"/>
          </w:tcPr>
          <w:p>
            <w:pPr>
              <w:keepNext/>
              <w:spacing w:line="240" w:lineRule="auto" w:after="0"/>
              <w:jc w:val="center"/>
            </w:pPr>
            <w:r>
              <w:rPr>
                <w:b w:val="0"/>
                <w:i w:val="0"/>
                <w:sz w:val="19"/>
              </w:rPr>
              <w:t>0.386</w:t>
            </w:r>
          </w:p>
        </w:tc>
        <w:tc>
          <w:tcPr>
            <w:tcW w:type="dxa" w:w="1289"/>
          </w:tcPr>
          <w:p>
            <w:pPr>
              <w:keepNext/>
              <w:spacing w:line="240" w:lineRule="auto" w:after="0"/>
              <w:jc w:val="center"/>
            </w:pPr>
            <w:r>
              <w:rPr>
                <w:b w:val="0"/>
                <w:i w:val="0"/>
                <w:sz w:val="19"/>
              </w:rPr>
              <w:t>0.197</w:t>
            </w:r>
          </w:p>
        </w:tc>
        <w:tc>
          <w:tcPr>
            <w:tcW w:type="dxa" w:w="1289"/>
          </w:tcPr>
          <w:p>
            <w:pPr>
              <w:keepNext/>
              <w:spacing w:line="240" w:lineRule="auto" w:after="0"/>
              <w:jc w:val="center"/>
            </w:pPr>
            <w:r>
              <w:rPr>
                <w:b w:val="0"/>
                <w:i w:val="0"/>
                <w:sz w:val="19"/>
              </w:rPr>
              <w:t>0.920</w:t>
            </w:r>
          </w:p>
        </w:tc>
        <w:tc>
          <w:tcPr>
            <w:tcW w:type="dxa" w:w="1289"/>
          </w:tcPr>
          <w:p>
            <w:pPr>
              <w:keepNext/>
              <w:spacing w:line="240" w:lineRule="auto" w:after="0"/>
              <w:jc w:val="center"/>
            </w:pPr>
            <w:r>
              <w:rPr>
                <w:b w:val="0"/>
                <w:i w:val="0"/>
                <w:sz w:val="19"/>
              </w:rPr>
              <w:t>0.392</w:t>
            </w:r>
          </w:p>
        </w:tc>
        <w:tc>
          <w:tcPr>
            <w:tcW w:type="dxa" w:w="1289"/>
          </w:tcPr>
          <w:p>
            <w:pPr>
              <w:keepNext/>
              <w:spacing w:line="240" w:lineRule="auto" w:after="0"/>
              <w:jc w:val="center"/>
            </w:pPr>
            <w:r>
              <w:rPr>
                <w:b w:val="0"/>
                <w:i w:val="0"/>
                <w:sz w:val="19"/>
              </w:rPr>
              <w:t>-19.92</w:t>
            </w:r>
          </w:p>
        </w:tc>
        <w:tc>
          <w:tcPr>
            <w:tcW w:type="dxa" w:w="1289"/>
          </w:tcPr>
          <w:p>
            <w:pPr>
              <w:keepNext/>
              <w:spacing w:line="240" w:lineRule="auto" w:after="0"/>
              <w:jc w:val="center"/>
            </w:pPr>
            <w:r>
              <w:rPr>
                <w:b w:val="0"/>
                <w:i w:val="0"/>
                <w:sz w:val="19"/>
              </w:rPr>
              <w:t>108.0</w:t>
            </w:r>
          </w:p>
        </w:tc>
      </w:tr>
      <w:tr>
        <w:trPr>
          <w:cantSplit w:val="true"/>
        </w:trPr>
        <w:tc>
          <w:tcPr>
            <w:tcW w:type="dxa" w:w="1289"/>
          </w:tcPr>
          <w:p>
            <w:pPr>
              <w:keepNext/>
              <w:spacing w:line="240" w:lineRule="auto" w:after="0"/>
              <w:jc w:val="center"/>
            </w:pPr>
            <w:r>
              <w:rPr>
                <w:b w:val="0"/>
                <w:i w:val="0"/>
                <w:sz w:val="19"/>
              </w:rPr>
              <w:t>country</w:t>
            </w:r>
          </w:p>
        </w:tc>
        <w:tc>
          <w:tcPr>
            <w:tcW w:type="dxa" w:w="1289"/>
          </w:tcPr>
          <w:p>
            <w:pPr>
              <w:keepNext/>
              <w:spacing w:line="240" w:lineRule="auto" w:after="0"/>
              <w:jc w:val="center"/>
            </w:pPr>
            <w:r>
              <w:rPr>
                <w:b w:val="0"/>
                <w:i w:val="0"/>
                <w:sz w:val="19"/>
              </w:rPr>
              <w:t>0.555</w:t>
            </w:r>
          </w:p>
        </w:tc>
        <w:tc>
          <w:tcPr>
            <w:tcW w:type="dxa" w:w="1289"/>
          </w:tcPr>
          <w:p>
            <w:pPr>
              <w:keepNext/>
              <w:spacing w:line="240" w:lineRule="auto" w:after="0"/>
              <w:jc w:val="center"/>
            </w:pPr>
            <w:r>
              <w:rPr>
                <w:b w:val="0"/>
                <w:i w:val="0"/>
                <w:sz w:val="19"/>
              </w:rPr>
              <w:t>0.592</w:t>
            </w:r>
          </w:p>
        </w:tc>
        <w:tc>
          <w:tcPr>
            <w:tcW w:type="dxa" w:w="1289"/>
          </w:tcPr>
          <w:p>
            <w:pPr>
              <w:keepNext/>
              <w:spacing w:line="240" w:lineRule="auto" w:after="0"/>
              <w:jc w:val="center"/>
            </w:pPr>
            <w:r>
              <w:rPr>
                <w:b w:val="0"/>
                <w:i w:val="0"/>
                <w:sz w:val="19"/>
              </w:rPr>
              <w:t>0.329</w:t>
            </w:r>
          </w:p>
        </w:tc>
        <w:tc>
          <w:tcPr>
            <w:tcW w:type="dxa" w:w="1289"/>
          </w:tcPr>
          <w:p>
            <w:pPr>
              <w:keepNext/>
              <w:spacing w:line="240" w:lineRule="auto" w:after="0"/>
              <w:jc w:val="center"/>
            </w:pPr>
            <w:r>
              <w:rPr>
                <w:b w:val="0"/>
                <w:i w:val="0"/>
                <w:sz w:val="19"/>
              </w:rPr>
              <w:t>0.513</w:t>
            </w:r>
          </w:p>
        </w:tc>
        <w:tc>
          <w:tcPr>
            <w:tcW w:type="dxa" w:w="1289"/>
          </w:tcPr>
          <w:p>
            <w:pPr>
              <w:keepNext/>
              <w:spacing w:line="240" w:lineRule="auto" w:after="0"/>
              <w:jc w:val="center"/>
            </w:pPr>
            <w:r>
              <w:rPr>
                <w:b w:val="0"/>
                <w:i w:val="0"/>
                <w:sz w:val="19"/>
              </w:rPr>
              <w:t>-7.22</w:t>
            </w:r>
          </w:p>
        </w:tc>
        <w:tc>
          <w:tcPr>
            <w:tcW w:type="dxa" w:w="1289"/>
          </w:tcPr>
          <w:p>
            <w:pPr>
              <w:keepNext/>
              <w:spacing w:line="240" w:lineRule="auto" w:after="0"/>
              <w:jc w:val="center"/>
            </w:pPr>
            <w:r>
              <w:rPr>
                <w:b w:val="0"/>
                <w:i w:val="0"/>
                <w:sz w:val="19"/>
              </w:rPr>
              <w:t>124.3</w:t>
            </w:r>
          </w:p>
        </w:tc>
      </w:tr>
      <w:tr>
        <w:trPr>
          <w:cantSplit w:val="true"/>
        </w:trPr>
        <w:tc>
          <w:tcPr>
            <w:tcW w:type="dxa" w:w="1289"/>
          </w:tcPr>
          <w:p>
            <w:pPr>
              <w:keepNext/>
              <w:spacing w:line="240" w:lineRule="auto" w:after="0"/>
              <w:jc w:val="center"/>
            </w:pPr>
            <w:r>
              <w:rPr>
                <w:b w:val="0"/>
                <w:i w:val="0"/>
                <w:sz w:val="19"/>
              </w:rPr>
              <w:t>edm</w:t>
            </w:r>
          </w:p>
        </w:tc>
        <w:tc>
          <w:tcPr>
            <w:tcW w:type="dxa" w:w="1289"/>
          </w:tcPr>
          <w:p>
            <w:pPr>
              <w:keepNext/>
              <w:spacing w:line="240" w:lineRule="auto" w:after="0"/>
              <w:jc w:val="center"/>
            </w:pPr>
            <w:r>
              <w:rPr>
                <w:b w:val="0"/>
                <w:i w:val="0"/>
                <w:sz w:val="19"/>
              </w:rPr>
              <w:t>0.656</w:t>
            </w:r>
          </w:p>
        </w:tc>
        <w:tc>
          <w:tcPr>
            <w:tcW w:type="dxa" w:w="1289"/>
          </w:tcPr>
          <w:p>
            <w:pPr>
              <w:keepNext/>
              <w:spacing w:line="240" w:lineRule="auto" w:after="0"/>
              <w:jc w:val="center"/>
            </w:pPr>
            <w:r>
              <w:rPr>
                <w:b w:val="0"/>
                <w:i w:val="0"/>
                <w:sz w:val="19"/>
              </w:rPr>
              <w:t>0.752</w:t>
            </w:r>
          </w:p>
        </w:tc>
        <w:tc>
          <w:tcPr>
            <w:tcW w:type="dxa" w:w="1289"/>
          </w:tcPr>
          <w:p>
            <w:pPr>
              <w:keepNext/>
              <w:spacing w:line="240" w:lineRule="auto" w:after="0"/>
              <w:jc w:val="center"/>
            </w:pPr>
            <w:r>
              <w:rPr>
                <w:b w:val="0"/>
                <w:i w:val="0"/>
                <w:sz w:val="19"/>
              </w:rPr>
              <w:t>0.124</w:t>
            </w:r>
          </w:p>
        </w:tc>
        <w:tc>
          <w:tcPr>
            <w:tcW w:type="dxa" w:w="1289"/>
          </w:tcPr>
          <w:p>
            <w:pPr>
              <w:keepNext/>
              <w:spacing w:line="240" w:lineRule="auto" w:after="0"/>
              <w:jc w:val="center"/>
            </w:pPr>
            <w:r>
              <w:rPr>
                <w:b w:val="0"/>
                <w:i w:val="0"/>
                <w:sz w:val="19"/>
              </w:rPr>
              <w:t>0.462</w:t>
            </w:r>
          </w:p>
        </w:tc>
        <w:tc>
          <w:tcPr>
            <w:tcW w:type="dxa" w:w="1289"/>
          </w:tcPr>
          <w:p>
            <w:pPr>
              <w:keepNext/>
              <w:spacing w:line="240" w:lineRule="auto" w:after="0"/>
              <w:jc w:val="center"/>
            </w:pPr>
            <w:r>
              <w:rPr>
                <w:b w:val="0"/>
                <w:i w:val="0"/>
                <w:sz w:val="19"/>
              </w:rPr>
              <w:t>-5.42</w:t>
            </w:r>
          </w:p>
        </w:tc>
        <w:tc>
          <w:tcPr>
            <w:tcW w:type="dxa" w:w="1289"/>
          </w:tcPr>
          <w:p>
            <w:pPr>
              <w:keepNext/>
              <w:spacing w:line="240" w:lineRule="auto" w:after="0"/>
              <w:jc w:val="center"/>
            </w:pPr>
            <w:r>
              <w:rPr>
                <w:b w:val="0"/>
                <w:i w:val="0"/>
                <w:sz w:val="19"/>
              </w:rPr>
              <w:t>121.6</w:t>
            </w:r>
          </w:p>
        </w:tc>
      </w:tr>
      <w:tr>
        <w:trPr>
          <w:cantSplit w:val="true"/>
        </w:trPr>
        <w:tc>
          <w:tcPr>
            <w:tcW w:type="dxa" w:w="1289"/>
          </w:tcPr>
          <w:p>
            <w:pPr>
              <w:keepNext/>
              <w:spacing w:line="240" w:lineRule="auto" w:after="0"/>
              <w:jc w:val="center"/>
            </w:pPr>
            <w:r>
              <w:rPr>
                <w:b w:val="0"/>
                <w:i w:val="0"/>
                <w:sz w:val="19"/>
              </w:rPr>
              <w:t>hip-hop</w:t>
            </w:r>
          </w:p>
        </w:tc>
        <w:tc>
          <w:tcPr>
            <w:tcW w:type="dxa" w:w="1289"/>
          </w:tcPr>
          <w:p>
            <w:pPr>
              <w:keepNext/>
              <w:spacing w:line="240" w:lineRule="auto" w:after="0"/>
              <w:jc w:val="center"/>
            </w:pPr>
            <w:r>
              <w:rPr>
                <w:b w:val="0"/>
                <w:i w:val="0"/>
                <w:sz w:val="19"/>
              </w:rPr>
              <w:t>0.730</w:t>
            </w:r>
          </w:p>
        </w:tc>
        <w:tc>
          <w:tcPr>
            <w:tcW w:type="dxa" w:w="1289"/>
          </w:tcPr>
          <w:p>
            <w:pPr>
              <w:keepNext/>
              <w:spacing w:line="240" w:lineRule="auto" w:after="0"/>
              <w:jc w:val="center"/>
            </w:pPr>
            <w:r>
              <w:rPr>
                <w:b w:val="0"/>
                <w:i w:val="0"/>
                <w:sz w:val="19"/>
              </w:rPr>
              <w:t>0.695</w:t>
            </w:r>
          </w:p>
        </w:tc>
        <w:tc>
          <w:tcPr>
            <w:tcW w:type="dxa" w:w="1289"/>
          </w:tcPr>
          <w:p>
            <w:pPr>
              <w:keepNext/>
              <w:spacing w:line="240" w:lineRule="auto" w:after="0"/>
              <w:jc w:val="center"/>
            </w:pPr>
            <w:r>
              <w:rPr>
                <w:b w:val="0"/>
                <w:i w:val="0"/>
                <w:sz w:val="19"/>
              </w:rPr>
              <w:t>0.198</w:t>
            </w:r>
          </w:p>
        </w:tc>
        <w:tc>
          <w:tcPr>
            <w:tcW w:type="dxa" w:w="1289"/>
          </w:tcPr>
          <w:p>
            <w:pPr>
              <w:keepNext/>
              <w:spacing w:line="240" w:lineRule="auto" w:after="0"/>
              <w:jc w:val="center"/>
            </w:pPr>
            <w:r>
              <w:rPr>
                <w:b w:val="0"/>
                <w:i w:val="0"/>
                <w:sz w:val="19"/>
              </w:rPr>
              <w:t>0.553</w:t>
            </w:r>
          </w:p>
        </w:tc>
        <w:tc>
          <w:tcPr>
            <w:tcW w:type="dxa" w:w="1289"/>
          </w:tcPr>
          <w:p>
            <w:pPr>
              <w:keepNext/>
              <w:spacing w:line="240" w:lineRule="auto" w:after="0"/>
              <w:jc w:val="center"/>
            </w:pPr>
            <w:r>
              <w:rPr>
                <w:b w:val="0"/>
                <w:i w:val="0"/>
                <w:sz w:val="19"/>
              </w:rPr>
              <w:t>-5.95</w:t>
            </w:r>
          </w:p>
        </w:tc>
        <w:tc>
          <w:tcPr>
            <w:tcW w:type="dxa" w:w="1289"/>
          </w:tcPr>
          <w:p>
            <w:pPr>
              <w:keepNext/>
              <w:spacing w:line="240" w:lineRule="auto" w:after="0"/>
              <w:jc w:val="center"/>
            </w:pPr>
            <w:r>
              <w:rPr>
                <w:b w:val="0"/>
                <w:i w:val="0"/>
                <w:sz w:val="19"/>
              </w:rPr>
              <w:t>118.4</w:t>
            </w:r>
          </w:p>
        </w:tc>
      </w:tr>
      <w:tr>
        <w:trPr>
          <w:cantSplit w:val="true"/>
        </w:trPr>
        <w:tc>
          <w:tcPr>
            <w:tcW w:type="dxa" w:w="1289"/>
          </w:tcPr>
          <w:p>
            <w:pPr>
              <w:keepNext/>
              <w:spacing w:line="240" w:lineRule="auto" w:after="0"/>
              <w:jc w:val="center"/>
            </w:pPr>
            <w:r>
              <w:rPr>
                <w:b w:val="0"/>
                <w:i w:val="0"/>
                <w:sz w:val="19"/>
              </w:rPr>
              <w:t>jazz</w:t>
            </w:r>
          </w:p>
        </w:tc>
        <w:tc>
          <w:tcPr>
            <w:tcW w:type="dxa" w:w="1289"/>
          </w:tcPr>
          <w:p>
            <w:pPr>
              <w:keepNext/>
              <w:spacing w:line="240" w:lineRule="auto" w:after="0"/>
              <w:jc w:val="center"/>
            </w:pPr>
            <w:r>
              <w:rPr>
                <w:b w:val="0"/>
                <w:i w:val="0"/>
                <w:sz w:val="19"/>
              </w:rPr>
              <w:t>0.489</w:t>
            </w:r>
          </w:p>
        </w:tc>
        <w:tc>
          <w:tcPr>
            <w:tcW w:type="dxa" w:w="1289"/>
          </w:tcPr>
          <w:p>
            <w:pPr>
              <w:keepNext/>
              <w:spacing w:line="240" w:lineRule="auto" w:after="0"/>
              <w:jc w:val="center"/>
            </w:pPr>
            <w:r>
              <w:rPr>
                <w:b w:val="0"/>
                <w:i w:val="0"/>
                <w:sz w:val="19"/>
              </w:rPr>
              <w:t>0.309</w:t>
            </w:r>
          </w:p>
        </w:tc>
        <w:tc>
          <w:tcPr>
            <w:tcW w:type="dxa" w:w="1289"/>
          </w:tcPr>
          <w:p>
            <w:pPr>
              <w:keepNext/>
              <w:spacing w:line="240" w:lineRule="auto" w:after="0"/>
              <w:jc w:val="center"/>
            </w:pPr>
            <w:r>
              <w:rPr>
                <w:b w:val="0"/>
                <w:i w:val="0"/>
                <w:sz w:val="19"/>
              </w:rPr>
              <w:t>0.766</w:t>
            </w:r>
          </w:p>
        </w:tc>
        <w:tc>
          <w:tcPr>
            <w:tcW w:type="dxa" w:w="1289"/>
          </w:tcPr>
          <w:p>
            <w:pPr>
              <w:keepNext/>
              <w:spacing w:line="240" w:lineRule="auto" w:after="0"/>
              <w:jc w:val="center"/>
            </w:pPr>
            <w:r>
              <w:rPr>
                <w:b w:val="0"/>
                <w:i w:val="0"/>
                <w:sz w:val="19"/>
              </w:rPr>
              <w:t>0.487</w:t>
            </w:r>
          </w:p>
        </w:tc>
        <w:tc>
          <w:tcPr>
            <w:tcW w:type="dxa" w:w="1289"/>
          </w:tcPr>
          <w:p>
            <w:pPr>
              <w:keepNext/>
              <w:spacing w:line="240" w:lineRule="auto" w:after="0"/>
              <w:jc w:val="center"/>
            </w:pPr>
            <w:r>
              <w:rPr>
                <w:b w:val="0"/>
                <w:i w:val="0"/>
                <w:sz w:val="19"/>
              </w:rPr>
              <w:t>-12.97</w:t>
            </w:r>
          </w:p>
        </w:tc>
        <w:tc>
          <w:tcPr>
            <w:tcW w:type="dxa" w:w="1289"/>
          </w:tcPr>
          <w:p>
            <w:pPr>
              <w:keepNext/>
              <w:spacing w:line="240" w:lineRule="auto" w:after="0"/>
              <w:jc w:val="center"/>
            </w:pPr>
            <w:r>
              <w:rPr>
                <w:b w:val="0"/>
                <w:i w:val="0"/>
                <w:sz w:val="19"/>
              </w:rPr>
              <w:t>116.0</w:t>
            </w:r>
          </w:p>
        </w:tc>
      </w:tr>
      <w:tr>
        <w:trPr>
          <w:cantSplit w:val="true"/>
        </w:trPr>
        <w:tc>
          <w:tcPr>
            <w:tcW w:type="dxa" w:w="1289"/>
          </w:tcPr>
          <w:p>
            <w:pPr>
              <w:keepNext/>
              <w:spacing w:line="240" w:lineRule="auto" w:after="0"/>
              <w:jc w:val="center"/>
            </w:pPr>
            <w:r>
              <w:rPr>
                <w:b w:val="0"/>
                <w:i w:val="0"/>
                <w:sz w:val="19"/>
              </w:rPr>
              <w:t>metal</w:t>
            </w:r>
          </w:p>
        </w:tc>
        <w:tc>
          <w:tcPr>
            <w:tcW w:type="dxa" w:w="1289"/>
          </w:tcPr>
          <w:p>
            <w:pPr>
              <w:keepNext/>
              <w:spacing w:line="240" w:lineRule="auto" w:after="0"/>
              <w:jc w:val="center"/>
            </w:pPr>
            <w:r>
              <w:rPr>
                <w:b w:val="0"/>
                <w:i w:val="0"/>
                <w:sz w:val="19"/>
              </w:rPr>
              <w:t>0.481</w:t>
            </w:r>
          </w:p>
        </w:tc>
        <w:tc>
          <w:tcPr>
            <w:tcW w:type="dxa" w:w="1289"/>
          </w:tcPr>
          <w:p>
            <w:pPr>
              <w:keepNext/>
              <w:spacing w:line="240" w:lineRule="auto" w:after="0"/>
              <w:jc w:val="center"/>
            </w:pPr>
            <w:r>
              <w:rPr>
                <w:b w:val="0"/>
                <w:i w:val="0"/>
                <w:sz w:val="19"/>
              </w:rPr>
              <w:t>0.841</w:t>
            </w:r>
          </w:p>
        </w:tc>
        <w:tc>
          <w:tcPr>
            <w:tcW w:type="dxa" w:w="1289"/>
          </w:tcPr>
          <w:p>
            <w:pPr>
              <w:keepNext/>
              <w:spacing w:line="240" w:lineRule="auto" w:after="0"/>
              <w:jc w:val="center"/>
            </w:pPr>
            <w:r>
              <w:rPr>
                <w:b w:val="0"/>
                <w:i w:val="0"/>
                <w:sz w:val="19"/>
              </w:rPr>
              <w:t>0.036</w:t>
            </w:r>
          </w:p>
        </w:tc>
        <w:tc>
          <w:tcPr>
            <w:tcW w:type="dxa" w:w="1289"/>
          </w:tcPr>
          <w:p>
            <w:pPr>
              <w:keepNext/>
              <w:spacing w:line="240" w:lineRule="auto" w:after="0"/>
              <w:jc w:val="center"/>
            </w:pPr>
            <w:r>
              <w:rPr>
                <w:b w:val="0"/>
                <w:i w:val="0"/>
                <w:sz w:val="19"/>
              </w:rPr>
              <w:t>0.425</w:t>
            </w:r>
          </w:p>
        </w:tc>
        <w:tc>
          <w:tcPr>
            <w:tcW w:type="dxa" w:w="1289"/>
          </w:tcPr>
          <w:p>
            <w:pPr>
              <w:keepNext/>
              <w:spacing w:line="240" w:lineRule="auto" w:after="0"/>
              <w:jc w:val="center"/>
            </w:pPr>
            <w:r>
              <w:rPr>
                <w:b w:val="0"/>
                <w:i w:val="0"/>
                <w:sz w:val="19"/>
              </w:rPr>
              <w:t>-4.93</w:t>
            </w:r>
          </w:p>
        </w:tc>
        <w:tc>
          <w:tcPr>
            <w:tcW w:type="dxa" w:w="1289"/>
          </w:tcPr>
          <w:p>
            <w:pPr>
              <w:keepNext/>
              <w:spacing w:line="240" w:lineRule="auto" w:after="0"/>
              <w:jc w:val="center"/>
            </w:pPr>
            <w:r>
              <w:rPr>
                <w:b w:val="0"/>
                <w:i w:val="0"/>
                <w:sz w:val="19"/>
              </w:rPr>
              <w:t>129.5</w:t>
            </w:r>
          </w:p>
        </w:tc>
      </w:tr>
      <w:tr>
        <w:trPr>
          <w:cantSplit w:val="true"/>
        </w:trPr>
        <w:tc>
          <w:tcPr>
            <w:tcW w:type="dxa" w:w="1289"/>
          </w:tcPr>
          <w:p>
            <w:pPr>
              <w:keepNext/>
              <w:spacing w:line="240" w:lineRule="auto" w:after="0"/>
              <w:jc w:val="center"/>
            </w:pPr>
            <w:r>
              <w:rPr>
                <w:b w:val="0"/>
                <w:i w:val="0"/>
                <w:sz w:val="19"/>
              </w:rPr>
              <w:t>pop</w:t>
            </w:r>
          </w:p>
        </w:tc>
        <w:tc>
          <w:tcPr>
            <w:tcW w:type="dxa" w:w="1289"/>
          </w:tcPr>
          <w:p>
            <w:pPr>
              <w:keepNext/>
              <w:spacing w:line="240" w:lineRule="auto" w:after="0"/>
              <w:jc w:val="center"/>
            </w:pPr>
            <w:r>
              <w:rPr>
                <w:b w:val="0"/>
                <w:i w:val="0"/>
                <w:sz w:val="19"/>
              </w:rPr>
              <w:t>0.581</w:t>
            </w:r>
          </w:p>
        </w:tc>
        <w:tc>
          <w:tcPr>
            <w:tcW w:type="dxa" w:w="1289"/>
          </w:tcPr>
          <w:p>
            <w:pPr>
              <w:keepNext/>
              <w:spacing w:line="240" w:lineRule="auto" w:after="0"/>
              <w:jc w:val="center"/>
            </w:pPr>
            <w:r>
              <w:rPr>
                <w:b w:val="0"/>
                <w:i w:val="0"/>
                <w:sz w:val="19"/>
              </w:rPr>
              <w:t>0.579</w:t>
            </w:r>
          </w:p>
        </w:tc>
        <w:tc>
          <w:tcPr>
            <w:tcW w:type="dxa" w:w="1289"/>
          </w:tcPr>
          <w:p>
            <w:pPr>
              <w:keepNext/>
              <w:spacing w:line="240" w:lineRule="auto" w:after="0"/>
              <w:jc w:val="center"/>
            </w:pPr>
            <w:r>
              <w:rPr>
                <w:b w:val="0"/>
                <w:i w:val="0"/>
                <w:sz w:val="19"/>
              </w:rPr>
              <w:t>0.403</w:t>
            </w:r>
          </w:p>
        </w:tc>
        <w:tc>
          <w:tcPr>
            <w:tcW w:type="dxa" w:w="1289"/>
          </w:tcPr>
          <w:p>
            <w:pPr>
              <w:keepNext/>
              <w:spacing w:line="240" w:lineRule="auto" w:after="0"/>
              <w:jc w:val="center"/>
            </w:pPr>
            <w:r>
              <w:rPr>
                <w:b w:val="0"/>
                <w:i w:val="0"/>
                <w:sz w:val="19"/>
              </w:rPr>
              <w:t>0.477</w:t>
            </w:r>
          </w:p>
        </w:tc>
        <w:tc>
          <w:tcPr>
            <w:tcW w:type="dxa" w:w="1289"/>
          </w:tcPr>
          <w:p>
            <w:pPr>
              <w:keepNext/>
              <w:spacing w:line="240" w:lineRule="auto" w:after="0"/>
              <w:jc w:val="center"/>
            </w:pPr>
            <w:r>
              <w:rPr>
                <w:b w:val="0"/>
                <w:i w:val="0"/>
                <w:sz w:val="19"/>
              </w:rPr>
              <w:t>-7.17</w:t>
            </w:r>
          </w:p>
        </w:tc>
        <w:tc>
          <w:tcPr>
            <w:tcW w:type="dxa" w:w="1289"/>
          </w:tcPr>
          <w:p>
            <w:pPr>
              <w:keepNext/>
              <w:spacing w:line="240" w:lineRule="auto" w:after="0"/>
              <w:jc w:val="center"/>
            </w:pPr>
            <w:r>
              <w:rPr>
                <w:b w:val="0"/>
                <w:i w:val="0"/>
                <w:sz w:val="19"/>
              </w:rPr>
              <w:t>121.4</w:t>
            </w:r>
          </w:p>
        </w:tc>
      </w:tr>
      <w:tr>
        <w:trPr>
          <w:cantSplit w:val="true"/>
        </w:trPr>
        <w:tc>
          <w:tcPr>
            <w:tcW w:type="dxa" w:w="1289"/>
          </w:tcPr>
          <w:p>
            <w:pPr>
              <w:keepNext/>
              <w:spacing w:line="240" w:lineRule="auto" w:after="0"/>
              <w:jc w:val="center"/>
            </w:pPr>
            <w:r>
              <w:rPr>
                <w:b w:val="0"/>
                <w:i w:val="0"/>
                <w:sz w:val="19"/>
              </w:rPr>
              <w:t>rock</w:t>
            </w:r>
          </w:p>
        </w:tc>
        <w:tc>
          <w:tcPr>
            <w:tcW w:type="dxa" w:w="1289"/>
          </w:tcPr>
          <w:p>
            <w:pPr>
              <w:keepNext/>
              <w:spacing w:line="240" w:lineRule="auto" w:after="0"/>
              <w:jc w:val="center"/>
            </w:pPr>
            <w:r>
              <w:rPr>
                <w:b w:val="0"/>
                <w:i w:val="0"/>
                <w:sz w:val="19"/>
              </w:rPr>
              <w:t>0.549</w:t>
            </w:r>
          </w:p>
        </w:tc>
        <w:tc>
          <w:tcPr>
            <w:tcW w:type="dxa" w:w="1289"/>
          </w:tcPr>
          <w:p>
            <w:pPr>
              <w:keepNext/>
              <w:spacing w:line="240" w:lineRule="auto" w:after="0"/>
              <w:jc w:val="center"/>
            </w:pPr>
            <w:r>
              <w:rPr>
                <w:b w:val="0"/>
                <w:i w:val="0"/>
                <w:sz w:val="19"/>
              </w:rPr>
              <w:t>0.648</w:t>
            </w:r>
          </w:p>
        </w:tc>
        <w:tc>
          <w:tcPr>
            <w:tcW w:type="dxa" w:w="1289"/>
          </w:tcPr>
          <w:p>
            <w:pPr>
              <w:keepNext/>
              <w:spacing w:line="240" w:lineRule="auto" w:after="0"/>
              <w:jc w:val="center"/>
            </w:pPr>
            <w:r>
              <w:rPr>
                <w:b w:val="0"/>
                <w:i w:val="0"/>
                <w:sz w:val="19"/>
              </w:rPr>
              <w:t>0.227</w:t>
            </w:r>
          </w:p>
        </w:tc>
        <w:tc>
          <w:tcPr>
            <w:tcW w:type="dxa" w:w="1289"/>
          </w:tcPr>
          <w:p>
            <w:pPr>
              <w:keepNext/>
              <w:spacing w:line="240" w:lineRule="auto" w:after="0"/>
              <w:jc w:val="center"/>
            </w:pPr>
            <w:r>
              <w:rPr>
                <w:b w:val="0"/>
                <w:i w:val="0"/>
                <w:sz w:val="19"/>
              </w:rPr>
              <w:t>0.478</w:t>
            </w:r>
          </w:p>
        </w:tc>
        <w:tc>
          <w:tcPr>
            <w:tcW w:type="dxa" w:w="1289"/>
          </w:tcPr>
          <w:p>
            <w:pPr>
              <w:keepNext/>
              <w:spacing w:line="240" w:lineRule="auto" w:after="0"/>
              <w:jc w:val="center"/>
            </w:pPr>
            <w:r>
              <w:rPr>
                <w:b w:val="0"/>
                <w:i w:val="0"/>
                <w:sz w:val="19"/>
              </w:rPr>
              <w:t>-6.66</w:t>
            </w:r>
          </w:p>
        </w:tc>
        <w:tc>
          <w:tcPr>
            <w:tcW w:type="dxa" w:w="1289"/>
          </w:tcPr>
          <w:p>
            <w:pPr>
              <w:keepNext/>
              <w:spacing w:line="240" w:lineRule="auto" w:after="0"/>
              <w:jc w:val="center"/>
            </w:pPr>
            <w:r>
              <w:rPr>
                <w:b w:val="0"/>
                <w:i w:val="0"/>
                <w:sz w:val="19"/>
              </w:rPr>
              <w:t>121.4</w:t>
            </w:r>
          </w:p>
        </w:tc>
      </w:tr>
    </w:tbl>
    <w:p>
      <w:pPr>
        <w:spacing w:before="80" w:line="240" w:lineRule="auto"/>
        <w:jc w:val="center"/>
      </w:pPr>
      <w:r>
        <w:rPr>
          <w:sz w:val="20"/>
        </w:rPr>
        <w:t>TABLE XI: Mean audio features of eight representative genres</w:t>
      </w:r>
    </w:p>
    <w:p>
      <w:pPr>
        <w:pStyle w:val="Heading3"/>
        <w:jc w:val="left"/>
      </w:pPr>
      <w:r>
        <w:t>4.2.4 Correlation Analysis</w:t>
      </w:r>
    </w:p>
    <w:p>
      <w:pPr>
        <w:jc w:val="both"/>
      </w:pPr>
      <w:r>
        <w:rPr>
          <w:b w:val="0"/>
          <w:i w:val="0"/>
        </w:rPr>
        <w:t>Pearson and Spearman correlation matrices were computed on a 300,000-track random sample (Fig. 7). Three trade-offs dominate the audio space:</w:t>
      </w:r>
    </w:p>
    <w:p>
      <w:pPr>
        <w:pStyle w:val="ListBullet"/>
        <w:spacing w:after="80"/>
        <w:jc w:val="both"/>
      </w:pPr>
      <w:r>
        <w:rPr>
          <w:b/>
        </w:rPr>
        <w:t xml:space="preserve">Loudness and energy: </w:t>
      </w:r>
      <w:r>
        <w:rPr>
          <w:b w:val="0"/>
          <w:i w:val="0"/>
        </w:rPr>
        <w:t>r = 0.819 (Spearman 0.850); Spotify’s energy measure is built partly from loudness, so the two move together.</w:t>
      </w:r>
    </w:p>
    <w:p>
      <w:pPr>
        <w:pStyle w:val="ListBullet"/>
        <w:spacing w:after="80"/>
        <w:jc w:val="both"/>
      </w:pPr>
      <w:r>
        <w:rPr>
          <w:b/>
        </w:rPr>
        <w:t xml:space="preserve">Energy and acousticness: </w:t>
      </w:r>
      <w:r>
        <w:rPr>
          <w:b w:val="0"/>
          <w:i w:val="0"/>
        </w:rPr>
        <w:t>r = -0.796; acoustic recordings are quieter and less intense.</w:t>
      </w:r>
    </w:p>
    <w:p>
      <w:pPr>
        <w:pStyle w:val="ListBullet"/>
        <w:spacing w:after="80"/>
        <w:jc w:val="both"/>
      </w:pPr>
      <w:r>
        <w:rPr>
          <w:b/>
        </w:rPr>
        <w:t xml:space="preserve">Valence and danceability: </w:t>
      </w:r>
      <w:r>
        <w:rPr>
          <w:b w:val="0"/>
          <w:i w:val="0"/>
        </w:rPr>
        <w:t>r = 0.562; happier-sounding tracks tend to be more danceable, but the link is only moderate.</w:t>
      </w:r>
    </w:p>
    <w:p>
      <w:pPr>
        <w:jc w:val="both"/>
      </w:pPr>
      <w:r>
        <w:rPr>
          <w:b w:val="0"/>
          <w:i w:val="0"/>
        </w:rPr>
        <w:t>Spearman values are close to Pearson values, so the relationships are monotonic and not driven by outliers. To connect with the tutorial formula, TABLE XII works through Pearson’s r for energy and loudness on ten tracks; the hand calculation gives r = 0.9396, identical to numpy (0.9396).</w:t>
      </w:r>
    </w:p>
    <w:p>
      <w:pPr>
        <w:keepNext/>
        <w:spacing w:after="40" w:line="240" w:lineRule="auto"/>
        <w:jc w:val="center"/>
      </w:pPr>
      <w:r>
        <w:drawing>
          <wp:inline xmlns:a="http://schemas.openxmlformats.org/drawingml/2006/main" xmlns:pic="http://schemas.openxmlformats.org/drawingml/2006/picture">
            <wp:extent cx="5852160" cy="2595393"/>
            <wp:docPr id="7" name="Picture 7"/>
            <wp:cNvGraphicFramePr>
              <a:graphicFrameLocks noChangeAspect="1"/>
            </wp:cNvGraphicFramePr>
            <a:graphic>
              <a:graphicData uri="http://schemas.openxmlformats.org/drawingml/2006/picture">
                <pic:pic>
                  <pic:nvPicPr>
                    <pic:cNvPr id="0" name="fig_04_01_correlation_heatmaps.png"/>
                    <pic:cNvPicPr/>
                  </pic:nvPicPr>
                  <pic:blipFill>
                    <a:blip r:embed="rId41"/>
                    <a:stretch>
                      <a:fillRect/>
                    </a:stretch>
                  </pic:blipFill>
                  <pic:spPr>
                    <a:xfrm>
                      <a:off x="0" y="0"/>
                      <a:ext cx="5852160" cy="2595393"/>
                    </a:xfrm>
                    <a:prstGeom prst="rect"/>
                  </pic:spPr>
                </pic:pic>
              </a:graphicData>
            </a:graphic>
          </wp:inline>
        </w:drawing>
      </w:r>
    </w:p>
    <w:p>
      <w:pPr>
        <w:spacing w:line="240" w:lineRule="auto"/>
        <w:jc w:val="center"/>
      </w:pPr>
      <w:r>
        <w:rPr>
          <w:sz w:val="20"/>
        </w:rPr>
        <w:t>Fig. 7. Pearson and Spearman correlation heatmaps of the audio features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28"/>
        <w:gridCol w:w="1128"/>
        <w:gridCol w:w="1128"/>
        <w:gridCol w:w="1128"/>
        <w:gridCol w:w="1128"/>
        <w:gridCol w:w="1128"/>
        <w:gridCol w:w="1128"/>
        <w:gridCol w:w="1128"/>
      </w:tblGrid>
      <w:tr>
        <w:trPr>
          <w:tblHeader w:val="true"/>
          <w:cantSplit w:val="true"/>
        </w:trPr>
        <w:tc>
          <w:tcPr>
            <w:tcW w:type="dxa" w:w="1128"/>
          </w:tcPr>
          <w:p>
            <w:pPr>
              <w:keepNext/>
              <w:spacing w:line="240" w:lineRule="auto" w:after="0"/>
              <w:jc w:val="center"/>
            </w:pPr>
            <w:r/>
            <w:r>
              <w:rPr>
                <w:b/>
                <w:sz w:val="18"/>
              </w:rPr>
              <w:t>Track</w:t>
            </w:r>
          </w:p>
        </w:tc>
        <w:tc>
          <w:tcPr>
            <w:tcW w:type="dxa" w:w="1128"/>
          </w:tcPr>
          <w:p>
            <w:pPr>
              <w:keepNext/>
              <w:spacing w:line="240" w:lineRule="auto" w:after="0"/>
              <w:jc w:val="center"/>
            </w:pPr>
            <w:r/>
            <w:r>
              <w:rPr>
                <w:b/>
                <w:sz w:val="18"/>
              </w:rPr>
              <w:t>Energy x</w:t>
            </w:r>
          </w:p>
        </w:tc>
        <w:tc>
          <w:tcPr>
            <w:tcW w:type="dxa" w:w="1128"/>
          </w:tcPr>
          <w:p>
            <w:pPr>
              <w:keepNext/>
              <w:spacing w:line="240" w:lineRule="auto" w:after="0"/>
              <w:jc w:val="center"/>
            </w:pPr>
            <w:r/>
            <w:r>
              <w:rPr>
                <w:b/>
                <w:sz w:val="18"/>
              </w:rPr>
              <w:t>Loudness y</w:t>
            </w:r>
          </w:p>
        </w:tc>
        <w:tc>
          <w:tcPr>
            <w:tcW w:type="dxa" w:w="1128"/>
          </w:tcPr>
          <w:p>
            <w:pPr>
              <w:keepNext/>
              <w:spacing w:line="240" w:lineRule="auto" w:after="0"/>
              <w:jc w:val="center"/>
            </w:pPr>
            <w:r/>
            <w:r>
              <w:rPr>
                <w:b/>
                <w:sz w:val="18"/>
              </w:rPr>
              <w:t>dx</w:t>
            </w:r>
          </w:p>
        </w:tc>
        <w:tc>
          <w:tcPr>
            <w:tcW w:type="dxa" w:w="1128"/>
          </w:tcPr>
          <w:p>
            <w:pPr>
              <w:keepNext/>
              <w:spacing w:line="240" w:lineRule="auto" w:after="0"/>
              <w:jc w:val="center"/>
            </w:pPr>
            <w:r/>
            <w:r>
              <w:rPr>
                <w:b/>
                <w:sz w:val="18"/>
              </w:rPr>
              <w:t>dy</w:t>
            </w:r>
          </w:p>
        </w:tc>
        <w:tc>
          <w:tcPr>
            <w:tcW w:type="dxa" w:w="1128"/>
          </w:tcPr>
          <w:p>
            <w:pPr>
              <w:keepNext/>
              <w:spacing w:line="240" w:lineRule="auto" w:after="0"/>
              <w:jc w:val="center"/>
            </w:pPr>
            <w:r/>
            <w:r>
              <w:rPr>
                <w:b/>
                <w:sz w:val="18"/>
              </w:rPr>
              <w:t>dx*dy</w:t>
            </w:r>
          </w:p>
        </w:tc>
        <w:tc>
          <w:tcPr>
            <w:tcW w:type="dxa" w:w="1128"/>
          </w:tcPr>
          <w:p>
            <w:pPr>
              <w:keepNext/>
              <w:spacing w:line="240" w:lineRule="auto" w:after="0"/>
              <w:jc w:val="center"/>
            </w:pPr>
            <w:r/>
            <w:r>
              <w:rPr>
                <w:b/>
                <w:sz w:val="18"/>
              </w:rPr>
              <w:t>dx^2</w:t>
            </w:r>
          </w:p>
        </w:tc>
        <w:tc>
          <w:tcPr>
            <w:tcW w:type="dxa" w:w="1128"/>
          </w:tcPr>
          <w:p>
            <w:pPr>
              <w:keepNext/>
              <w:spacing w:line="240" w:lineRule="auto" w:after="0"/>
              <w:jc w:val="center"/>
            </w:pPr>
            <w:r/>
            <w:r>
              <w:rPr>
                <w:b/>
                <w:sz w:val="18"/>
              </w:rPr>
              <w:t>dy^2</w:t>
            </w:r>
          </w:p>
        </w:tc>
      </w:tr>
      <w:tr>
        <w:trPr>
          <w:cantSplit w:val="true"/>
        </w:trPr>
        <w:tc>
          <w:tcPr>
            <w:tcW w:type="dxa" w:w="1128"/>
          </w:tcPr>
          <w:p>
            <w:pPr>
              <w:keepNext/>
              <w:spacing w:line="240" w:lineRule="auto" w:after="0"/>
              <w:jc w:val="center"/>
            </w:pPr>
            <w:r>
              <w:rPr>
                <w:b w:val="0"/>
                <w:i w:val="0"/>
                <w:sz w:val="18"/>
              </w:rPr>
              <w:t>1</w:t>
            </w:r>
          </w:p>
        </w:tc>
        <w:tc>
          <w:tcPr>
            <w:tcW w:type="dxa" w:w="1128"/>
          </w:tcPr>
          <w:p>
            <w:pPr>
              <w:keepNext/>
              <w:spacing w:line="240" w:lineRule="auto" w:after="0"/>
              <w:jc w:val="center"/>
            </w:pPr>
            <w:r>
              <w:rPr>
                <w:b w:val="0"/>
                <w:i w:val="0"/>
                <w:sz w:val="18"/>
              </w:rPr>
              <w:t>0.736</w:t>
            </w:r>
          </w:p>
        </w:tc>
        <w:tc>
          <w:tcPr>
            <w:tcW w:type="dxa" w:w="1128"/>
          </w:tcPr>
          <w:p>
            <w:pPr>
              <w:keepNext/>
              <w:spacing w:line="240" w:lineRule="auto" w:after="0"/>
              <w:jc w:val="center"/>
            </w:pPr>
            <w:r>
              <w:rPr>
                <w:b w:val="0"/>
                <w:i w:val="0"/>
                <w:sz w:val="18"/>
              </w:rPr>
              <w:t>-3.657</w:t>
            </w:r>
          </w:p>
        </w:tc>
        <w:tc>
          <w:tcPr>
            <w:tcW w:type="dxa" w:w="1128"/>
          </w:tcPr>
          <w:p>
            <w:pPr>
              <w:keepNext/>
              <w:spacing w:line="240" w:lineRule="auto" w:after="0"/>
              <w:jc w:val="center"/>
            </w:pPr>
            <w:r>
              <w:rPr>
                <w:b w:val="0"/>
                <w:i w:val="0"/>
                <w:sz w:val="18"/>
              </w:rPr>
              <w:t>0.1245</w:t>
            </w:r>
          </w:p>
        </w:tc>
        <w:tc>
          <w:tcPr>
            <w:tcW w:type="dxa" w:w="1128"/>
          </w:tcPr>
          <w:p>
            <w:pPr>
              <w:keepNext/>
              <w:spacing w:line="240" w:lineRule="auto" w:after="0"/>
              <w:jc w:val="center"/>
            </w:pPr>
            <w:r>
              <w:rPr>
                <w:b w:val="0"/>
                <w:i w:val="0"/>
                <w:sz w:val="18"/>
              </w:rPr>
              <w:t>5.3595</w:t>
            </w:r>
          </w:p>
        </w:tc>
        <w:tc>
          <w:tcPr>
            <w:tcW w:type="dxa" w:w="1128"/>
          </w:tcPr>
          <w:p>
            <w:pPr>
              <w:keepNext/>
              <w:spacing w:line="240" w:lineRule="auto" w:after="0"/>
              <w:jc w:val="center"/>
            </w:pPr>
            <w:r>
              <w:rPr>
                <w:b w:val="0"/>
                <w:i w:val="0"/>
                <w:sz w:val="18"/>
              </w:rPr>
              <w:t>0.6673</w:t>
            </w:r>
          </w:p>
        </w:tc>
        <w:tc>
          <w:tcPr>
            <w:tcW w:type="dxa" w:w="1128"/>
          </w:tcPr>
          <w:p>
            <w:pPr>
              <w:keepNext/>
              <w:spacing w:line="240" w:lineRule="auto" w:after="0"/>
              <w:jc w:val="center"/>
            </w:pPr>
            <w:r>
              <w:rPr>
                <w:b w:val="0"/>
                <w:i w:val="0"/>
                <w:sz w:val="18"/>
              </w:rPr>
              <w:t>0.0155</w:t>
            </w:r>
          </w:p>
        </w:tc>
        <w:tc>
          <w:tcPr>
            <w:tcW w:type="dxa" w:w="1128"/>
          </w:tcPr>
          <w:p>
            <w:pPr>
              <w:keepNext/>
              <w:spacing w:line="240" w:lineRule="auto" w:after="0"/>
              <w:jc w:val="center"/>
            </w:pPr>
            <w:r>
              <w:rPr>
                <w:b w:val="0"/>
                <w:i w:val="0"/>
                <w:sz w:val="18"/>
              </w:rPr>
              <w:t>28.7242</w:t>
            </w:r>
          </w:p>
        </w:tc>
      </w:tr>
      <w:tr>
        <w:trPr>
          <w:cantSplit w:val="true"/>
        </w:trPr>
        <w:tc>
          <w:tcPr>
            <w:tcW w:type="dxa" w:w="1128"/>
          </w:tcPr>
          <w:p>
            <w:pPr>
              <w:keepNext/>
              <w:spacing w:line="240" w:lineRule="auto" w:after="0"/>
              <w:jc w:val="center"/>
            </w:pPr>
            <w:r>
              <w:rPr>
                <w:b w:val="0"/>
                <w:i w:val="0"/>
                <w:sz w:val="18"/>
              </w:rPr>
              <w:t>2</w:t>
            </w:r>
          </w:p>
        </w:tc>
        <w:tc>
          <w:tcPr>
            <w:tcW w:type="dxa" w:w="1128"/>
          </w:tcPr>
          <w:p>
            <w:pPr>
              <w:keepNext/>
              <w:spacing w:line="240" w:lineRule="auto" w:after="0"/>
              <w:jc w:val="center"/>
            </w:pPr>
            <w:r>
              <w:rPr>
                <w:b w:val="0"/>
                <w:i w:val="0"/>
                <w:sz w:val="18"/>
              </w:rPr>
              <w:t>0.639</w:t>
            </w:r>
          </w:p>
        </w:tc>
        <w:tc>
          <w:tcPr>
            <w:tcW w:type="dxa" w:w="1128"/>
          </w:tcPr>
          <w:p>
            <w:pPr>
              <w:keepNext/>
              <w:spacing w:line="240" w:lineRule="auto" w:after="0"/>
              <w:jc w:val="center"/>
            </w:pPr>
            <w:r>
              <w:rPr>
                <w:b w:val="0"/>
                <w:i w:val="0"/>
                <w:sz w:val="18"/>
              </w:rPr>
              <w:t>-9.641</w:t>
            </w:r>
          </w:p>
        </w:tc>
        <w:tc>
          <w:tcPr>
            <w:tcW w:type="dxa" w:w="1128"/>
          </w:tcPr>
          <w:p>
            <w:pPr>
              <w:keepNext/>
              <w:spacing w:line="240" w:lineRule="auto" w:after="0"/>
              <w:jc w:val="center"/>
            </w:pPr>
            <w:r>
              <w:rPr>
                <w:b w:val="0"/>
                <w:i w:val="0"/>
                <w:sz w:val="18"/>
              </w:rPr>
              <w:t>0.0275</w:t>
            </w:r>
          </w:p>
        </w:tc>
        <w:tc>
          <w:tcPr>
            <w:tcW w:type="dxa" w:w="1128"/>
          </w:tcPr>
          <w:p>
            <w:pPr>
              <w:keepNext/>
              <w:spacing w:line="240" w:lineRule="auto" w:after="0"/>
              <w:jc w:val="center"/>
            </w:pPr>
            <w:r>
              <w:rPr>
                <w:b w:val="0"/>
                <w:i w:val="0"/>
                <w:sz w:val="18"/>
              </w:rPr>
              <w:t>-0.6245</w:t>
            </w:r>
          </w:p>
        </w:tc>
        <w:tc>
          <w:tcPr>
            <w:tcW w:type="dxa" w:w="1128"/>
          </w:tcPr>
          <w:p>
            <w:pPr>
              <w:keepNext/>
              <w:spacing w:line="240" w:lineRule="auto" w:after="0"/>
              <w:jc w:val="center"/>
            </w:pPr>
            <w:r>
              <w:rPr>
                <w:b w:val="0"/>
                <w:i w:val="0"/>
                <w:sz w:val="18"/>
              </w:rPr>
              <w:t>-0.0172</w:t>
            </w:r>
          </w:p>
        </w:tc>
        <w:tc>
          <w:tcPr>
            <w:tcW w:type="dxa" w:w="1128"/>
          </w:tcPr>
          <w:p>
            <w:pPr>
              <w:keepNext/>
              <w:spacing w:line="240" w:lineRule="auto" w:after="0"/>
              <w:jc w:val="center"/>
            </w:pPr>
            <w:r>
              <w:rPr>
                <w:b w:val="0"/>
                <w:i w:val="0"/>
                <w:sz w:val="18"/>
              </w:rPr>
              <w:t>0.0008</w:t>
            </w:r>
          </w:p>
        </w:tc>
        <w:tc>
          <w:tcPr>
            <w:tcW w:type="dxa" w:w="1128"/>
          </w:tcPr>
          <w:p>
            <w:pPr>
              <w:keepNext/>
              <w:spacing w:line="240" w:lineRule="auto" w:after="0"/>
              <w:jc w:val="center"/>
            </w:pPr>
            <w:r>
              <w:rPr>
                <w:b w:val="0"/>
                <w:i w:val="0"/>
                <w:sz w:val="18"/>
              </w:rPr>
              <w:t>0.3900</w:t>
            </w:r>
          </w:p>
        </w:tc>
      </w:tr>
      <w:tr>
        <w:trPr>
          <w:cantSplit w:val="true"/>
        </w:trPr>
        <w:tc>
          <w:tcPr>
            <w:tcW w:type="dxa" w:w="1128"/>
          </w:tcPr>
          <w:p>
            <w:pPr>
              <w:keepNext/>
              <w:spacing w:line="240" w:lineRule="auto" w:after="0"/>
              <w:jc w:val="center"/>
            </w:pPr>
            <w:r>
              <w:rPr>
                <w:b w:val="0"/>
                <w:i w:val="0"/>
                <w:sz w:val="18"/>
              </w:rPr>
              <w:t>3</w:t>
            </w:r>
          </w:p>
        </w:tc>
        <w:tc>
          <w:tcPr>
            <w:tcW w:type="dxa" w:w="1128"/>
          </w:tcPr>
          <w:p>
            <w:pPr>
              <w:keepNext/>
              <w:spacing w:line="240" w:lineRule="auto" w:after="0"/>
              <w:jc w:val="center"/>
            </w:pPr>
            <w:r>
              <w:rPr>
                <w:b w:val="0"/>
                <w:i w:val="0"/>
                <w:sz w:val="18"/>
              </w:rPr>
              <w:t>0.466</w:t>
            </w:r>
          </w:p>
        </w:tc>
        <w:tc>
          <w:tcPr>
            <w:tcW w:type="dxa" w:w="1128"/>
          </w:tcPr>
          <w:p>
            <w:pPr>
              <w:keepNext/>
              <w:spacing w:line="240" w:lineRule="auto" w:after="0"/>
              <w:jc w:val="center"/>
            </w:pPr>
            <w:r>
              <w:rPr>
                <w:b w:val="0"/>
                <w:i w:val="0"/>
                <w:sz w:val="18"/>
              </w:rPr>
              <w:t>-14.287</w:t>
            </w:r>
          </w:p>
        </w:tc>
        <w:tc>
          <w:tcPr>
            <w:tcW w:type="dxa" w:w="1128"/>
          </w:tcPr>
          <w:p>
            <w:pPr>
              <w:keepNext/>
              <w:spacing w:line="240" w:lineRule="auto" w:after="0"/>
              <w:jc w:val="center"/>
            </w:pPr>
            <w:r>
              <w:rPr>
                <w:b w:val="0"/>
                <w:i w:val="0"/>
                <w:sz w:val="18"/>
              </w:rPr>
              <w:t>-0.1455</w:t>
            </w:r>
          </w:p>
        </w:tc>
        <w:tc>
          <w:tcPr>
            <w:tcW w:type="dxa" w:w="1128"/>
          </w:tcPr>
          <w:p>
            <w:pPr>
              <w:keepNext/>
              <w:spacing w:line="240" w:lineRule="auto" w:after="0"/>
              <w:jc w:val="center"/>
            </w:pPr>
            <w:r>
              <w:rPr>
                <w:b w:val="0"/>
                <w:i w:val="0"/>
                <w:sz w:val="18"/>
              </w:rPr>
              <w:t>-5.2705</w:t>
            </w:r>
          </w:p>
        </w:tc>
        <w:tc>
          <w:tcPr>
            <w:tcW w:type="dxa" w:w="1128"/>
          </w:tcPr>
          <w:p>
            <w:pPr>
              <w:keepNext/>
              <w:spacing w:line="240" w:lineRule="auto" w:after="0"/>
              <w:jc w:val="center"/>
            </w:pPr>
            <w:r>
              <w:rPr>
                <w:b w:val="0"/>
                <w:i w:val="0"/>
                <w:sz w:val="18"/>
              </w:rPr>
              <w:t>0.7668</w:t>
            </w:r>
          </w:p>
        </w:tc>
        <w:tc>
          <w:tcPr>
            <w:tcW w:type="dxa" w:w="1128"/>
          </w:tcPr>
          <w:p>
            <w:pPr>
              <w:keepNext/>
              <w:spacing w:line="240" w:lineRule="auto" w:after="0"/>
              <w:jc w:val="center"/>
            </w:pPr>
            <w:r>
              <w:rPr>
                <w:b w:val="0"/>
                <w:i w:val="0"/>
                <w:sz w:val="18"/>
              </w:rPr>
              <w:t>0.0212</w:t>
            </w:r>
          </w:p>
        </w:tc>
        <w:tc>
          <w:tcPr>
            <w:tcW w:type="dxa" w:w="1128"/>
          </w:tcPr>
          <w:p>
            <w:pPr>
              <w:keepNext/>
              <w:spacing w:line="240" w:lineRule="auto" w:after="0"/>
              <w:jc w:val="center"/>
            </w:pPr>
            <w:r>
              <w:rPr>
                <w:b w:val="0"/>
                <w:i w:val="0"/>
                <w:sz w:val="18"/>
              </w:rPr>
              <w:t>27.7782</w:t>
            </w:r>
          </w:p>
        </w:tc>
      </w:tr>
      <w:tr>
        <w:trPr>
          <w:cantSplit w:val="true"/>
        </w:trPr>
        <w:tc>
          <w:tcPr>
            <w:tcW w:type="dxa" w:w="1128"/>
          </w:tcPr>
          <w:p>
            <w:pPr>
              <w:keepNext/>
              <w:spacing w:line="240" w:lineRule="auto" w:after="0"/>
              <w:jc w:val="center"/>
            </w:pPr>
            <w:r>
              <w:rPr>
                <w:b w:val="0"/>
                <w:i w:val="0"/>
                <w:sz w:val="18"/>
              </w:rPr>
              <w:t>4</w:t>
            </w:r>
          </w:p>
        </w:tc>
        <w:tc>
          <w:tcPr>
            <w:tcW w:type="dxa" w:w="1128"/>
          </w:tcPr>
          <w:p>
            <w:pPr>
              <w:keepNext/>
              <w:spacing w:line="240" w:lineRule="auto" w:after="0"/>
              <w:jc w:val="center"/>
            </w:pPr>
            <w:r>
              <w:rPr>
                <w:b w:val="0"/>
                <w:i w:val="0"/>
                <w:sz w:val="18"/>
              </w:rPr>
              <w:t>0.856</w:t>
            </w:r>
          </w:p>
        </w:tc>
        <w:tc>
          <w:tcPr>
            <w:tcW w:type="dxa" w:w="1128"/>
          </w:tcPr>
          <w:p>
            <w:pPr>
              <w:keepNext/>
              <w:spacing w:line="240" w:lineRule="auto" w:after="0"/>
              <w:jc w:val="center"/>
            </w:pPr>
            <w:r>
              <w:rPr>
                <w:b w:val="0"/>
                <w:i w:val="0"/>
                <w:sz w:val="18"/>
              </w:rPr>
              <w:t>-2.970</w:t>
            </w:r>
          </w:p>
        </w:tc>
        <w:tc>
          <w:tcPr>
            <w:tcW w:type="dxa" w:w="1128"/>
          </w:tcPr>
          <w:p>
            <w:pPr>
              <w:keepNext/>
              <w:spacing w:line="240" w:lineRule="auto" w:after="0"/>
              <w:jc w:val="center"/>
            </w:pPr>
            <w:r>
              <w:rPr>
                <w:b w:val="0"/>
                <w:i w:val="0"/>
                <w:sz w:val="18"/>
              </w:rPr>
              <w:t>0.2445</w:t>
            </w:r>
          </w:p>
        </w:tc>
        <w:tc>
          <w:tcPr>
            <w:tcW w:type="dxa" w:w="1128"/>
          </w:tcPr>
          <w:p>
            <w:pPr>
              <w:keepNext/>
              <w:spacing w:line="240" w:lineRule="auto" w:after="0"/>
              <w:jc w:val="center"/>
            </w:pPr>
            <w:r>
              <w:rPr>
                <w:b w:val="0"/>
                <w:i w:val="0"/>
                <w:sz w:val="18"/>
              </w:rPr>
              <w:t>6.0465</w:t>
            </w:r>
          </w:p>
        </w:tc>
        <w:tc>
          <w:tcPr>
            <w:tcW w:type="dxa" w:w="1128"/>
          </w:tcPr>
          <w:p>
            <w:pPr>
              <w:keepNext/>
              <w:spacing w:line="240" w:lineRule="auto" w:after="0"/>
              <w:jc w:val="center"/>
            </w:pPr>
            <w:r>
              <w:rPr>
                <w:b w:val="0"/>
                <w:i w:val="0"/>
                <w:sz w:val="18"/>
              </w:rPr>
              <w:t>1.4784</w:t>
            </w:r>
          </w:p>
        </w:tc>
        <w:tc>
          <w:tcPr>
            <w:tcW w:type="dxa" w:w="1128"/>
          </w:tcPr>
          <w:p>
            <w:pPr>
              <w:keepNext/>
              <w:spacing w:line="240" w:lineRule="auto" w:after="0"/>
              <w:jc w:val="center"/>
            </w:pPr>
            <w:r>
              <w:rPr>
                <w:b w:val="0"/>
                <w:i w:val="0"/>
                <w:sz w:val="18"/>
              </w:rPr>
              <w:t>0.0598</w:t>
            </w:r>
          </w:p>
        </w:tc>
        <w:tc>
          <w:tcPr>
            <w:tcW w:type="dxa" w:w="1128"/>
          </w:tcPr>
          <w:p>
            <w:pPr>
              <w:keepNext/>
              <w:spacing w:line="240" w:lineRule="auto" w:after="0"/>
              <w:jc w:val="center"/>
            </w:pPr>
            <w:r>
              <w:rPr>
                <w:b w:val="0"/>
                <w:i w:val="0"/>
                <w:sz w:val="18"/>
              </w:rPr>
              <w:t>36.5602</w:t>
            </w:r>
          </w:p>
        </w:tc>
      </w:tr>
      <w:tr>
        <w:trPr>
          <w:cantSplit w:val="true"/>
        </w:trPr>
        <w:tc>
          <w:tcPr>
            <w:tcW w:type="dxa" w:w="1128"/>
          </w:tcPr>
          <w:p>
            <w:pPr>
              <w:keepNext/>
              <w:spacing w:line="240" w:lineRule="auto" w:after="0"/>
              <w:jc w:val="center"/>
            </w:pPr>
            <w:r>
              <w:rPr>
                <w:b w:val="0"/>
                <w:i w:val="0"/>
                <w:sz w:val="18"/>
              </w:rPr>
              <w:t>5</w:t>
            </w:r>
          </w:p>
        </w:tc>
        <w:tc>
          <w:tcPr>
            <w:tcW w:type="dxa" w:w="1128"/>
          </w:tcPr>
          <w:p>
            <w:pPr>
              <w:keepNext/>
              <w:spacing w:line="240" w:lineRule="auto" w:after="0"/>
              <w:jc w:val="center"/>
            </w:pPr>
            <w:r>
              <w:rPr>
                <w:b w:val="0"/>
                <w:i w:val="0"/>
                <w:sz w:val="18"/>
              </w:rPr>
              <w:t>0.373</w:t>
            </w:r>
          </w:p>
        </w:tc>
        <w:tc>
          <w:tcPr>
            <w:tcW w:type="dxa" w:w="1128"/>
          </w:tcPr>
          <w:p>
            <w:pPr>
              <w:keepNext/>
              <w:spacing w:line="240" w:lineRule="auto" w:after="0"/>
              <w:jc w:val="center"/>
            </w:pPr>
            <w:r>
              <w:rPr>
                <w:b w:val="0"/>
                <w:i w:val="0"/>
                <w:sz w:val="18"/>
              </w:rPr>
              <w:t>-13.929</w:t>
            </w:r>
          </w:p>
        </w:tc>
        <w:tc>
          <w:tcPr>
            <w:tcW w:type="dxa" w:w="1128"/>
          </w:tcPr>
          <w:p>
            <w:pPr>
              <w:keepNext/>
              <w:spacing w:line="240" w:lineRule="auto" w:after="0"/>
              <w:jc w:val="center"/>
            </w:pPr>
            <w:r>
              <w:rPr>
                <w:b w:val="0"/>
                <w:i w:val="0"/>
                <w:sz w:val="18"/>
              </w:rPr>
              <w:t>-0.2385</w:t>
            </w:r>
          </w:p>
        </w:tc>
        <w:tc>
          <w:tcPr>
            <w:tcW w:type="dxa" w:w="1128"/>
          </w:tcPr>
          <w:p>
            <w:pPr>
              <w:keepNext/>
              <w:spacing w:line="240" w:lineRule="auto" w:after="0"/>
              <w:jc w:val="center"/>
            </w:pPr>
            <w:r>
              <w:rPr>
                <w:b w:val="0"/>
                <w:i w:val="0"/>
                <w:sz w:val="18"/>
              </w:rPr>
              <w:t>-4.9125</w:t>
            </w:r>
          </w:p>
        </w:tc>
        <w:tc>
          <w:tcPr>
            <w:tcW w:type="dxa" w:w="1128"/>
          </w:tcPr>
          <w:p>
            <w:pPr>
              <w:keepNext/>
              <w:spacing w:line="240" w:lineRule="auto" w:after="0"/>
              <w:jc w:val="center"/>
            </w:pPr>
            <w:r>
              <w:rPr>
                <w:b w:val="0"/>
                <w:i w:val="0"/>
                <w:sz w:val="18"/>
              </w:rPr>
              <w:t>1.1716</w:t>
            </w:r>
          </w:p>
        </w:tc>
        <w:tc>
          <w:tcPr>
            <w:tcW w:type="dxa" w:w="1128"/>
          </w:tcPr>
          <w:p>
            <w:pPr>
              <w:keepNext/>
              <w:spacing w:line="240" w:lineRule="auto" w:after="0"/>
              <w:jc w:val="center"/>
            </w:pPr>
            <w:r>
              <w:rPr>
                <w:b w:val="0"/>
                <w:i w:val="0"/>
                <w:sz w:val="18"/>
              </w:rPr>
              <w:t>0.0569</w:t>
            </w:r>
          </w:p>
        </w:tc>
        <w:tc>
          <w:tcPr>
            <w:tcW w:type="dxa" w:w="1128"/>
          </w:tcPr>
          <w:p>
            <w:pPr>
              <w:keepNext/>
              <w:spacing w:line="240" w:lineRule="auto" w:after="0"/>
              <w:jc w:val="center"/>
            </w:pPr>
            <w:r>
              <w:rPr>
                <w:b w:val="0"/>
                <w:i w:val="0"/>
                <w:sz w:val="18"/>
              </w:rPr>
              <w:t>24.1327</w:t>
            </w:r>
          </w:p>
        </w:tc>
      </w:tr>
      <w:tr>
        <w:trPr>
          <w:cantSplit w:val="true"/>
        </w:trPr>
        <w:tc>
          <w:tcPr>
            <w:tcW w:type="dxa" w:w="1128"/>
          </w:tcPr>
          <w:p>
            <w:pPr>
              <w:keepNext/>
              <w:spacing w:line="240" w:lineRule="auto" w:after="0"/>
              <w:jc w:val="center"/>
            </w:pPr>
            <w:r>
              <w:rPr>
                <w:b w:val="0"/>
                <w:i w:val="0"/>
                <w:sz w:val="18"/>
              </w:rPr>
              <w:t>6</w:t>
            </w:r>
          </w:p>
        </w:tc>
        <w:tc>
          <w:tcPr>
            <w:tcW w:type="dxa" w:w="1128"/>
          </w:tcPr>
          <w:p>
            <w:pPr>
              <w:keepNext/>
              <w:spacing w:line="240" w:lineRule="auto" w:after="0"/>
              <w:jc w:val="center"/>
            </w:pPr>
            <w:r>
              <w:rPr>
                <w:b w:val="0"/>
                <w:i w:val="0"/>
                <w:sz w:val="18"/>
              </w:rPr>
              <w:t>0.794</w:t>
            </w:r>
          </w:p>
        </w:tc>
        <w:tc>
          <w:tcPr>
            <w:tcW w:type="dxa" w:w="1128"/>
          </w:tcPr>
          <w:p>
            <w:pPr>
              <w:keepNext/>
              <w:spacing w:line="240" w:lineRule="auto" w:after="0"/>
              <w:jc w:val="center"/>
            </w:pPr>
            <w:r>
              <w:rPr>
                <w:b w:val="0"/>
                <w:i w:val="0"/>
                <w:sz w:val="18"/>
              </w:rPr>
              <w:t>-4.360</w:t>
            </w:r>
          </w:p>
        </w:tc>
        <w:tc>
          <w:tcPr>
            <w:tcW w:type="dxa" w:w="1128"/>
          </w:tcPr>
          <w:p>
            <w:pPr>
              <w:keepNext/>
              <w:spacing w:line="240" w:lineRule="auto" w:after="0"/>
              <w:jc w:val="center"/>
            </w:pPr>
            <w:r>
              <w:rPr>
                <w:b w:val="0"/>
                <w:i w:val="0"/>
                <w:sz w:val="18"/>
              </w:rPr>
              <w:t>0.1825</w:t>
            </w:r>
          </w:p>
        </w:tc>
        <w:tc>
          <w:tcPr>
            <w:tcW w:type="dxa" w:w="1128"/>
          </w:tcPr>
          <w:p>
            <w:pPr>
              <w:keepNext/>
              <w:spacing w:line="240" w:lineRule="auto" w:after="0"/>
              <w:jc w:val="center"/>
            </w:pPr>
            <w:r>
              <w:rPr>
                <w:b w:val="0"/>
                <w:i w:val="0"/>
                <w:sz w:val="18"/>
              </w:rPr>
              <w:t>4.6565</w:t>
            </w:r>
          </w:p>
        </w:tc>
        <w:tc>
          <w:tcPr>
            <w:tcW w:type="dxa" w:w="1128"/>
          </w:tcPr>
          <w:p>
            <w:pPr>
              <w:keepNext/>
              <w:spacing w:line="240" w:lineRule="auto" w:after="0"/>
              <w:jc w:val="center"/>
            </w:pPr>
            <w:r>
              <w:rPr>
                <w:b w:val="0"/>
                <w:i w:val="0"/>
                <w:sz w:val="18"/>
              </w:rPr>
              <w:t>0.8499</w:t>
            </w:r>
          </w:p>
        </w:tc>
        <w:tc>
          <w:tcPr>
            <w:tcW w:type="dxa" w:w="1128"/>
          </w:tcPr>
          <w:p>
            <w:pPr>
              <w:keepNext/>
              <w:spacing w:line="240" w:lineRule="auto" w:after="0"/>
              <w:jc w:val="center"/>
            </w:pPr>
            <w:r>
              <w:rPr>
                <w:b w:val="0"/>
                <w:i w:val="0"/>
                <w:sz w:val="18"/>
              </w:rPr>
              <w:t>0.0333</w:t>
            </w:r>
          </w:p>
        </w:tc>
        <w:tc>
          <w:tcPr>
            <w:tcW w:type="dxa" w:w="1128"/>
          </w:tcPr>
          <w:p>
            <w:pPr>
              <w:keepNext/>
              <w:spacing w:line="240" w:lineRule="auto" w:after="0"/>
              <w:jc w:val="center"/>
            </w:pPr>
            <w:r>
              <w:rPr>
                <w:b w:val="0"/>
                <w:i w:val="0"/>
                <w:sz w:val="18"/>
              </w:rPr>
              <w:t>21.6830</w:t>
            </w:r>
          </w:p>
        </w:tc>
      </w:tr>
      <w:tr>
        <w:trPr>
          <w:cantSplit w:val="true"/>
        </w:trPr>
        <w:tc>
          <w:tcPr>
            <w:tcW w:type="dxa" w:w="1128"/>
          </w:tcPr>
          <w:p>
            <w:pPr>
              <w:keepNext/>
              <w:spacing w:line="240" w:lineRule="auto" w:after="0"/>
              <w:jc w:val="center"/>
            </w:pPr>
            <w:r>
              <w:rPr>
                <w:b w:val="0"/>
                <w:i w:val="0"/>
                <w:sz w:val="18"/>
              </w:rPr>
              <w:t>7</w:t>
            </w:r>
          </w:p>
        </w:tc>
        <w:tc>
          <w:tcPr>
            <w:tcW w:type="dxa" w:w="1128"/>
          </w:tcPr>
          <w:p>
            <w:pPr>
              <w:keepNext/>
              <w:spacing w:line="240" w:lineRule="auto" w:after="0"/>
              <w:jc w:val="center"/>
            </w:pPr>
            <w:r>
              <w:rPr>
                <w:b w:val="0"/>
                <w:i w:val="0"/>
                <w:sz w:val="18"/>
              </w:rPr>
              <w:t>0.081</w:t>
            </w:r>
          </w:p>
        </w:tc>
        <w:tc>
          <w:tcPr>
            <w:tcW w:type="dxa" w:w="1128"/>
          </w:tcPr>
          <w:p>
            <w:pPr>
              <w:keepNext/>
              <w:spacing w:line="240" w:lineRule="auto" w:after="0"/>
              <w:jc w:val="center"/>
            </w:pPr>
            <w:r>
              <w:rPr>
                <w:b w:val="0"/>
                <w:i w:val="0"/>
                <w:sz w:val="18"/>
              </w:rPr>
              <w:t>-19.828</w:t>
            </w:r>
          </w:p>
        </w:tc>
        <w:tc>
          <w:tcPr>
            <w:tcW w:type="dxa" w:w="1128"/>
          </w:tcPr>
          <w:p>
            <w:pPr>
              <w:keepNext/>
              <w:spacing w:line="240" w:lineRule="auto" w:after="0"/>
              <w:jc w:val="center"/>
            </w:pPr>
            <w:r>
              <w:rPr>
                <w:b w:val="0"/>
                <w:i w:val="0"/>
                <w:sz w:val="18"/>
              </w:rPr>
              <w:t>-0.5306</w:t>
            </w:r>
          </w:p>
        </w:tc>
        <w:tc>
          <w:tcPr>
            <w:tcW w:type="dxa" w:w="1128"/>
          </w:tcPr>
          <w:p>
            <w:pPr>
              <w:keepNext/>
              <w:spacing w:line="240" w:lineRule="auto" w:after="0"/>
              <w:jc w:val="center"/>
            </w:pPr>
            <w:r>
              <w:rPr>
                <w:b w:val="0"/>
                <w:i w:val="0"/>
                <w:sz w:val="18"/>
              </w:rPr>
              <w:t>-10.8115</w:t>
            </w:r>
          </w:p>
        </w:tc>
        <w:tc>
          <w:tcPr>
            <w:tcW w:type="dxa" w:w="1128"/>
          </w:tcPr>
          <w:p>
            <w:pPr>
              <w:keepNext/>
              <w:spacing w:line="240" w:lineRule="auto" w:after="0"/>
              <w:jc w:val="center"/>
            </w:pPr>
            <w:r>
              <w:rPr>
                <w:b w:val="0"/>
                <w:i w:val="0"/>
                <w:sz w:val="18"/>
              </w:rPr>
              <w:t>5.7365</w:t>
            </w:r>
          </w:p>
        </w:tc>
        <w:tc>
          <w:tcPr>
            <w:tcW w:type="dxa" w:w="1128"/>
          </w:tcPr>
          <w:p>
            <w:pPr>
              <w:keepNext/>
              <w:spacing w:line="240" w:lineRule="auto" w:after="0"/>
              <w:jc w:val="center"/>
            </w:pPr>
            <w:r>
              <w:rPr>
                <w:b w:val="0"/>
                <w:i w:val="0"/>
                <w:sz w:val="18"/>
              </w:rPr>
              <w:t>0.2815</w:t>
            </w:r>
          </w:p>
        </w:tc>
        <w:tc>
          <w:tcPr>
            <w:tcW w:type="dxa" w:w="1128"/>
          </w:tcPr>
          <w:p>
            <w:pPr>
              <w:keepNext/>
              <w:spacing w:line="240" w:lineRule="auto" w:after="0"/>
              <w:jc w:val="center"/>
            </w:pPr>
            <w:r>
              <w:rPr>
                <w:b w:val="0"/>
                <w:i w:val="0"/>
                <w:sz w:val="18"/>
              </w:rPr>
              <w:t>116.8885</w:t>
            </w:r>
          </w:p>
        </w:tc>
      </w:tr>
      <w:tr>
        <w:trPr>
          <w:cantSplit w:val="true"/>
        </w:trPr>
        <w:tc>
          <w:tcPr>
            <w:tcW w:type="dxa" w:w="1128"/>
          </w:tcPr>
          <w:p>
            <w:pPr>
              <w:keepNext/>
              <w:spacing w:line="240" w:lineRule="auto" w:after="0"/>
              <w:jc w:val="center"/>
            </w:pPr>
            <w:r>
              <w:rPr>
                <w:b w:val="0"/>
                <w:i w:val="0"/>
                <w:sz w:val="18"/>
              </w:rPr>
              <w:t>8</w:t>
            </w:r>
          </w:p>
        </w:tc>
        <w:tc>
          <w:tcPr>
            <w:tcW w:type="dxa" w:w="1128"/>
          </w:tcPr>
          <w:p>
            <w:pPr>
              <w:keepNext/>
              <w:spacing w:line="240" w:lineRule="auto" w:after="0"/>
              <w:jc w:val="center"/>
            </w:pPr>
            <w:r>
              <w:rPr>
                <w:b w:val="0"/>
                <w:i w:val="0"/>
                <w:sz w:val="18"/>
              </w:rPr>
              <w:t>0.209</w:t>
            </w:r>
          </w:p>
        </w:tc>
        <w:tc>
          <w:tcPr>
            <w:tcW w:type="dxa" w:w="1128"/>
          </w:tcPr>
          <w:p>
            <w:pPr>
              <w:keepNext/>
              <w:spacing w:line="240" w:lineRule="auto" w:after="0"/>
              <w:jc w:val="center"/>
            </w:pPr>
            <w:r>
              <w:rPr>
                <w:b w:val="0"/>
                <w:i w:val="0"/>
                <w:sz w:val="18"/>
              </w:rPr>
              <w:t>-13.506</w:t>
            </w:r>
          </w:p>
        </w:tc>
        <w:tc>
          <w:tcPr>
            <w:tcW w:type="dxa" w:w="1128"/>
          </w:tcPr>
          <w:p>
            <w:pPr>
              <w:keepNext/>
              <w:spacing w:line="240" w:lineRule="auto" w:after="0"/>
              <w:jc w:val="center"/>
            </w:pPr>
            <w:r>
              <w:rPr>
                <w:b w:val="0"/>
                <w:i w:val="0"/>
                <w:sz w:val="18"/>
              </w:rPr>
              <w:t>-0.4025</w:t>
            </w:r>
          </w:p>
        </w:tc>
        <w:tc>
          <w:tcPr>
            <w:tcW w:type="dxa" w:w="1128"/>
          </w:tcPr>
          <w:p>
            <w:pPr>
              <w:keepNext/>
              <w:spacing w:line="240" w:lineRule="auto" w:after="0"/>
              <w:jc w:val="center"/>
            </w:pPr>
            <w:r>
              <w:rPr>
                <w:b w:val="0"/>
                <w:i w:val="0"/>
                <w:sz w:val="18"/>
              </w:rPr>
              <w:t>-4.4895</w:t>
            </w:r>
          </w:p>
        </w:tc>
        <w:tc>
          <w:tcPr>
            <w:tcW w:type="dxa" w:w="1128"/>
          </w:tcPr>
          <w:p>
            <w:pPr>
              <w:keepNext/>
              <w:spacing w:line="240" w:lineRule="auto" w:after="0"/>
              <w:jc w:val="center"/>
            </w:pPr>
            <w:r>
              <w:rPr>
                <w:b w:val="0"/>
                <w:i w:val="0"/>
                <w:sz w:val="18"/>
              </w:rPr>
              <w:t>1.8070</w:t>
            </w:r>
          </w:p>
        </w:tc>
        <w:tc>
          <w:tcPr>
            <w:tcW w:type="dxa" w:w="1128"/>
          </w:tcPr>
          <w:p>
            <w:pPr>
              <w:keepNext/>
              <w:spacing w:line="240" w:lineRule="auto" w:after="0"/>
              <w:jc w:val="center"/>
            </w:pPr>
            <w:r>
              <w:rPr>
                <w:b w:val="0"/>
                <w:i w:val="0"/>
                <w:sz w:val="18"/>
              </w:rPr>
              <w:t>0.1620</w:t>
            </w:r>
          </w:p>
        </w:tc>
        <w:tc>
          <w:tcPr>
            <w:tcW w:type="dxa" w:w="1128"/>
          </w:tcPr>
          <w:p>
            <w:pPr>
              <w:keepNext/>
              <w:spacing w:line="240" w:lineRule="auto" w:after="0"/>
              <w:jc w:val="center"/>
            </w:pPr>
            <w:r>
              <w:rPr>
                <w:b w:val="0"/>
                <w:i w:val="0"/>
                <w:sz w:val="18"/>
              </w:rPr>
              <w:t>20.1556</w:t>
            </w:r>
          </w:p>
        </w:tc>
      </w:tr>
      <w:tr>
        <w:trPr>
          <w:cantSplit w:val="true"/>
        </w:trPr>
        <w:tc>
          <w:tcPr>
            <w:tcW w:type="dxa" w:w="1128"/>
          </w:tcPr>
          <w:p>
            <w:pPr>
              <w:keepNext/>
              <w:spacing w:line="240" w:lineRule="auto" w:after="0"/>
              <w:jc w:val="center"/>
            </w:pPr>
            <w:r>
              <w:rPr>
                <w:b w:val="0"/>
                <w:i w:val="0"/>
                <w:sz w:val="18"/>
              </w:rPr>
              <w:t>9</w:t>
            </w:r>
          </w:p>
        </w:tc>
        <w:tc>
          <w:tcPr>
            <w:tcW w:type="dxa" w:w="1128"/>
          </w:tcPr>
          <w:p>
            <w:pPr>
              <w:keepNext/>
              <w:spacing w:line="240" w:lineRule="auto" w:after="0"/>
              <w:jc w:val="center"/>
            </w:pPr>
            <w:r>
              <w:rPr>
                <w:b w:val="0"/>
                <w:i w:val="0"/>
                <w:sz w:val="18"/>
              </w:rPr>
              <w:t>0.977</w:t>
            </w:r>
          </w:p>
        </w:tc>
        <w:tc>
          <w:tcPr>
            <w:tcW w:type="dxa" w:w="1128"/>
          </w:tcPr>
          <w:p>
            <w:pPr>
              <w:keepNext/>
              <w:spacing w:line="240" w:lineRule="auto" w:after="0"/>
              <w:jc w:val="center"/>
            </w:pPr>
            <w:r>
              <w:rPr>
                <w:b w:val="0"/>
                <w:i w:val="0"/>
                <w:sz w:val="18"/>
              </w:rPr>
              <w:t>-3.356</w:t>
            </w:r>
          </w:p>
        </w:tc>
        <w:tc>
          <w:tcPr>
            <w:tcW w:type="dxa" w:w="1128"/>
          </w:tcPr>
          <w:p>
            <w:pPr>
              <w:keepNext/>
              <w:spacing w:line="240" w:lineRule="auto" w:after="0"/>
              <w:jc w:val="center"/>
            </w:pPr>
            <w:r>
              <w:rPr>
                <w:b w:val="0"/>
                <w:i w:val="0"/>
                <w:sz w:val="18"/>
              </w:rPr>
              <w:t>0.3655</w:t>
            </w:r>
          </w:p>
        </w:tc>
        <w:tc>
          <w:tcPr>
            <w:tcW w:type="dxa" w:w="1128"/>
          </w:tcPr>
          <w:p>
            <w:pPr>
              <w:keepNext/>
              <w:spacing w:line="240" w:lineRule="auto" w:after="0"/>
              <w:jc w:val="center"/>
            </w:pPr>
            <w:r>
              <w:rPr>
                <w:b w:val="0"/>
                <w:i w:val="0"/>
                <w:sz w:val="18"/>
              </w:rPr>
              <w:t>5.6605</w:t>
            </w:r>
          </w:p>
        </w:tc>
        <w:tc>
          <w:tcPr>
            <w:tcW w:type="dxa" w:w="1128"/>
          </w:tcPr>
          <w:p>
            <w:pPr>
              <w:keepNext/>
              <w:spacing w:line="240" w:lineRule="auto" w:after="0"/>
              <w:jc w:val="center"/>
            </w:pPr>
            <w:r>
              <w:rPr>
                <w:b w:val="0"/>
                <w:i w:val="0"/>
                <w:sz w:val="18"/>
              </w:rPr>
              <w:t>2.0690</w:t>
            </w:r>
          </w:p>
        </w:tc>
        <w:tc>
          <w:tcPr>
            <w:tcW w:type="dxa" w:w="1128"/>
          </w:tcPr>
          <w:p>
            <w:pPr>
              <w:keepNext/>
              <w:spacing w:line="240" w:lineRule="auto" w:after="0"/>
              <w:jc w:val="center"/>
            </w:pPr>
            <w:r>
              <w:rPr>
                <w:b w:val="0"/>
                <w:i w:val="0"/>
                <w:sz w:val="18"/>
              </w:rPr>
              <w:t>0.1336</w:t>
            </w:r>
          </w:p>
        </w:tc>
        <w:tc>
          <w:tcPr>
            <w:tcW w:type="dxa" w:w="1128"/>
          </w:tcPr>
          <w:p>
            <w:pPr>
              <w:keepNext/>
              <w:spacing w:line="240" w:lineRule="auto" w:after="0"/>
              <w:jc w:val="center"/>
            </w:pPr>
            <w:r>
              <w:rPr>
                <w:b w:val="0"/>
                <w:i w:val="0"/>
                <w:sz w:val="18"/>
              </w:rPr>
              <w:t>32.0413</w:t>
            </w:r>
          </w:p>
        </w:tc>
      </w:tr>
      <w:tr>
        <w:trPr>
          <w:cantSplit w:val="true"/>
        </w:trPr>
        <w:tc>
          <w:tcPr>
            <w:tcW w:type="dxa" w:w="1128"/>
          </w:tcPr>
          <w:p>
            <w:pPr>
              <w:keepNext/>
              <w:spacing w:line="240" w:lineRule="auto" w:after="0"/>
              <w:jc w:val="center"/>
            </w:pPr>
            <w:r>
              <w:rPr>
                <w:b w:val="0"/>
                <w:i w:val="0"/>
                <w:sz w:val="18"/>
              </w:rPr>
              <w:t>10</w:t>
            </w:r>
          </w:p>
        </w:tc>
        <w:tc>
          <w:tcPr>
            <w:tcW w:type="dxa" w:w="1128"/>
          </w:tcPr>
          <w:p>
            <w:pPr>
              <w:keepNext/>
              <w:spacing w:line="240" w:lineRule="auto" w:after="0"/>
              <w:jc w:val="center"/>
            </w:pPr>
            <w:r>
              <w:rPr>
                <w:b w:val="0"/>
                <w:i w:val="0"/>
                <w:sz w:val="18"/>
              </w:rPr>
              <w:t>0.984</w:t>
            </w:r>
          </w:p>
        </w:tc>
        <w:tc>
          <w:tcPr>
            <w:tcW w:type="dxa" w:w="1128"/>
          </w:tcPr>
          <w:p>
            <w:pPr>
              <w:keepNext/>
              <w:spacing w:line="240" w:lineRule="auto" w:after="0"/>
              <w:jc w:val="center"/>
            </w:pPr>
            <w:r>
              <w:rPr>
                <w:b w:val="0"/>
                <w:i w:val="0"/>
                <w:sz w:val="18"/>
              </w:rPr>
              <w:t>-4.631</w:t>
            </w:r>
          </w:p>
        </w:tc>
        <w:tc>
          <w:tcPr>
            <w:tcW w:type="dxa" w:w="1128"/>
          </w:tcPr>
          <w:p>
            <w:pPr>
              <w:keepNext/>
              <w:spacing w:line="240" w:lineRule="auto" w:after="0"/>
              <w:jc w:val="center"/>
            </w:pPr>
            <w:r>
              <w:rPr>
                <w:b w:val="0"/>
                <w:i w:val="0"/>
                <w:sz w:val="18"/>
              </w:rPr>
              <w:t>0.3725</w:t>
            </w:r>
          </w:p>
        </w:tc>
        <w:tc>
          <w:tcPr>
            <w:tcW w:type="dxa" w:w="1128"/>
          </w:tcPr>
          <w:p>
            <w:pPr>
              <w:keepNext/>
              <w:spacing w:line="240" w:lineRule="auto" w:after="0"/>
              <w:jc w:val="center"/>
            </w:pPr>
            <w:r>
              <w:rPr>
                <w:b w:val="0"/>
                <w:i w:val="0"/>
                <w:sz w:val="18"/>
              </w:rPr>
              <w:t>4.3855</w:t>
            </w:r>
          </w:p>
        </w:tc>
        <w:tc>
          <w:tcPr>
            <w:tcW w:type="dxa" w:w="1128"/>
          </w:tcPr>
          <w:p>
            <w:pPr>
              <w:keepNext/>
              <w:spacing w:line="240" w:lineRule="auto" w:after="0"/>
              <w:jc w:val="center"/>
            </w:pPr>
            <w:r>
              <w:rPr>
                <w:b w:val="0"/>
                <w:i w:val="0"/>
                <w:sz w:val="18"/>
              </w:rPr>
              <w:t>1.6336</w:t>
            </w:r>
          </w:p>
        </w:tc>
        <w:tc>
          <w:tcPr>
            <w:tcW w:type="dxa" w:w="1128"/>
          </w:tcPr>
          <w:p>
            <w:pPr>
              <w:keepNext/>
              <w:spacing w:line="240" w:lineRule="auto" w:after="0"/>
              <w:jc w:val="center"/>
            </w:pPr>
            <w:r>
              <w:rPr>
                <w:b w:val="0"/>
                <w:i w:val="0"/>
                <w:sz w:val="18"/>
              </w:rPr>
              <w:t>0.1388</w:t>
            </w:r>
          </w:p>
        </w:tc>
        <w:tc>
          <w:tcPr>
            <w:tcW w:type="dxa" w:w="1128"/>
          </w:tcPr>
          <w:p>
            <w:pPr>
              <w:keepNext/>
              <w:spacing w:line="240" w:lineRule="auto" w:after="0"/>
              <w:jc w:val="center"/>
            </w:pPr>
            <w:r>
              <w:rPr>
                <w:b w:val="0"/>
                <w:i w:val="0"/>
                <w:sz w:val="18"/>
              </w:rPr>
              <w:t>19.2326</w:t>
            </w:r>
          </w:p>
        </w:tc>
      </w:tr>
      <w:tr>
        <w:trPr>
          <w:cantSplit w:val="true"/>
        </w:trPr>
        <w:tc>
          <w:tcPr>
            <w:tcW w:type="dxa" w:w="1128"/>
          </w:tcPr>
          <w:p>
            <w:pPr>
              <w:keepNext/>
              <w:spacing w:line="240" w:lineRule="auto" w:after="0"/>
              <w:jc w:val="center"/>
            </w:pPr>
            <w:r>
              <w:rPr>
                <w:b w:val="0"/>
                <w:i w:val="0"/>
                <w:sz w:val="18"/>
              </w:rPr>
              <w:t>Sum</w:t>
            </w:r>
          </w:p>
        </w:tc>
        <w:tc>
          <w:tcPr>
            <w:tcW w:type="dxa" w:w="1128"/>
          </w:tcPr>
          <w:p>
            <w:pPr>
              <w:keepNext/>
              <w:spacing w:line="240" w:lineRule="auto" w:after="0"/>
              <w:jc w:val="center"/>
            </w:pPr>
          </w:p>
        </w:tc>
        <w:tc>
          <w:tcPr>
            <w:tcW w:type="dxa" w:w="1128"/>
          </w:tcPr>
          <w:p>
            <w:pPr>
              <w:keepNext/>
              <w:spacing w:line="240" w:lineRule="auto" w:after="0"/>
              <w:jc w:val="center"/>
            </w:pPr>
          </w:p>
        </w:tc>
        <w:tc>
          <w:tcPr>
            <w:tcW w:type="dxa" w:w="1128"/>
          </w:tcPr>
          <w:p>
            <w:pPr>
              <w:keepNext/>
              <w:spacing w:line="240" w:lineRule="auto" w:after="0"/>
              <w:jc w:val="center"/>
            </w:pPr>
          </w:p>
        </w:tc>
        <w:tc>
          <w:tcPr>
            <w:tcW w:type="dxa" w:w="1128"/>
          </w:tcPr>
          <w:p>
            <w:pPr>
              <w:keepNext/>
              <w:spacing w:line="240" w:lineRule="auto" w:after="0"/>
              <w:jc w:val="center"/>
            </w:pPr>
          </w:p>
        </w:tc>
        <w:tc>
          <w:tcPr>
            <w:tcW w:type="dxa" w:w="1128"/>
          </w:tcPr>
          <w:p>
            <w:pPr>
              <w:keepNext/>
              <w:spacing w:line="240" w:lineRule="auto" w:after="0"/>
              <w:jc w:val="center"/>
            </w:pPr>
            <w:r>
              <w:rPr>
                <w:b w:val="0"/>
                <w:i w:val="0"/>
                <w:sz w:val="18"/>
              </w:rPr>
              <w:t>16.1629</w:t>
            </w:r>
          </w:p>
        </w:tc>
        <w:tc>
          <w:tcPr>
            <w:tcW w:type="dxa" w:w="1128"/>
          </w:tcPr>
          <w:p>
            <w:pPr>
              <w:keepNext/>
              <w:spacing w:line="240" w:lineRule="auto" w:after="0"/>
              <w:jc w:val="center"/>
            </w:pPr>
            <w:r>
              <w:rPr>
                <w:b w:val="0"/>
                <w:i w:val="0"/>
                <w:sz w:val="18"/>
              </w:rPr>
              <w:t>0.9034</w:t>
            </w:r>
          </w:p>
        </w:tc>
        <w:tc>
          <w:tcPr>
            <w:tcW w:type="dxa" w:w="1128"/>
          </w:tcPr>
          <w:p>
            <w:pPr>
              <w:keepNext/>
              <w:spacing w:line="240" w:lineRule="auto" w:after="0"/>
              <w:jc w:val="center"/>
            </w:pPr>
            <w:r>
              <w:rPr>
                <w:b w:val="0"/>
                <w:i w:val="0"/>
                <w:sz w:val="18"/>
              </w:rPr>
              <w:t>327.5863</w:t>
            </w:r>
          </w:p>
        </w:tc>
      </w:tr>
    </w:tbl>
    <w:p>
      <w:pPr>
        <w:spacing w:before="80" w:line="240" w:lineRule="auto"/>
        <w:jc w:val="center"/>
      </w:pPr>
      <w:r>
        <w:rPr>
          <w:sz w:val="20"/>
        </w:rPr>
        <w:t>TABLE XII: Worked Pearson correlation by formula (energy vs loudness, 10 tracks)</w:t>
      </w:r>
    </w:p>
    <w:p>
      <w:pPr>
        <w:pStyle w:val="Heading3"/>
        <w:jc w:val="left"/>
      </w:pPr>
      <w:r>
        <w:t>4.2.5 Multivariate Visualisation of Genres</w:t>
      </w:r>
    </w:p>
    <w:p>
      <w:pPr>
        <w:jc w:val="both"/>
      </w:pPr>
      <w:r>
        <w:rPr>
          <w:b w:val="0"/>
          <w:i w:val="0"/>
        </w:rPr>
        <w:t>To see all features at once, a balanced sample of 60 tracks from each of the eight genres (classical, jazz, country, rock, metal, hip-hop, edm, pop) was drawn so that no genre dominates the picture. In the parallel-coordinates plot (Fig. 8) each track is a line across seven axes, and the thick lines are genre means. Classical stands apart with high acousticness (0.92) and instrumentalness (0.60); metal has the highest energy (0.84); hip-hop has the highest speechiness (0.13) and danceability (0.73).</w:t>
      </w:r>
    </w:p>
    <w:p>
      <w:pPr>
        <w:keepNext/>
        <w:spacing w:after="40" w:line="240" w:lineRule="auto"/>
        <w:jc w:val="center"/>
      </w:pPr>
      <w:r>
        <w:drawing>
          <wp:inline xmlns:a="http://schemas.openxmlformats.org/drawingml/2006/main" xmlns:pic="http://schemas.openxmlformats.org/drawingml/2006/picture">
            <wp:extent cx="5852160" cy="2614832"/>
            <wp:docPr id="8" name="Picture 8"/>
            <wp:cNvGraphicFramePr>
              <a:graphicFrameLocks noChangeAspect="1"/>
            </wp:cNvGraphicFramePr>
            <a:graphic>
              <a:graphicData uri="http://schemas.openxmlformats.org/drawingml/2006/picture">
                <pic:pic>
                  <pic:nvPicPr>
                    <pic:cNvPr id="0" name="fig_04_02_parallel_coordinates_genres.png"/>
                    <pic:cNvPicPr/>
                  </pic:nvPicPr>
                  <pic:blipFill>
                    <a:blip r:embed="rId42"/>
                    <a:stretch>
                      <a:fillRect/>
                    </a:stretch>
                  </pic:blipFill>
                  <pic:spPr>
                    <a:xfrm>
                      <a:off x="0" y="0"/>
                      <a:ext cx="5852160" cy="2614832"/>
                    </a:xfrm>
                    <a:prstGeom prst="rect"/>
                  </pic:spPr>
                </pic:pic>
              </a:graphicData>
            </a:graphic>
          </wp:inline>
        </w:drawing>
      </w:r>
    </w:p>
    <w:p>
      <w:pPr>
        <w:spacing w:line="240" w:lineRule="auto"/>
        <w:jc w:val="center"/>
      </w:pPr>
      <w:r>
        <w:rPr>
          <w:sz w:val="20"/>
        </w:rPr>
        <w:t>Fig. 8. Parallel coordinates of eight genres (balanced sample, genre means in bold)</w:t>
      </w:r>
    </w:p>
    <w:p>
      <w:pPr>
        <w:jc w:val="both"/>
      </w:pPr>
      <w:r>
        <w:rPr>
          <w:b w:val="0"/>
          <w:i w:val="0"/>
        </w:rPr>
        <w:t>Andrews curves (Fig. 9) turn each track into a Fourier series f(t) = x1/sqrt(2) + x2 sin t + x3 cos t + ..., so tracks with similar features draw similar waves. Classical curves form a clearly separate band (deep dips near t = -2.8 and t = 1.8), while the other seven genres overlap heavily, which agrees with the parallel-coordinates view and the silhouette results in Section 4.2.7.</w:t>
      </w:r>
    </w:p>
    <w:p>
      <w:pPr>
        <w:keepNext/>
        <w:spacing w:after="40" w:line="240" w:lineRule="auto"/>
        <w:jc w:val="center"/>
      </w:pPr>
      <w:r>
        <w:drawing>
          <wp:inline xmlns:a="http://schemas.openxmlformats.org/drawingml/2006/main" xmlns:pic="http://schemas.openxmlformats.org/drawingml/2006/picture">
            <wp:extent cx="5669280" cy="2666264"/>
            <wp:docPr id="9" name="Picture 9"/>
            <wp:cNvGraphicFramePr>
              <a:graphicFrameLocks noChangeAspect="1"/>
            </wp:cNvGraphicFramePr>
            <a:graphic>
              <a:graphicData uri="http://schemas.openxmlformats.org/drawingml/2006/picture">
                <pic:pic>
                  <pic:nvPicPr>
                    <pic:cNvPr id="0" name="fig_04_03_andrews_curves_genres.png"/>
                    <pic:cNvPicPr/>
                  </pic:nvPicPr>
                  <pic:blipFill>
                    <a:blip r:embed="rId43"/>
                    <a:stretch>
                      <a:fillRect/>
                    </a:stretch>
                  </pic:blipFill>
                  <pic:spPr>
                    <a:xfrm>
                      <a:off x="0" y="0"/>
                      <a:ext cx="5669280" cy="2666264"/>
                    </a:xfrm>
                    <a:prstGeom prst="rect"/>
                  </pic:spPr>
                </pic:pic>
              </a:graphicData>
            </a:graphic>
          </wp:inline>
        </w:drawing>
      </w:r>
    </w:p>
    <w:p>
      <w:pPr>
        <w:spacing w:line="240" w:lineRule="auto"/>
        <w:jc w:val="center"/>
      </w:pPr>
      <w:r>
        <w:rPr>
          <w:sz w:val="20"/>
        </w:rPr>
        <w:t>Fig. 9. Andrews curves of eight genres</w:t>
      </w:r>
    </w:p>
    <w:p>
      <w:pPr>
        <w:jc w:val="both"/>
      </w:pPr>
      <w:r>
        <w:rPr>
          <w:b w:val="0"/>
          <w:i w:val="0"/>
        </w:rPr>
        <w:t>Radar fingerprints (Fig. 10) give each genre a compact visual signature, and violin plots (Fig. 11) show the full distributions behind the means. EDM and hip-hop have narrow, high danceability distributions, while classical has the lowest energy (mean 0.20).</w:t>
      </w:r>
    </w:p>
    <w:p>
      <w:pPr>
        <w:keepNext/>
        <w:spacing w:after="40" w:line="240" w:lineRule="auto"/>
        <w:jc w:val="center"/>
      </w:pPr>
      <w:r>
        <w:drawing>
          <wp:inline xmlns:a="http://schemas.openxmlformats.org/drawingml/2006/main" xmlns:pic="http://schemas.openxmlformats.org/drawingml/2006/picture">
            <wp:extent cx="5669280" cy="2969558"/>
            <wp:docPr id="10" name="Picture 10"/>
            <wp:cNvGraphicFramePr>
              <a:graphicFrameLocks noChangeAspect="1"/>
            </wp:cNvGraphicFramePr>
            <a:graphic>
              <a:graphicData uri="http://schemas.openxmlformats.org/drawingml/2006/picture">
                <pic:pic>
                  <pic:nvPicPr>
                    <pic:cNvPr id="0" name="fig_04_04_radar_genre_fingerprints.png"/>
                    <pic:cNvPicPr/>
                  </pic:nvPicPr>
                  <pic:blipFill>
                    <a:blip r:embed="rId44"/>
                    <a:stretch>
                      <a:fillRect/>
                    </a:stretch>
                  </pic:blipFill>
                  <pic:spPr>
                    <a:xfrm>
                      <a:off x="0" y="0"/>
                      <a:ext cx="5669280" cy="2969558"/>
                    </a:xfrm>
                    <a:prstGeom prst="rect"/>
                  </pic:spPr>
                </pic:pic>
              </a:graphicData>
            </a:graphic>
          </wp:inline>
        </w:drawing>
      </w:r>
    </w:p>
    <w:p>
      <w:pPr>
        <w:spacing w:line="240" w:lineRule="auto"/>
        <w:jc w:val="center"/>
      </w:pPr>
      <w:r>
        <w:rPr>
          <w:sz w:val="20"/>
        </w:rPr>
        <w:t>Fig. 10. Radar fingerprints of mean audio profiles per genre</w:t>
      </w:r>
    </w:p>
    <w:p>
      <w:pPr>
        <w:keepNext/>
        <w:spacing w:after="40" w:line="240" w:lineRule="auto"/>
        <w:jc w:val="center"/>
      </w:pPr>
      <w:r>
        <w:drawing>
          <wp:inline xmlns:a="http://schemas.openxmlformats.org/drawingml/2006/main" xmlns:pic="http://schemas.openxmlformats.org/drawingml/2006/picture">
            <wp:extent cx="5852160" cy="1749493"/>
            <wp:docPr id="11" name="Picture 11"/>
            <wp:cNvGraphicFramePr>
              <a:graphicFrameLocks noChangeAspect="1"/>
            </wp:cNvGraphicFramePr>
            <a:graphic>
              <a:graphicData uri="http://schemas.openxmlformats.org/drawingml/2006/picture">
                <pic:pic>
                  <pic:nvPicPr>
                    <pic:cNvPr id="0" name="fig_04_05_violins_by_genre.png"/>
                    <pic:cNvPicPr/>
                  </pic:nvPicPr>
                  <pic:blipFill>
                    <a:blip r:embed="rId45"/>
                    <a:stretch>
                      <a:fillRect/>
                    </a:stretch>
                  </pic:blipFill>
                  <pic:spPr>
                    <a:xfrm>
                      <a:off x="0" y="0"/>
                      <a:ext cx="5852160" cy="1749493"/>
                    </a:xfrm>
                    <a:prstGeom prst="rect"/>
                  </pic:spPr>
                </pic:pic>
              </a:graphicData>
            </a:graphic>
          </wp:inline>
        </w:drawing>
      </w:r>
    </w:p>
    <w:p>
      <w:pPr>
        <w:spacing w:line="240" w:lineRule="auto"/>
        <w:jc w:val="center"/>
      </w:pPr>
      <w:r>
        <w:rPr>
          <w:sz w:val="20"/>
        </w:rPr>
        <w:t>Fig. 11. Violin plots of danceability, energy and valence by genre</w:t>
      </w:r>
    </w:p>
    <w:p>
      <w:pPr>
        <w:pStyle w:val="Heading3"/>
        <w:jc w:val="left"/>
      </w:pPr>
      <w:r>
        <w:t>4.2.6 Principal Component Analysis and SVD</w:t>
      </w:r>
    </w:p>
    <w:p>
      <w:pPr>
        <w:jc w:val="both"/>
      </w:pPr>
      <w:r>
        <w:rPr>
          <w:b w:val="0"/>
          <w:i w:val="0"/>
        </w:rPr>
        <w:t>PCA was fitted on all 1,204,025 tracks using the ten standardised features (with log duration). PC1 explains 33.5% of the variance and PC2 14.0%; 7 components are needed to reach 90% (Fig. 12). The loadings in TABLE XIII show that PC1 is an “electric versus acoustic” axis (energy 0.48, loudness 0.47, acousticness -0.43); PC2 contrasts long, instrumental pieces (log duration 0.52) with danceable, wordy tracks (danceability -0.40, speechiness -0.40); PC3 is dominated by liveness (0.75). The link to SVD was checked numerically: the squared singular values of the centred data matrix, divided by their sum, equal PCA’s explained-variance ratios (match confirmed).</w:t>
      </w:r>
    </w:p>
    <w:p>
      <w:pPr>
        <w:keepNext/>
        <w:spacing w:after="40" w:line="240" w:lineRule="auto"/>
        <w:jc w:val="center"/>
      </w:pPr>
      <w:r>
        <w:drawing>
          <wp:inline xmlns:a="http://schemas.openxmlformats.org/drawingml/2006/main" xmlns:pic="http://schemas.openxmlformats.org/drawingml/2006/picture">
            <wp:extent cx="5852160" cy="1908223"/>
            <wp:docPr id="12" name="Picture 12"/>
            <wp:cNvGraphicFramePr>
              <a:graphicFrameLocks noChangeAspect="1"/>
            </wp:cNvGraphicFramePr>
            <a:graphic>
              <a:graphicData uri="http://schemas.openxmlformats.org/drawingml/2006/picture">
                <pic:pic>
                  <pic:nvPicPr>
                    <pic:cNvPr id="0" name="fig_05_01_pca_scree_biplot.png"/>
                    <pic:cNvPicPr/>
                  </pic:nvPicPr>
                  <pic:blipFill>
                    <a:blip r:embed="rId46"/>
                    <a:stretch>
                      <a:fillRect/>
                    </a:stretch>
                  </pic:blipFill>
                  <pic:spPr>
                    <a:xfrm>
                      <a:off x="0" y="0"/>
                      <a:ext cx="5852160" cy="1908223"/>
                    </a:xfrm>
                    <a:prstGeom prst="rect"/>
                  </pic:spPr>
                </pic:pic>
              </a:graphicData>
            </a:graphic>
          </wp:inline>
        </w:drawing>
      </w:r>
    </w:p>
    <w:p>
      <w:pPr>
        <w:spacing w:line="240" w:lineRule="auto"/>
        <w:jc w:val="center"/>
      </w:pPr>
      <w:r>
        <w:rPr>
          <w:sz w:val="20"/>
        </w:rPr>
        <w:t>Fig. 12. PCA scree plot and biplot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551"/>
        <w:gridCol w:w="1701"/>
        <w:gridCol w:w="1701"/>
        <w:gridCol w:w="1701"/>
      </w:tblGrid>
      <w:tr>
        <w:trPr>
          <w:tblHeader w:val="true"/>
          <w:cantSplit w:val="true"/>
        </w:trPr>
        <w:tc>
          <w:tcPr>
            <w:tcW w:type="dxa" w:w="2551"/>
          </w:tcPr>
          <w:p>
            <w:pPr>
              <w:keepNext/>
              <w:spacing w:line="240" w:lineRule="auto" w:after="0"/>
              <w:jc w:val="center"/>
            </w:pPr>
            <w:r/>
            <w:r>
              <w:rPr>
                <w:b/>
                <w:sz w:val="20"/>
              </w:rPr>
              <w:t>Feature</w:t>
            </w:r>
          </w:p>
        </w:tc>
        <w:tc>
          <w:tcPr>
            <w:tcW w:type="dxa" w:w="1701"/>
          </w:tcPr>
          <w:p>
            <w:pPr>
              <w:keepNext/>
              <w:spacing w:line="240" w:lineRule="auto" w:after="0"/>
              <w:jc w:val="center"/>
            </w:pPr>
            <w:r/>
            <w:r>
              <w:rPr>
                <w:b/>
                <w:sz w:val="20"/>
              </w:rPr>
              <w:t>PC1</w:t>
            </w:r>
          </w:p>
        </w:tc>
        <w:tc>
          <w:tcPr>
            <w:tcW w:type="dxa" w:w="1701"/>
          </w:tcPr>
          <w:p>
            <w:pPr>
              <w:keepNext/>
              <w:spacing w:line="240" w:lineRule="auto" w:after="0"/>
              <w:jc w:val="center"/>
            </w:pPr>
            <w:r/>
            <w:r>
              <w:rPr>
                <w:b/>
                <w:sz w:val="20"/>
              </w:rPr>
              <w:t>PC2</w:t>
            </w:r>
          </w:p>
        </w:tc>
        <w:tc>
          <w:tcPr>
            <w:tcW w:type="dxa" w:w="1701"/>
          </w:tcPr>
          <w:p>
            <w:pPr>
              <w:keepNext/>
              <w:spacing w:line="240" w:lineRule="auto" w:after="0"/>
              <w:jc w:val="center"/>
            </w:pPr>
            <w:r/>
            <w:r>
              <w:rPr>
                <w:b/>
                <w:sz w:val="20"/>
              </w:rPr>
              <w:t>PC3</w:t>
            </w:r>
          </w:p>
        </w:tc>
      </w:tr>
      <w:tr>
        <w:trPr>
          <w:cantSplit w:val="true"/>
        </w:trPr>
        <w:tc>
          <w:tcPr>
            <w:tcW w:type="dxa" w:w="2551"/>
          </w:tcPr>
          <w:p>
            <w:pPr>
              <w:keepNext/>
              <w:spacing w:line="240" w:lineRule="auto" w:after="0"/>
              <w:jc w:val="center"/>
            </w:pPr>
            <w:r>
              <w:rPr>
                <w:b w:val="0"/>
                <w:i w:val="0"/>
                <w:sz w:val="20"/>
              </w:rPr>
              <w:t>danceability</w:t>
            </w:r>
          </w:p>
        </w:tc>
        <w:tc>
          <w:tcPr>
            <w:tcW w:type="dxa" w:w="1701"/>
          </w:tcPr>
          <w:p>
            <w:pPr>
              <w:keepNext/>
              <w:spacing w:line="240" w:lineRule="auto" w:after="0"/>
              <w:jc w:val="center"/>
            </w:pPr>
            <w:r>
              <w:rPr>
                <w:b w:val="0"/>
                <w:i w:val="0"/>
                <w:sz w:val="20"/>
              </w:rPr>
              <w:t>0.316</w:t>
            </w:r>
          </w:p>
        </w:tc>
        <w:tc>
          <w:tcPr>
            <w:tcW w:type="dxa" w:w="1701"/>
          </w:tcPr>
          <w:p>
            <w:pPr>
              <w:keepNext/>
              <w:spacing w:line="240" w:lineRule="auto" w:after="0"/>
              <w:jc w:val="center"/>
            </w:pPr>
            <w:r>
              <w:rPr>
                <w:b w:val="0"/>
                <w:i w:val="0"/>
                <w:sz w:val="20"/>
              </w:rPr>
              <w:t>-0.397</w:t>
            </w:r>
          </w:p>
        </w:tc>
        <w:tc>
          <w:tcPr>
            <w:tcW w:type="dxa" w:w="1701"/>
          </w:tcPr>
          <w:p>
            <w:pPr>
              <w:keepNext/>
              <w:spacing w:line="240" w:lineRule="auto" w:after="0"/>
              <w:jc w:val="center"/>
            </w:pPr>
            <w:r>
              <w:rPr>
                <w:b w:val="0"/>
                <w:i w:val="0"/>
                <w:sz w:val="20"/>
              </w:rPr>
              <w:t>-0.323</w:t>
            </w:r>
          </w:p>
        </w:tc>
      </w:tr>
      <w:tr>
        <w:trPr>
          <w:cantSplit w:val="true"/>
        </w:trPr>
        <w:tc>
          <w:tcPr>
            <w:tcW w:type="dxa" w:w="2551"/>
          </w:tcPr>
          <w:p>
            <w:pPr>
              <w:keepNext/>
              <w:spacing w:line="240" w:lineRule="auto" w:after="0"/>
              <w:jc w:val="center"/>
            </w:pPr>
            <w:r>
              <w:rPr>
                <w:b w:val="0"/>
                <w:i w:val="0"/>
                <w:sz w:val="20"/>
              </w:rPr>
              <w:t>energy</w:t>
            </w:r>
          </w:p>
        </w:tc>
        <w:tc>
          <w:tcPr>
            <w:tcW w:type="dxa" w:w="1701"/>
          </w:tcPr>
          <w:p>
            <w:pPr>
              <w:keepNext/>
              <w:spacing w:line="240" w:lineRule="auto" w:after="0"/>
              <w:jc w:val="center"/>
            </w:pPr>
            <w:r>
              <w:rPr>
                <w:b w:val="0"/>
                <w:i w:val="0"/>
                <w:sz w:val="20"/>
              </w:rPr>
              <w:t>0.477</w:t>
            </w:r>
          </w:p>
        </w:tc>
        <w:tc>
          <w:tcPr>
            <w:tcW w:type="dxa" w:w="1701"/>
          </w:tcPr>
          <w:p>
            <w:pPr>
              <w:keepNext/>
              <w:spacing w:line="240" w:lineRule="auto" w:after="0"/>
              <w:jc w:val="center"/>
            </w:pPr>
            <w:r>
              <w:rPr>
                <w:b w:val="0"/>
                <w:i w:val="0"/>
                <w:sz w:val="20"/>
              </w:rPr>
              <w:t>0.252</w:t>
            </w:r>
          </w:p>
        </w:tc>
        <w:tc>
          <w:tcPr>
            <w:tcW w:type="dxa" w:w="1701"/>
          </w:tcPr>
          <w:p>
            <w:pPr>
              <w:keepNext/>
              <w:spacing w:line="240" w:lineRule="auto" w:after="0"/>
              <w:jc w:val="center"/>
            </w:pPr>
            <w:r>
              <w:rPr>
                <w:b w:val="0"/>
                <w:i w:val="0"/>
                <w:sz w:val="20"/>
              </w:rPr>
              <w:t>0.081</w:t>
            </w:r>
          </w:p>
        </w:tc>
      </w:tr>
      <w:tr>
        <w:trPr>
          <w:cantSplit w:val="true"/>
        </w:trPr>
        <w:tc>
          <w:tcPr>
            <w:tcW w:type="dxa" w:w="2551"/>
          </w:tcPr>
          <w:p>
            <w:pPr>
              <w:keepNext/>
              <w:spacing w:line="240" w:lineRule="auto" w:after="0"/>
              <w:jc w:val="center"/>
            </w:pPr>
            <w:r>
              <w:rPr>
                <w:b w:val="0"/>
                <w:i w:val="0"/>
                <w:sz w:val="20"/>
              </w:rPr>
              <w:t>loudness</w:t>
            </w:r>
          </w:p>
        </w:tc>
        <w:tc>
          <w:tcPr>
            <w:tcW w:type="dxa" w:w="1701"/>
          </w:tcPr>
          <w:p>
            <w:pPr>
              <w:keepNext/>
              <w:spacing w:line="240" w:lineRule="auto" w:after="0"/>
              <w:jc w:val="center"/>
            </w:pPr>
            <w:r>
              <w:rPr>
                <w:b w:val="0"/>
                <w:i w:val="0"/>
                <w:sz w:val="20"/>
              </w:rPr>
              <w:t>0.473</w:t>
            </w:r>
          </w:p>
        </w:tc>
        <w:tc>
          <w:tcPr>
            <w:tcW w:type="dxa" w:w="1701"/>
          </w:tcPr>
          <w:p>
            <w:pPr>
              <w:keepNext/>
              <w:spacing w:line="240" w:lineRule="auto" w:after="0"/>
              <w:jc w:val="center"/>
            </w:pPr>
            <w:r>
              <w:rPr>
                <w:b w:val="0"/>
                <w:i w:val="0"/>
                <w:sz w:val="20"/>
              </w:rPr>
              <w:t>0.189</w:t>
            </w:r>
          </w:p>
        </w:tc>
        <w:tc>
          <w:tcPr>
            <w:tcW w:type="dxa" w:w="1701"/>
          </w:tcPr>
          <w:p>
            <w:pPr>
              <w:keepNext/>
              <w:spacing w:line="240" w:lineRule="auto" w:after="0"/>
              <w:jc w:val="center"/>
            </w:pPr>
            <w:r>
              <w:rPr>
                <w:b w:val="0"/>
                <w:i w:val="0"/>
                <w:sz w:val="20"/>
              </w:rPr>
              <w:t>-0.030</w:t>
            </w:r>
          </w:p>
        </w:tc>
      </w:tr>
      <w:tr>
        <w:trPr>
          <w:cantSplit w:val="true"/>
        </w:trPr>
        <w:tc>
          <w:tcPr>
            <w:tcW w:type="dxa" w:w="2551"/>
          </w:tcPr>
          <w:p>
            <w:pPr>
              <w:keepNext/>
              <w:spacing w:line="240" w:lineRule="auto" w:after="0"/>
              <w:jc w:val="center"/>
            </w:pPr>
            <w:r>
              <w:rPr>
                <w:b w:val="0"/>
                <w:i w:val="0"/>
                <w:sz w:val="20"/>
              </w:rPr>
              <w:t>speechiness</w:t>
            </w:r>
          </w:p>
        </w:tc>
        <w:tc>
          <w:tcPr>
            <w:tcW w:type="dxa" w:w="1701"/>
          </w:tcPr>
          <w:p>
            <w:pPr>
              <w:keepNext/>
              <w:spacing w:line="240" w:lineRule="auto" w:after="0"/>
              <w:jc w:val="center"/>
            </w:pPr>
            <w:r>
              <w:rPr>
                <w:b w:val="0"/>
                <w:i w:val="0"/>
                <w:sz w:val="20"/>
              </w:rPr>
              <w:t>0.129</w:t>
            </w:r>
          </w:p>
        </w:tc>
        <w:tc>
          <w:tcPr>
            <w:tcW w:type="dxa" w:w="1701"/>
          </w:tcPr>
          <w:p>
            <w:pPr>
              <w:keepNext/>
              <w:spacing w:line="240" w:lineRule="auto" w:after="0"/>
              <w:jc w:val="center"/>
            </w:pPr>
            <w:r>
              <w:rPr>
                <w:b w:val="0"/>
                <w:i w:val="0"/>
                <w:sz w:val="20"/>
              </w:rPr>
              <w:t>-0.404</w:t>
            </w:r>
          </w:p>
        </w:tc>
        <w:tc>
          <w:tcPr>
            <w:tcW w:type="dxa" w:w="1701"/>
          </w:tcPr>
          <w:p>
            <w:pPr>
              <w:keepNext/>
              <w:spacing w:line="240" w:lineRule="auto" w:after="0"/>
              <w:jc w:val="center"/>
            </w:pPr>
            <w:r>
              <w:rPr>
                <w:b w:val="0"/>
                <w:i w:val="0"/>
                <w:sz w:val="20"/>
              </w:rPr>
              <w:t>0.491</w:t>
            </w:r>
          </w:p>
        </w:tc>
      </w:tr>
      <w:tr>
        <w:trPr>
          <w:cantSplit w:val="true"/>
        </w:trPr>
        <w:tc>
          <w:tcPr>
            <w:tcW w:type="dxa" w:w="2551"/>
          </w:tcPr>
          <w:p>
            <w:pPr>
              <w:keepNext/>
              <w:spacing w:line="240" w:lineRule="auto" w:after="0"/>
              <w:jc w:val="center"/>
            </w:pPr>
            <w:r>
              <w:rPr>
                <w:b w:val="0"/>
                <w:i w:val="0"/>
                <w:sz w:val="20"/>
              </w:rPr>
              <w:t>acousticness</w:t>
            </w:r>
          </w:p>
        </w:tc>
        <w:tc>
          <w:tcPr>
            <w:tcW w:type="dxa" w:w="1701"/>
          </w:tcPr>
          <w:p>
            <w:pPr>
              <w:keepNext/>
              <w:spacing w:line="240" w:lineRule="auto" w:after="0"/>
              <w:jc w:val="center"/>
            </w:pPr>
            <w:r>
              <w:rPr>
                <w:b w:val="0"/>
                <w:i w:val="0"/>
                <w:sz w:val="20"/>
              </w:rPr>
              <w:t>-0.432</w:t>
            </w:r>
          </w:p>
        </w:tc>
        <w:tc>
          <w:tcPr>
            <w:tcW w:type="dxa" w:w="1701"/>
          </w:tcPr>
          <w:p>
            <w:pPr>
              <w:keepNext/>
              <w:spacing w:line="240" w:lineRule="auto" w:after="0"/>
              <w:jc w:val="center"/>
            </w:pPr>
            <w:r>
              <w:rPr>
                <w:b w:val="0"/>
                <w:i w:val="0"/>
                <w:sz w:val="20"/>
              </w:rPr>
              <w:t>-0.294</w:t>
            </w:r>
          </w:p>
        </w:tc>
        <w:tc>
          <w:tcPr>
            <w:tcW w:type="dxa" w:w="1701"/>
          </w:tcPr>
          <w:p>
            <w:pPr>
              <w:keepNext/>
              <w:spacing w:line="240" w:lineRule="auto" w:after="0"/>
              <w:jc w:val="center"/>
            </w:pPr>
            <w:r>
              <w:rPr>
                <w:b w:val="0"/>
                <w:i w:val="0"/>
                <w:sz w:val="20"/>
              </w:rPr>
              <w:t>-0.020</w:t>
            </w:r>
          </w:p>
        </w:tc>
      </w:tr>
      <w:tr>
        <w:trPr>
          <w:cantSplit w:val="true"/>
        </w:trPr>
        <w:tc>
          <w:tcPr>
            <w:tcW w:type="dxa" w:w="2551"/>
          </w:tcPr>
          <w:p>
            <w:pPr>
              <w:keepNext/>
              <w:spacing w:line="240" w:lineRule="auto" w:after="0"/>
              <w:jc w:val="left"/>
            </w:pPr>
            <w:r>
              <w:rPr>
                <w:b w:val="0"/>
                <w:i w:val="0"/>
                <w:sz w:val="20"/>
              </w:rPr>
              <w:t>instrumentalness</w:t>
            </w:r>
          </w:p>
        </w:tc>
        <w:tc>
          <w:tcPr>
            <w:tcW w:type="dxa" w:w="1701"/>
          </w:tcPr>
          <w:p>
            <w:pPr>
              <w:keepNext/>
              <w:spacing w:line="240" w:lineRule="auto" w:after="0"/>
              <w:jc w:val="center"/>
            </w:pPr>
            <w:r>
              <w:rPr>
                <w:b w:val="0"/>
                <w:i w:val="0"/>
                <w:sz w:val="20"/>
              </w:rPr>
              <w:t>-0.278</w:t>
            </w:r>
          </w:p>
        </w:tc>
        <w:tc>
          <w:tcPr>
            <w:tcW w:type="dxa" w:w="1701"/>
          </w:tcPr>
          <w:p>
            <w:pPr>
              <w:keepNext/>
              <w:spacing w:line="240" w:lineRule="auto" w:after="0"/>
              <w:jc w:val="center"/>
            </w:pPr>
            <w:r>
              <w:rPr>
                <w:b w:val="0"/>
                <w:i w:val="0"/>
                <w:sz w:val="20"/>
              </w:rPr>
              <w:t>0.240</w:t>
            </w:r>
          </w:p>
        </w:tc>
        <w:tc>
          <w:tcPr>
            <w:tcW w:type="dxa" w:w="1701"/>
          </w:tcPr>
          <w:p>
            <w:pPr>
              <w:keepNext/>
              <w:spacing w:line="240" w:lineRule="auto" w:after="0"/>
              <w:jc w:val="center"/>
            </w:pPr>
            <w:r>
              <w:rPr>
                <w:b w:val="0"/>
                <w:i w:val="0"/>
                <w:sz w:val="20"/>
              </w:rPr>
              <w:t>-0.075</w:t>
            </w:r>
          </w:p>
        </w:tc>
      </w:tr>
      <w:tr>
        <w:trPr>
          <w:cantSplit w:val="true"/>
        </w:trPr>
        <w:tc>
          <w:tcPr>
            <w:tcW w:type="dxa" w:w="2551"/>
          </w:tcPr>
          <w:p>
            <w:pPr>
              <w:keepNext/>
              <w:spacing w:line="240" w:lineRule="auto" w:after="0"/>
              <w:jc w:val="center"/>
            </w:pPr>
            <w:r>
              <w:rPr>
                <w:b w:val="0"/>
                <w:i w:val="0"/>
                <w:sz w:val="20"/>
              </w:rPr>
              <w:t>liveness</w:t>
            </w:r>
          </w:p>
        </w:tc>
        <w:tc>
          <w:tcPr>
            <w:tcW w:type="dxa" w:w="1701"/>
          </w:tcPr>
          <w:p>
            <w:pPr>
              <w:keepNext/>
              <w:spacing w:line="240" w:lineRule="auto" w:after="0"/>
              <w:jc w:val="center"/>
            </w:pPr>
            <w:r>
              <w:rPr>
                <w:b w:val="0"/>
                <w:i w:val="0"/>
                <w:sz w:val="20"/>
              </w:rPr>
              <w:t>0.123</w:t>
            </w:r>
          </w:p>
        </w:tc>
        <w:tc>
          <w:tcPr>
            <w:tcW w:type="dxa" w:w="1701"/>
          </w:tcPr>
          <w:p>
            <w:pPr>
              <w:keepNext/>
              <w:spacing w:line="240" w:lineRule="auto" w:after="0"/>
              <w:jc w:val="center"/>
            </w:pPr>
            <w:r>
              <w:rPr>
                <w:b w:val="0"/>
                <w:i w:val="0"/>
                <w:sz w:val="20"/>
              </w:rPr>
              <w:t>0.009</w:t>
            </w:r>
          </w:p>
        </w:tc>
        <w:tc>
          <w:tcPr>
            <w:tcW w:type="dxa" w:w="1701"/>
          </w:tcPr>
          <w:p>
            <w:pPr>
              <w:keepNext/>
              <w:spacing w:line="240" w:lineRule="auto" w:after="0"/>
              <w:jc w:val="center"/>
            </w:pPr>
            <w:r>
              <w:rPr>
                <w:b w:val="0"/>
                <w:i w:val="0"/>
                <w:sz w:val="20"/>
              </w:rPr>
              <w:t>0.746</w:t>
            </w:r>
          </w:p>
        </w:tc>
      </w:tr>
      <w:tr>
        <w:trPr>
          <w:cantSplit w:val="true"/>
        </w:trPr>
        <w:tc>
          <w:tcPr>
            <w:tcW w:type="dxa" w:w="2551"/>
          </w:tcPr>
          <w:p>
            <w:pPr>
              <w:keepNext/>
              <w:spacing w:line="240" w:lineRule="auto" w:after="0"/>
              <w:jc w:val="center"/>
            </w:pPr>
            <w:r>
              <w:rPr>
                <w:b w:val="0"/>
                <w:i w:val="0"/>
                <w:sz w:val="20"/>
              </w:rPr>
              <w:t>valence</w:t>
            </w:r>
          </w:p>
        </w:tc>
        <w:tc>
          <w:tcPr>
            <w:tcW w:type="dxa" w:w="1701"/>
          </w:tcPr>
          <w:p>
            <w:pPr>
              <w:keepNext/>
              <w:spacing w:line="240" w:lineRule="auto" w:after="0"/>
              <w:jc w:val="center"/>
            </w:pPr>
            <w:r>
              <w:rPr>
                <w:b w:val="0"/>
                <w:i w:val="0"/>
                <w:sz w:val="20"/>
              </w:rPr>
              <w:t>0.343</w:t>
            </w:r>
          </w:p>
        </w:tc>
        <w:tc>
          <w:tcPr>
            <w:tcW w:type="dxa" w:w="1701"/>
          </w:tcPr>
          <w:p>
            <w:pPr>
              <w:keepNext/>
              <w:spacing w:line="240" w:lineRule="auto" w:after="0"/>
              <w:jc w:val="center"/>
            </w:pPr>
            <w:r>
              <w:rPr>
                <w:b w:val="0"/>
                <w:i w:val="0"/>
                <w:sz w:val="20"/>
              </w:rPr>
              <w:t>-0.343</w:t>
            </w:r>
          </w:p>
        </w:tc>
        <w:tc>
          <w:tcPr>
            <w:tcW w:type="dxa" w:w="1701"/>
          </w:tcPr>
          <w:p>
            <w:pPr>
              <w:keepNext/>
              <w:spacing w:line="240" w:lineRule="auto" w:after="0"/>
              <w:jc w:val="center"/>
            </w:pPr>
            <w:r>
              <w:rPr>
                <w:b w:val="0"/>
                <w:i w:val="0"/>
                <w:sz w:val="20"/>
              </w:rPr>
              <w:t>-0.280</w:t>
            </w:r>
          </w:p>
        </w:tc>
      </w:tr>
      <w:tr>
        <w:trPr>
          <w:cantSplit w:val="true"/>
        </w:trPr>
        <w:tc>
          <w:tcPr>
            <w:tcW w:type="dxa" w:w="2551"/>
          </w:tcPr>
          <w:p>
            <w:pPr>
              <w:keepNext/>
              <w:spacing w:line="240" w:lineRule="auto" w:after="0"/>
              <w:jc w:val="center"/>
            </w:pPr>
            <w:r>
              <w:rPr>
                <w:b w:val="0"/>
                <w:i w:val="0"/>
                <w:sz w:val="20"/>
              </w:rPr>
              <w:t>tempo</w:t>
            </w:r>
          </w:p>
        </w:tc>
        <w:tc>
          <w:tcPr>
            <w:tcW w:type="dxa" w:w="1701"/>
          </w:tcPr>
          <w:p>
            <w:pPr>
              <w:keepNext/>
              <w:spacing w:line="240" w:lineRule="auto" w:after="0"/>
              <w:jc w:val="center"/>
            </w:pPr>
            <w:r>
              <w:rPr>
                <w:b w:val="0"/>
                <w:i w:val="0"/>
                <w:sz w:val="20"/>
              </w:rPr>
              <w:t>0.185</w:t>
            </w:r>
          </w:p>
        </w:tc>
        <w:tc>
          <w:tcPr>
            <w:tcW w:type="dxa" w:w="1701"/>
          </w:tcPr>
          <w:p>
            <w:pPr>
              <w:keepNext/>
              <w:spacing w:line="240" w:lineRule="auto" w:after="0"/>
              <w:jc w:val="center"/>
            </w:pPr>
            <w:r>
              <w:rPr>
                <w:b w:val="0"/>
                <w:i w:val="0"/>
                <w:sz w:val="20"/>
              </w:rPr>
              <w:t>0.220</w:t>
            </w:r>
          </w:p>
        </w:tc>
        <w:tc>
          <w:tcPr>
            <w:tcW w:type="dxa" w:w="1701"/>
          </w:tcPr>
          <w:p>
            <w:pPr>
              <w:keepNext/>
              <w:spacing w:line="240" w:lineRule="auto" w:after="0"/>
              <w:jc w:val="center"/>
            </w:pPr>
            <w:r>
              <w:rPr>
                <w:b w:val="0"/>
                <w:i w:val="0"/>
                <w:sz w:val="20"/>
              </w:rPr>
              <w:t>-0.065</w:t>
            </w:r>
          </w:p>
        </w:tc>
      </w:tr>
      <w:tr>
        <w:trPr>
          <w:cantSplit w:val="true"/>
        </w:trPr>
        <w:tc>
          <w:tcPr>
            <w:tcW w:type="dxa" w:w="2551"/>
          </w:tcPr>
          <w:p>
            <w:pPr>
              <w:keepNext/>
              <w:spacing w:line="240" w:lineRule="auto" w:after="0"/>
              <w:jc w:val="center"/>
            </w:pPr>
            <w:r>
              <w:rPr>
                <w:b w:val="0"/>
                <w:i w:val="0"/>
                <w:sz w:val="20"/>
              </w:rPr>
              <w:t>log_duration</w:t>
            </w:r>
          </w:p>
        </w:tc>
        <w:tc>
          <w:tcPr>
            <w:tcW w:type="dxa" w:w="1701"/>
          </w:tcPr>
          <w:p>
            <w:pPr>
              <w:keepNext/>
              <w:spacing w:line="240" w:lineRule="auto" w:after="0"/>
              <w:jc w:val="center"/>
            </w:pPr>
            <w:r>
              <w:rPr>
                <w:b w:val="0"/>
                <w:i w:val="0"/>
                <w:sz w:val="20"/>
              </w:rPr>
              <w:t>-0.032</w:t>
            </w:r>
          </w:p>
        </w:tc>
        <w:tc>
          <w:tcPr>
            <w:tcW w:type="dxa" w:w="1701"/>
          </w:tcPr>
          <w:p>
            <w:pPr>
              <w:keepNext/>
              <w:spacing w:line="240" w:lineRule="auto" w:after="0"/>
              <w:jc w:val="center"/>
            </w:pPr>
            <w:r>
              <w:rPr>
                <w:b w:val="0"/>
                <w:i w:val="0"/>
                <w:sz w:val="20"/>
              </w:rPr>
              <w:t>0.519</w:t>
            </w:r>
          </w:p>
        </w:tc>
        <w:tc>
          <w:tcPr>
            <w:tcW w:type="dxa" w:w="1701"/>
          </w:tcPr>
          <w:p>
            <w:pPr>
              <w:keepNext/>
              <w:spacing w:line="240" w:lineRule="auto" w:after="0"/>
              <w:jc w:val="center"/>
            </w:pPr>
            <w:r>
              <w:rPr>
                <w:b w:val="0"/>
                <w:i w:val="0"/>
                <w:sz w:val="20"/>
              </w:rPr>
              <w:t>-0.040</w:t>
            </w:r>
          </w:p>
        </w:tc>
      </w:tr>
    </w:tbl>
    <w:p>
      <w:pPr>
        <w:spacing w:before="80" w:line="240" w:lineRule="auto"/>
        <w:jc w:val="center"/>
      </w:pPr>
      <w:r>
        <w:rPr>
          <w:sz w:val="20"/>
        </w:rPr>
        <w:t>TABLE XIII: PCA loadings of the first three components</w:t>
      </w:r>
    </w:p>
    <w:p>
      <w:pPr>
        <w:pStyle w:val="Heading3"/>
        <w:jc w:val="left"/>
      </w:pPr>
      <w:r>
        <w:t>4.2.7 Non-linear Maps: t-SNE, LLE and UMAP</w:t>
      </w:r>
    </w:p>
    <w:p>
      <w:pPr>
        <w:jc w:val="both"/>
      </w:pPr>
      <w:r>
        <w:rPr>
          <w:b w:val="0"/>
          <w:i w:val="0"/>
        </w:rPr>
        <w:t>Non-linear methods were run on a stratified sample of 10,000 tracks (up to 90 per genre, all 114 genres) because their cost grows quickly with the number of points. t-SNE used perplexity 30; LLE used 15 neighbours; UMAP was added as a bonus. Fig. 13 compares the maps and TABLE XIV the metrics. t-SNE preserves local neighbourhoods best (trustworthiness 0.976), followed by UMAP (0.947), PCA (0.779) and LLE (0.671). Silhouette scores computed with the eight focus genres as labels are slightly negative for every method and even in the original space (-0.029): genres overlap heavily in Spotify’s feature space, so no projection can separate them cleanly. This is an important honest finding: genre is partly a cultural label that audio descriptors capture only in part.</w:t>
      </w:r>
    </w:p>
    <w:p>
      <w:pPr>
        <w:keepNext/>
        <w:spacing w:after="40" w:line="240" w:lineRule="auto"/>
        <w:jc w:val="center"/>
      </w:pPr>
      <w:r>
        <w:drawing>
          <wp:inline xmlns:a="http://schemas.openxmlformats.org/drawingml/2006/main" xmlns:pic="http://schemas.openxmlformats.org/drawingml/2006/picture">
            <wp:extent cx="5943600" cy="1448566"/>
            <wp:docPr id="13" name="Picture 13"/>
            <wp:cNvGraphicFramePr>
              <a:graphicFrameLocks noChangeAspect="1"/>
            </wp:cNvGraphicFramePr>
            <a:graphic>
              <a:graphicData uri="http://schemas.openxmlformats.org/drawingml/2006/picture">
                <pic:pic>
                  <pic:nvPicPr>
                    <pic:cNvPr id="0" name="fig_05_02_tsne_lle_pca_maps.png"/>
                    <pic:cNvPicPr/>
                  </pic:nvPicPr>
                  <pic:blipFill>
                    <a:blip r:embed="rId47"/>
                    <a:stretch>
                      <a:fillRect/>
                    </a:stretch>
                  </pic:blipFill>
                  <pic:spPr>
                    <a:xfrm>
                      <a:off x="0" y="0"/>
                      <a:ext cx="5943600" cy="1448566"/>
                    </a:xfrm>
                    <a:prstGeom prst="rect"/>
                  </pic:spPr>
                </pic:pic>
              </a:graphicData>
            </a:graphic>
          </wp:inline>
        </w:drawing>
      </w:r>
    </w:p>
    <w:p>
      <w:pPr>
        <w:spacing w:line="240" w:lineRule="auto"/>
        <w:jc w:val="center"/>
      </w:pPr>
      <w:r>
        <w:rPr>
          <w:sz w:val="20"/>
        </w:rPr>
        <w:t>Fig. 13. PCA, t-SNE, LLE and UMAP maps of a stratified 10,000-track sample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041"/>
        <w:gridCol w:w="1701"/>
        <w:gridCol w:w="2381"/>
        <w:gridCol w:w="2381"/>
      </w:tblGrid>
      <w:tr>
        <w:trPr>
          <w:tblHeader w:val="true"/>
          <w:cantSplit w:val="true"/>
        </w:trPr>
        <w:tc>
          <w:tcPr>
            <w:tcW w:type="dxa" w:w="2041"/>
          </w:tcPr>
          <w:p>
            <w:pPr>
              <w:keepNext/>
              <w:spacing w:line="240" w:lineRule="auto" w:after="0"/>
              <w:jc w:val="center"/>
            </w:pPr>
            <w:r/>
            <w:r>
              <w:rPr>
                <w:b/>
                <w:sz w:val="20"/>
              </w:rPr>
              <w:t>Method</w:t>
            </w:r>
          </w:p>
        </w:tc>
        <w:tc>
          <w:tcPr>
            <w:tcW w:type="dxa" w:w="1701"/>
          </w:tcPr>
          <w:p>
            <w:pPr>
              <w:keepNext/>
              <w:spacing w:line="240" w:lineRule="auto" w:after="0"/>
              <w:jc w:val="center"/>
            </w:pPr>
            <w:r/>
            <w:r>
              <w:rPr>
                <w:b/>
                <w:sz w:val="20"/>
              </w:rPr>
              <w:t>Runtime (s)</w:t>
            </w:r>
          </w:p>
        </w:tc>
        <w:tc>
          <w:tcPr>
            <w:tcW w:type="dxa" w:w="2381"/>
          </w:tcPr>
          <w:p>
            <w:pPr>
              <w:keepNext/>
              <w:spacing w:line="240" w:lineRule="auto" w:after="0"/>
              <w:jc w:val="center"/>
            </w:pPr>
            <w:r/>
            <w:r>
              <w:rPr>
                <w:b/>
                <w:sz w:val="20"/>
              </w:rPr>
              <w:t>Trustworthiness (k=10)</w:t>
            </w:r>
          </w:p>
        </w:tc>
        <w:tc>
          <w:tcPr>
            <w:tcW w:type="dxa" w:w="2381"/>
          </w:tcPr>
          <w:p>
            <w:pPr>
              <w:keepNext/>
              <w:spacing w:line="240" w:lineRule="auto" w:after="0"/>
              <w:jc w:val="center"/>
            </w:pPr>
            <w:r/>
            <w:r>
              <w:rPr>
                <w:b/>
                <w:sz w:val="20"/>
              </w:rPr>
              <w:t>Silhouette (8 genres)</w:t>
            </w:r>
          </w:p>
        </w:tc>
      </w:tr>
      <w:tr>
        <w:trPr>
          <w:cantSplit w:val="true"/>
        </w:trPr>
        <w:tc>
          <w:tcPr>
            <w:tcW w:type="dxa" w:w="2041"/>
          </w:tcPr>
          <w:p>
            <w:pPr>
              <w:keepNext/>
              <w:spacing w:line="240" w:lineRule="auto" w:after="0"/>
              <w:jc w:val="center"/>
            </w:pPr>
            <w:r>
              <w:rPr>
                <w:b w:val="0"/>
                <w:i w:val="0"/>
                <w:sz w:val="20"/>
              </w:rPr>
              <w:t>PCA</w:t>
            </w:r>
          </w:p>
        </w:tc>
        <w:tc>
          <w:tcPr>
            <w:tcW w:type="dxa" w:w="1701"/>
          </w:tcPr>
          <w:p>
            <w:pPr>
              <w:keepNext/>
              <w:spacing w:line="240" w:lineRule="auto" w:after="0"/>
              <w:jc w:val="center"/>
            </w:pPr>
            <w:r>
              <w:rPr>
                <w:b w:val="0"/>
                <w:i w:val="0"/>
                <w:sz w:val="20"/>
              </w:rPr>
              <w:t>0.00</w:t>
            </w:r>
          </w:p>
        </w:tc>
        <w:tc>
          <w:tcPr>
            <w:tcW w:type="dxa" w:w="2381"/>
          </w:tcPr>
          <w:p>
            <w:pPr>
              <w:keepNext/>
              <w:spacing w:line="240" w:lineRule="auto" w:after="0"/>
              <w:jc w:val="center"/>
            </w:pPr>
            <w:r>
              <w:rPr>
                <w:b w:val="0"/>
                <w:i w:val="0"/>
                <w:sz w:val="20"/>
              </w:rPr>
              <w:t>0.779</w:t>
            </w:r>
          </w:p>
        </w:tc>
        <w:tc>
          <w:tcPr>
            <w:tcW w:type="dxa" w:w="2381"/>
          </w:tcPr>
          <w:p>
            <w:pPr>
              <w:keepNext/>
              <w:spacing w:line="240" w:lineRule="auto" w:after="0"/>
              <w:jc w:val="center"/>
            </w:pPr>
            <w:r>
              <w:rPr>
                <w:b w:val="0"/>
                <w:i w:val="0"/>
                <w:sz w:val="20"/>
              </w:rPr>
              <w:t>-0.085</w:t>
            </w:r>
          </w:p>
        </w:tc>
      </w:tr>
      <w:tr>
        <w:trPr>
          <w:cantSplit w:val="true"/>
        </w:trPr>
        <w:tc>
          <w:tcPr>
            <w:tcW w:type="dxa" w:w="2041"/>
          </w:tcPr>
          <w:p>
            <w:pPr>
              <w:keepNext/>
              <w:spacing w:line="240" w:lineRule="auto" w:after="0"/>
              <w:jc w:val="center"/>
            </w:pPr>
            <w:r>
              <w:rPr>
                <w:b w:val="0"/>
                <w:i w:val="0"/>
                <w:sz w:val="20"/>
              </w:rPr>
              <w:t>t-SNE</w:t>
            </w:r>
          </w:p>
        </w:tc>
        <w:tc>
          <w:tcPr>
            <w:tcW w:type="dxa" w:w="1701"/>
          </w:tcPr>
          <w:p>
            <w:pPr>
              <w:keepNext/>
              <w:spacing w:line="240" w:lineRule="auto" w:after="0"/>
              <w:jc w:val="center"/>
            </w:pPr>
            <w:r>
              <w:rPr>
                <w:b w:val="0"/>
                <w:i w:val="0"/>
                <w:sz w:val="20"/>
              </w:rPr>
              <w:t>49.84</w:t>
            </w:r>
          </w:p>
        </w:tc>
        <w:tc>
          <w:tcPr>
            <w:tcW w:type="dxa" w:w="2381"/>
          </w:tcPr>
          <w:p>
            <w:pPr>
              <w:keepNext/>
              <w:spacing w:line="240" w:lineRule="auto" w:after="0"/>
              <w:jc w:val="center"/>
            </w:pPr>
            <w:r>
              <w:rPr>
                <w:b w:val="0"/>
                <w:i w:val="0"/>
                <w:sz w:val="20"/>
              </w:rPr>
              <w:t>0.976</w:t>
            </w:r>
          </w:p>
        </w:tc>
        <w:tc>
          <w:tcPr>
            <w:tcW w:type="dxa" w:w="2381"/>
          </w:tcPr>
          <w:p>
            <w:pPr>
              <w:keepNext/>
              <w:spacing w:line="240" w:lineRule="auto" w:after="0"/>
              <w:jc w:val="center"/>
            </w:pPr>
            <w:r>
              <w:rPr>
                <w:b w:val="0"/>
                <w:i w:val="0"/>
                <w:sz w:val="20"/>
              </w:rPr>
              <w:t>-0.061</w:t>
            </w:r>
          </w:p>
        </w:tc>
      </w:tr>
      <w:tr>
        <w:trPr>
          <w:cantSplit w:val="true"/>
        </w:trPr>
        <w:tc>
          <w:tcPr>
            <w:tcW w:type="dxa" w:w="2041"/>
          </w:tcPr>
          <w:p>
            <w:pPr>
              <w:keepNext/>
              <w:spacing w:line="240" w:lineRule="auto" w:after="0"/>
              <w:jc w:val="center"/>
            </w:pPr>
            <w:r>
              <w:rPr>
                <w:b w:val="0"/>
                <w:i w:val="0"/>
                <w:sz w:val="20"/>
              </w:rPr>
              <w:t>LLE</w:t>
            </w:r>
          </w:p>
        </w:tc>
        <w:tc>
          <w:tcPr>
            <w:tcW w:type="dxa" w:w="1701"/>
          </w:tcPr>
          <w:p>
            <w:pPr>
              <w:keepNext/>
              <w:spacing w:line="240" w:lineRule="auto" w:after="0"/>
              <w:jc w:val="center"/>
            </w:pPr>
            <w:r>
              <w:rPr>
                <w:b w:val="0"/>
                <w:i w:val="0"/>
                <w:sz w:val="20"/>
              </w:rPr>
              <w:t>42.41</w:t>
            </w:r>
          </w:p>
        </w:tc>
        <w:tc>
          <w:tcPr>
            <w:tcW w:type="dxa" w:w="2381"/>
          </w:tcPr>
          <w:p>
            <w:pPr>
              <w:keepNext/>
              <w:spacing w:line="240" w:lineRule="auto" w:after="0"/>
              <w:jc w:val="center"/>
            </w:pPr>
            <w:r>
              <w:rPr>
                <w:b w:val="0"/>
                <w:i w:val="0"/>
                <w:sz w:val="20"/>
              </w:rPr>
              <w:t>0.671</w:t>
            </w:r>
          </w:p>
        </w:tc>
        <w:tc>
          <w:tcPr>
            <w:tcW w:type="dxa" w:w="2381"/>
          </w:tcPr>
          <w:p>
            <w:pPr>
              <w:keepNext/>
              <w:spacing w:line="240" w:lineRule="auto" w:after="0"/>
              <w:jc w:val="center"/>
            </w:pPr>
            <w:r>
              <w:rPr>
                <w:b w:val="0"/>
                <w:i w:val="0"/>
                <w:sz w:val="20"/>
              </w:rPr>
              <w:t>-0.140</w:t>
            </w:r>
          </w:p>
        </w:tc>
      </w:tr>
      <w:tr>
        <w:trPr>
          <w:cantSplit w:val="true"/>
        </w:trPr>
        <w:tc>
          <w:tcPr>
            <w:tcW w:type="dxa" w:w="2041"/>
          </w:tcPr>
          <w:p>
            <w:pPr>
              <w:keepNext/>
              <w:spacing w:line="240" w:lineRule="auto" w:after="0"/>
              <w:jc w:val="center"/>
            </w:pPr>
            <w:r>
              <w:rPr>
                <w:b w:val="0"/>
                <w:i w:val="0"/>
                <w:sz w:val="20"/>
              </w:rPr>
              <w:t>UMAP</w:t>
            </w:r>
          </w:p>
        </w:tc>
        <w:tc>
          <w:tcPr>
            <w:tcW w:type="dxa" w:w="1701"/>
          </w:tcPr>
          <w:p>
            <w:pPr>
              <w:keepNext/>
              <w:spacing w:line="240" w:lineRule="auto" w:after="0"/>
              <w:jc w:val="center"/>
            </w:pPr>
            <w:r>
              <w:rPr>
                <w:b w:val="0"/>
                <w:i w:val="0"/>
                <w:sz w:val="20"/>
              </w:rPr>
              <w:t>32.22</w:t>
            </w:r>
          </w:p>
        </w:tc>
        <w:tc>
          <w:tcPr>
            <w:tcW w:type="dxa" w:w="2381"/>
          </w:tcPr>
          <w:p>
            <w:pPr>
              <w:keepNext/>
              <w:spacing w:line="240" w:lineRule="auto" w:after="0"/>
              <w:jc w:val="center"/>
            </w:pPr>
            <w:r>
              <w:rPr>
                <w:b w:val="0"/>
                <w:i w:val="0"/>
                <w:sz w:val="20"/>
              </w:rPr>
              <w:t>0.947</w:t>
            </w:r>
          </w:p>
        </w:tc>
        <w:tc>
          <w:tcPr>
            <w:tcW w:type="dxa" w:w="2381"/>
          </w:tcPr>
          <w:p>
            <w:pPr>
              <w:keepNext/>
              <w:spacing w:line="240" w:lineRule="auto" w:after="0"/>
              <w:jc w:val="center"/>
            </w:pPr>
            <w:r>
              <w:rPr>
                <w:b w:val="0"/>
                <w:i w:val="0"/>
                <w:sz w:val="20"/>
              </w:rPr>
              <w:t>-0.055</w:t>
            </w:r>
          </w:p>
        </w:tc>
      </w:tr>
      <w:tr>
        <w:trPr>
          <w:cantSplit w:val="true"/>
        </w:trPr>
        <w:tc>
          <w:tcPr>
            <w:tcW w:type="dxa" w:w="2041"/>
          </w:tcPr>
          <w:p>
            <w:pPr>
              <w:keepNext/>
              <w:spacing w:line="240" w:lineRule="auto" w:after="0"/>
              <w:jc w:val="center"/>
            </w:pPr>
            <w:r>
              <w:rPr>
                <w:b w:val="0"/>
                <w:i w:val="0"/>
                <w:sz w:val="20"/>
              </w:rPr>
              <w:t>Original 10-D</w:t>
            </w:r>
          </w:p>
        </w:tc>
        <w:tc>
          <w:tcPr>
            <w:tcW w:type="dxa" w:w="1701"/>
          </w:tcPr>
          <w:p>
            <w:pPr>
              <w:keepNext/>
              <w:spacing w:line="240" w:lineRule="auto" w:after="0"/>
              <w:jc w:val="center"/>
            </w:pPr>
            <w:r>
              <w:rPr>
                <w:b w:val="0"/>
                <w:i w:val="0"/>
                <w:sz w:val="20"/>
              </w:rPr>
              <w:t>0.00</w:t>
            </w:r>
          </w:p>
        </w:tc>
        <w:tc>
          <w:tcPr>
            <w:tcW w:type="dxa" w:w="2381"/>
          </w:tcPr>
          <w:p>
            <w:pPr>
              <w:keepNext/>
              <w:spacing w:line="240" w:lineRule="auto" w:after="0"/>
              <w:jc w:val="center"/>
            </w:pPr>
            <w:r>
              <w:rPr>
                <w:b w:val="0"/>
                <w:i w:val="0"/>
                <w:sz w:val="20"/>
              </w:rPr>
              <w:t>1.000</w:t>
            </w:r>
          </w:p>
        </w:tc>
        <w:tc>
          <w:tcPr>
            <w:tcW w:type="dxa" w:w="2381"/>
          </w:tcPr>
          <w:p>
            <w:pPr>
              <w:keepNext/>
              <w:spacing w:line="240" w:lineRule="auto" w:after="0"/>
              <w:jc w:val="center"/>
            </w:pPr>
            <w:r>
              <w:rPr>
                <w:b w:val="0"/>
                <w:i w:val="0"/>
                <w:sz w:val="20"/>
              </w:rPr>
              <w:t>-0.029</w:t>
            </w:r>
          </w:p>
        </w:tc>
      </w:tr>
    </w:tbl>
    <w:p>
      <w:pPr>
        <w:spacing w:before="80" w:line="240" w:lineRule="auto"/>
        <w:jc w:val="center"/>
      </w:pPr>
      <w:r>
        <w:rPr>
          <w:sz w:val="20"/>
        </w:rPr>
        <w:t>TABLE XIV: Comparison of dimensionality-reduction methods</w:t>
      </w:r>
    </w:p>
    <w:p>
      <w:pPr>
        <w:jc w:val="both"/>
      </w:pPr>
      <w:r>
        <w:rPr>
          <w:b w:val="0"/>
          <w:i w:val="0"/>
        </w:rPr>
        <w:t>Colouring a decade-stratified t-SNE map (1,000 canonical tracks per decade, 1950s-2010s) by release decade gives a silhouette of -0.082 (Fig. 14): eras blend into each other gradually rather than forming islands, consistent with the slow trends in Section 4.2.9.</w:t>
      </w:r>
    </w:p>
    <w:p>
      <w:pPr>
        <w:keepNext/>
        <w:spacing w:after="40" w:line="240" w:lineRule="auto"/>
        <w:jc w:val="center"/>
      </w:pPr>
      <w:r>
        <w:drawing>
          <wp:inline xmlns:a="http://schemas.openxmlformats.org/drawingml/2006/main" xmlns:pic="http://schemas.openxmlformats.org/drawingml/2006/picture">
            <wp:extent cx="4572000" cy="3443232"/>
            <wp:docPr id="14" name="Picture 14"/>
            <wp:cNvGraphicFramePr>
              <a:graphicFrameLocks noChangeAspect="1"/>
            </wp:cNvGraphicFramePr>
            <a:graphic>
              <a:graphicData uri="http://schemas.openxmlformats.org/drawingml/2006/picture">
                <pic:pic>
                  <pic:nvPicPr>
                    <pic:cNvPr id="0" name="fig_05_03_tsne_by_decade.png"/>
                    <pic:cNvPicPr/>
                  </pic:nvPicPr>
                  <pic:blipFill>
                    <a:blip r:embed="rId48"/>
                    <a:stretch>
                      <a:fillRect/>
                    </a:stretch>
                  </pic:blipFill>
                  <pic:spPr>
                    <a:xfrm>
                      <a:off x="0" y="0"/>
                      <a:ext cx="4572000" cy="3443232"/>
                    </a:xfrm>
                    <a:prstGeom prst="rect"/>
                  </pic:spPr>
                </pic:pic>
              </a:graphicData>
            </a:graphic>
          </wp:inline>
        </w:drawing>
      </w:r>
    </w:p>
    <w:p>
      <w:pPr>
        <w:spacing w:line="240" w:lineRule="auto"/>
        <w:jc w:val="center"/>
      </w:pPr>
      <w:r>
        <w:rPr>
          <w:sz w:val="20"/>
        </w:rPr>
        <w:t>Fig. 14. t-SNE map coloured by release decade</w:t>
      </w:r>
    </w:p>
    <w:p>
      <w:pPr>
        <w:pStyle w:val="Heading3"/>
        <w:jc w:val="left"/>
      </w:pPr>
      <w:r>
        <w:t>4.2.8 Acoustic Clusters</w:t>
      </w:r>
    </w:p>
    <w:p>
      <w:pPr>
        <w:jc w:val="both"/>
      </w:pPr>
      <w:r>
        <w:rPr>
          <w:b w:val="0"/>
          <w:i w:val="0"/>
        </w:rPr>
        <w:t>KMeans was run on the first 7 principal components for k = 2 to 10 (Fig. 15). The silhouette is highest at k = 2 (0.268), which only splits acoustic from electric music; k = 6 sits on the next plateau and produces groups that can be described in plain words, so it was chosen. Each cluster was named from its centroid and the most frequent genres of genre-table tracks assigned to it (TABLE XV). HDBSCAN on a 20,000-track subsample found only 2 dense clusters and labelled 64.8% of points as noise, confirming that the audio space is a continuum with a few dense cores rather than well-separated islands.</w:t>
      </w:r>
    </w:p>
    <w:p>
      <w:pPr>
        <w:keepNext/>
        <w:spacing w:after="40" w:line="240" w:lineRule="auto"/>
        <w:jc w:val="center"/>
      </w:pPr>
      <w:r>
        <w:drawing>
          <wp:inline xmlns:a="http://schemas.openxmlformats.org/drawingml/2006/main" xmlns:pic="http://schemas.openxmlformats.org/drawingml/2006/picture">
            <wp:extent cx="5303520" cy="1785156"/>
            <wp:docPr id="15" name="Picture 15"/>
            <wp:cNvGraphicFramePr>
              <a:graphicFrameLocks noChangeAspect="1"/>
            </wp:cNvGraphicFramePr>
            <a:graphic>
              <a:graphicData uri="http://schemas.openxmlformats.org/drawingml/2006/picture">
                <pic:pic>
                  <pic:nvPicPr>
                    <pic:cNvPr id="0" name="fig_05_04_kmeans_elbow_silhouette.png"/>
                    <pic:cNvPicPr/>
                  </pic:nvPicPr>
                  <pic:blipFill>
                    <a:blip r:embed="rId49"/>
                    <a:stretch>
                      <a:fillRect/>
                    </a:stretch>
                  </pic:blipFill>
                  <pic:spPr>
                    <a:xfrm>
                      <a:off x="0" y="0"/>
                      <a:ext cx="5303520" cy="1785156"/>
                    </a:xfrm>
                    <a:prstGeom prst="rect"/>
                  </pic:spPr>
                </pic:pic>
              </a:graphicData>
            </a:graphic>
          </wp:inline>
        </w:drawing>
      </w:r>
    </w:p>
    <w:p>
      <w:pPr>
        <w:spacing w:line="240" w:lineRule="auto"/>
        <w:jc w:val="center"/>
      </w:pPr>
      <w:r>
        <w:rPr>
          <w:sz w:val="20"/>
        </w:rPr>
        <w:t>Fig. 15. Elbow and silhouette curves for choosing k</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91"/>
        <w:gridCol w:w="774"/>
        <w:gridCol w:w="2212"/>
        <w:gridCol w:w="774"/>
        <w:gridCol w:w="830"/>
        <w:gridCol w:w="830"/>
        <w:gridCol w:w="774"/>
        <w:gridCol w:w="830"/>
      </w:tblGrid>
      <w:tr>
        <w:trPr>
          <w:tblHeader w:val="true"/>
          <w:cantSplit w:val="true"/>
        </w:trPr>
        <w:tc>
          <w:tcPr>
            <w:tcW w:type="dxa" w:w="1991"/>
          </w:tcPr>
          <w:p>
            <w:pPr>
              <w:keepNext/>
              <w:spacing w:line="240" w:lineRule="auto" w:after="0"/>
              <w:jc w:val="center"/>
            </w:pPr>
            <w:r/>
            <w:r>
              <w:rPr>
                <w:b/>
                <w:sz w:val="17"/>
              </w:rPr>
              <w:t>Cluster name</w:t>
            </w:r>
          </w:p>
        </w:tc>
        <w:tc>
          <w:tcPr>
            <w:tcW w:type="dxa" w:w="774"/>
          </w:tcPr>
          <w:p>
            <w:pPr>
              <w:keepNext/>
              <w:spacing w:line="240" w:lineRule="auto" w:after="0"/>
              <w:jc w:val="center"/>
            </w:pPr>
            <w:r/>
            <w:r>
              <w:rPr>
                <w:b/>
                <w:sz w:val="17"/>
              </w:rPr>
              <w:t>Share</w:t>
            </w:r>
          </w:p>
        </w:tc>
        <w:tc>
          <w:tcPr>
            <w:tcW w:type="dxa" w:w="2212"/>
          </w:tcPr>
          <w:p>
            <w:pPr>
              <w:keepNext/>
              <w:spacing w:line="240" w:lineRule="auto" w:after="0"/>
              <w:jc w:val="center"/>
            </w:pPr>
            <w:r/>
            <w:r>
              <w:rPr>
                <w:b/>
                <w:sz w:val="17"/>
              </w:rPr>
              <w:t>Top genres</w:t>
            </w:r>
          </w:p>
        </w:tc>
        <w:tc>
          <w:tcPr>
            <w:tcW w:type="dxa" w:w="774"/>
          </w:tcPr>
          <w:p>
            <w:pPr>
              <w:keepNext/>
              <w:spacing w:line="240" w:lineRule="auto" w:after="0"/>
              <w:jc w:val="center"/>
            </w:pPr>
            <w:r/>
            <w:r>
              <w:rPr>
                <w:b/>
                <w:sz w:val="17"/>
              </w:rPr>
              <w:t>Energy</w:t>
            </w:r>
          </w:p>
        </w:tc>
        <w:tc>
          <w:tcPr>
            <w:tcW w:type="dxa" w:w="830"/>
          </w:tcPr>
          <w:p>
            <w:pPr>
              <w:keepNext/>
              <w:spacing w:line="240" w:lineRule="auto" w:after="0"/>
              <w:jc w:val="center"/>
            </w:pPr>
            <w:r/>
            <w:r>
              <w:rPr>
                <w:b/>
                <w:sz w:val="17"/>
              </w:rPr>
              <w:t>Acoust.</w:t>
            </w:r>
          </w:p>
        </w:tc>
        <w:tc>
          <w:tcPr>
            <w:tcW w:type="dxa" w:w="830"/>
          </w:tcPr>
          <w:p>
            <w:pPr>
              <w:keepNext/>
              <w:spacing w:line="240" w:lineRule="auto" w:after="0"/>
              <w:jc w:val="center"/>
            </w:pPr>
            <w:r/>
            <w:r>
              <w:rPr>
                <w:b/>
                <w:sz w:val="17"/>
              </w:rPr>
              <w:t>Speech.</w:t>
            </w:r>
          </w:p>
        </w:tc>
        <w:tc>
          <w:tcPr>
            <w:tcW w:type="dxa" w:w="774"/>
          </w:tcPr>
          <w:p>
            <w:pPr>
              <w:keepNext/>
              <w:spacing w:line="240" w:lineRule="auto" w:after="0"/>
              <w:jc w:val="center"/>
            </w:pPr>
            <w:r/>
            <w:r>
              <w:rPr>
                <w:b/>
                <w:sz w:val="17"/>
              </w:rPr>
              <w:t>Instr.</w:t>
            </w:r>
          </w:p>
        </w:tc>
        <w:tc>
          <w:tcPr>
            <w:tcW w:type="dxa" w:w="830"/>
          </w:tcPr>
          <w:p>
            <w:pPr>
              <w:keepNext/>
              <w:spacing w:line="240" w:lineRule="auto" w:after="0"/>
              <w:jc w:val="center"/>
            </w:pPr>
            <w:r/>
            <w:r>
              <w:rPr>
                <w:b/>
                <w:sz w:val="17"/>
              </w:rPr>
              <w:t>Dance.</w:t>
            </w:r>
          </w:p>
        </w:tc>
      </w:tr>
      <w:tr>
        <w:trPr>
          <w:cantSplit w:val="true"/>
        </w:trPr>
        <w:tc>
          <w:tcPr>
            <w:tcW w:type="dxa" w:w="1991"/>
          </w:tcPr>
          <w:p>
            <w:pPr>
              <w:keepNext/>
              <w:spacing w:line="240" w:lineRule="auto" w:after="0"/>
              <w:jc w:val="left"/>
            </w:pPr>
            <w:r>
              <w:rPr>
                <w:b w:val="0"/>
                <w:i w:val="0"/>
                <w:sz w:val="17"/>
              </w:rPr>
              <w:t>Live recordings</w:t>
            </w:r>
          </w:p>
        </w:tc>
        <w:tc>
          <w:tcPr>
            <w:tcW w:type="dxa" w:w="774"/>
          </w:tcPr>
          <w:p>
            <w:pPr>
              <w:keepNext/>
              <w:spacing w:line="240" w:lineRule="auto" w:after="0"/>
              <w:jc w:val="center"/>
            </w:pPr>
            <w:r>
              <w:rPr>
                <w:b w:val="0"/>
                <w:i w:val="0"/>
                <w:sz w:val="17"/>
              </w:rPr>
              <w:t>6.2%</w:t>
            </w:r>
          </w:p>
        </w:tc>
        <w:tc>
          <w:tcPr>
            <w:tcW w:type="dxa" w:w="2212"/>
          </w:tcPr>
          <w:p>
            <w:pPr>
              <w:keepNext/>
              <w:spacing w:line="240" w:lineRule="auto" w:after="0"/>
              <w:jc w:val="left"/>
            </w:pPr>
            <w:r>
              <w:rPr>
                <w:b w:val="0"/>
                <w:i w:val="0"/>
                <w:sz w:val="17"/>
              </w:rPr>
              <w:t>pagode, sertanejo, samba</w:t>
            </w:r>
          </w:p>
        </w:tc>
        <w:tc>
          <w:tcPr>
            <w:tcW w:type="dxa" w:w="774"/>
          </w:tcPr>
          <w:p>
            <w:pPr>
              <w:keepNext/>
              <w:spacing w:line="240" w:lineRule="auto" w:after="0"/>
              <w:jc w:val="center"/>
            </w:pPr>
            <w:r>
              <w:rPr>
                <w:b w:val="0"/>
                <w:i w:val="0"/>
                <w:sz w:val="17"/>
              </w:rPr>
              <w:t>0.67</w:t>
            </w:r>
          </w:p>
        </w:tc>
        <w:tc>
          <w:tcPr>
            <w:tcW w:type="dxa" w:w="830"/>
          </w:tcPr>
          <w:p>
            <w:pPr>
              <w:keepNext/>
              <w:spacing w:line="240" w:lineRule="auto" w:after="0"/>
              <w:jc w:val="center"/>
            </w:pPr>
            <w:r>
              <w:rPr>
                <w:b w:val="0"/>
                <w:i w:val="0"/>
                <w:sz w:val="17"/>
              </w:rPr>
              <w:t>0.33</w:t>
            </w:r>
          </w:p>
        </w:tc>
        <w:tc>
          <w:tcPr>
            <w:tcW w:type="dxa" w:w="830"/>
          </w:tcPr>
          <w:p>
            <w:pPr>
              <w:keepNext/>
              <w:spacing w:line="240" w:lineRule="auto" w:after="0"/>
              <w:jc w:val="center"/>
            </w:pPr>
            <w:r>
              <w:rPr>
                <w:b w:val="0"/>
                <w:i w:val="0"/>
                <w:sz w:val="17"/>
              </w:rPr>
              <w:t>0.09</w:t>
            </w:r>
          </w:p>
        </w:tc>
        <w:tc>
          <w:tcPr>
            <w:tcW w:type="dxa" w:w="774"/>
          </w:tcPr>
          <w:p>
            <w:pPr>
              <w:keepNext/>
              <w:spacing w:line="240" w:lineRule="auto" w:after="0"/>
              <w:jc w:val="center"/>
            </w:pPr>
            <w:r>
              <w:rPr>
                <w:b w:val="0"/>
                <w:i w:val="0"/>
                <w:sz w:val="17"/>
              </w:rPr>
              <w:t>0.18</w:t>
            </w:r>
          </w:p>
        </w:tc>
        <w:tc>
          <w:tcPr>
            <w:tcW w:type="dxa" w:w="830"/>
          </w:tcPr>
          <w:p>
            <w:pPr>
              <w:keepNext/>
              <w:spacing w:line="240" w:lineRule="auto" w:after="0"/>
              <w:jc w:val="center"/>
            </w:pPr>
            <w:r>
              <w:rPr>
                <w:b w:val="0"/>
                <w:i w:val="0"/>
                <w:sz w:val="17"/>
              </w:rPr>
              <w:t>0.46</w:t>
            </w:r>
          </w:p>
        </w:tc>
      </w:tr>
      <w:tr>
        <w:trPr>
          <w:cantSplit w:val="true"/>
        </w:trPr>
        <w:tc>
          <w:tcPr>
            <w:tcW w:type="dxa" w:w="1991"/>
          </w:tcPr>
          <w:p>
            <w:pPr>
              <w:keepNext/>
              <w:spacing w:line="240" w:lineRule="auto" w:after="0"/>
              <w:jc w:val="left"/>
            </w:pPr>
            <w:r>
              <w:rPr>
                <w:b w:val="0"/>
                <w:i w:val="0"/>
                <w:sz w:val="17"/>
              </w:rPr>
              <w:t>Upbeat danceable pop</w:t>
            </w:r>
          </w:p>
        </w:tc>
        <w:tc>
          <w:tcPr>
            <w:tcW w:type="dxa" w:w="774"/>
          </w:tcPr>
          <w:p>
            <w:pPr>
              <w:keepNext/>
              <w:spacing w:line="240" w:lineRule="auto" w:after="0"/>
              <w:jc w:val="center"/>
            </w:pPr>
            <w:r>
              <w:rPr>
                <w:b w:val="0"/>
                <w:i w:val="0"/>
                <w:sz w:val="17"/>
              </w:rPr>
              <w:t>28.5%</w:t>
            </w:r>
          </w:p>
        </w:tc>
        <w:tc>
          <w:tcPr>
            <w:tcW w:type="dxa" w:w="2212"/>
          </w:tcPr>
          <w:p>
            <w:pPr>
              <w:keepNext/>
              <w:spacing w:line="240" w:lineRule="auto" w:after="0"/>
              <w:jc w:val="left"/>
            </w:pPr>
            <w:r>
              <w:rPr>
                <w:b w:val="0"/>
                <w:i w:val="0"/>
                <w:sz w:val="17"/>
              </w:rPr>
              <w:t>salsa, dance, forro</w:t>
            </w:r>
          </w:p>
        </w:tc>
        <w:tc>
          <w:tcPr>
            <w:tcW w:type="dxa" w:w="774"/>
          </w:tcPr>
          <w:p>
            <w:pPr>
              <w:keepNext/>
              <w:spacing w:line="240" w:lineRule="auto" w:after="0"/>
              <w:jc w:val="center"/>
            </w:pPr>
            <w:r>
              <w:rPr>
                <w:b w:val="0"/>
                <w:i w:val="0"/>
                <w:sz w:val="17"/>
              </w:rPr>
              <w:t>0.68</w:t>
            </w:r>
          </w:p>
        </w:tc>
        <w:tc>
          <w:tcPr>
            <w:tcW w:type="dxa" w:w="830"/>
          </w:tcPr>
          <w:p>
            <w:pPr>
              <w:keepNext/>
              <w:spacing w:line="240" w:lineRule="auto" w:after="0"/>
              <w:jc w:val="center"/>
            </w:pPr>
            <w:r>
              <w:rPr>
                <w:b w:val="0"/>
                <w:i w:val="0"/>
                <w:sz w:val="17"/>
              </w:rPr>
              <w:t>0.23</w:t>
            </w:r>
          </w:p>
        </w:tc>
        <w:tc>
          <w:tcPr>
            <w:tcW w:type="dxa" w:w="830"/>
          </w:tcPr>
          <w:p>
            <w:pPr>
              <w:keepNext/>
              <w:spacing w:line="240" w:lineRule="auto" w:after="0"/>
              <w:jc w:val="center"/>
            </w:pPr>
            <w:r>
              <w:rPr>
                <w:b w:val="0"/>
                <w:i w:val="0"/>
                <w:sz w:val="17"/>
              </w:rPr>
              <w:t>0.08</w:t>
            </w:r>
          </w:p>
        </w:tc>
        <w:tc>
          <w:tcPr>
            <w:tcW w:type="dxa" w:w="774"/>
          </w:tcPr>
          <w:p>
            <w:pPr>
              <w:keepNext/>
              <w:spacing w:line="240" w:lineRule="auto" w:after="0"/>
              <w:jc w:val="center"/>
            </w:pPr>
            <w:r>
              <w:rPr>
                <w:b w:val="0"/>
                <w:i w:val="0"/>
                <w:sz w:val="17"/>
              </w:rPr>
              <w:t>0.12</w:t>
            </w:r>
          </w:p>
        </w:tc>
        <w:tc>
          <w:tcPr>
            <w:tcW w:type="dxa" w:w="830"/>
          </w:tcPr>
          <w:p>
            <w:pPr>
              <w:keepNext/>
              <w:spacing w:line="240" w:lineRule="auto" w:after="0"/>
              <w:jc w:val="center"/>
            </w:pPr>
            <w:r>
              <w:rPr>
                <w:b w:val="0"/>
                <w:i w:val="0"/>
                <w:sz w:val="17"/>
              </w:rPr>
              <w:t>0.66</w:t>
            </w:r>
          </w:p>
        </w:tc>
      </w:tr>
      <w:tr>
        <w:trPr>
          <w:cantSplit w:val="true"/>
        </w:trPr>
        <w:tc>
          <w:tcPr>
            <w:tcW w:type="dxa" w:w="1991"/>
          </w:tcPr>
          <w:p>
            <w:pPr>
              <w:keepNext/>
              <w:spacing w:line="240" w:lineRule="auto" w:after="0"/>
              <w:jc w:val="left"/>
            </w:pPr>
            <w:r>
              <w:rPr>
                <w:b w:val="0"/>
                <w:i w:val="0"/>
                <w:sz w:val="17"/>
              </w:rPr>
              <w:t>Soft acoustic songs</w:t>
            </w:r>
          </w:p>
        </w:tc>
        <w:tc>
          <w:tcPr>
            <w:tcW w:type="dxa" w:w="774"/>
          </w:tcPr>
          <w:p>
            <w:pPr>
              <w:keepNext/>
              <w:spacing w:line="240" w:lineRule="auto" w:after="0"/>
              <w:jc w:val="center"/>
            </w:pPr>
            <w:r>
              <w:rPr>
                <w:b w:val="0"/>
                <w:i w:val="0"/>
                <w:sz w:val="17"/>
              </w:rPr>
              <w:t>20.5%</w:t>
            </w:r>
          </w:p>
        </w:tc>
        <w:tc>
          <w:tcPr>
            <w:tcW w:type="dxa" w:w="2212"/>
          </w:tcPr>
          <w:p>
            <w:pPr>
              <w:keepNext/>
              <w:spacing w:line="240" w:lineRule="auto" w:after="0"/>
              <w:jc w:val="left"/>
            </w:pPr>
            <w:r>
              <w:rPr>
                <w:b w:val="0"/>
                <w:i w:val="0"/>
                <w:sz w:val="17"/>
              </w:rPr>
              <w:t>romance, tango, honky-tonk</w:t>
            </w:r>
          </w:p>
        </w:tc>
        <w:tc>
          <w:tcPr>
            <w:tcW w:type="dxa" w:w="774"/>
          </w:tcPr>
          <w:p>
            <w:pPr>
              <w:keepNext/>
              <w:spacing w:line="240" w:lineRule="auto" w:after="0"/>
              <w:jc w:val="center"/>
            </w:pPr>
            <w:r>
              <w:rPr>
                <w:b w:val="0"/>
                <w:i w:val="0"/>
                <w:sz w:val="17"/>
              </w:rPr>
              <w:t>0.28</w:t>
            </w:r>
          </w:p>
        </w:tc>
        <w:tc>
          <w:tcPr>
            <w:tcW w:type="dxa" w:w="830"/>
          </w:tcPr>
          <w:p>
            <w:pPr>
              <w:keepNext/>
              <w:spacing w:line="240" w:lineRule="auto" w:after="0"/>
              <w:jc w:val="center"/>
            </w:pPr>
            <w:r>
              <w:rPr>
                <w:b w:val="0"/>
                <w:i w:val="0"/>
                <w:sz w:val="17"/>
              </w:rPr>
              <w:t>0.76</w:t>
            </w:r>
          </w:p>
        </w:tc>
        <w:tc>
          <w:tcPr>
            <w:tcW w:type="dxa" w:w="830"/>
          </w:tcPr>
          <w:p>
            <w:pPr>
              <w:keepNext/>
              <w:spacing w:line="240" w:lineRule="auto" w:after="0"/>
              <w:jc w:val="center"/>
            </w:pPr>
            <w:r>
              <w:rPr>
                <w:b w:val="0"/>
                <w:i w:val="0"/>
                <w:sz w:val="17"/>
              </w:rPr>
              <w:t>0.05</w:t>
            </w:r>
          </w:p>
        </w:tc>
        <w:tc>
          <w:tcPr>
            <w:tcW w:type="dxa" w:w="774"/>
          </w:tcPr>
          <w:p>
            <w:pPr>
              <w:keepNext/>
              <w:spacing w:line="240" w:lineRule="auto" w:after="0"/>
              <w:jc w:val="center"/>
            </w:pPr>
            <w:r>
              <w:rPr>
                <w:b w:val="0"/>
                <w:i w:val="0"/>
                <w:sz w:val="17"/>
              </w:rPr>
              <w:t>0.13</w:t>
            </w:r>
          </w:p>
        </w:tc>
        <w:tc>
          <w:tcPr>
            <w:tcW w:type="dxa" w:w="830"/>
          </w:tcPr>
          <w:p>
            <w:pPr>
              <w:keepNext/>
              <w:spacing w:line="240" w:lineRule="auto" w:after="0"/>
              <w:jc w:val="center"/>
            </w:pPr>
            <w:r>
              <w:rPr>
                <w:b w:val="0"/>
                <w:i w:val="0"/>
                <w:sz w:val="17"/>
              </w:rPr>
              <w:t>0.49</w:t>
            </w:r>
          </w:p>
        </w:tc>
      </w:tr>
      <w:tr>
        <w:trPr>
          <w:cantSplit w:val="true"/>
        </w:trPr>
        <w:tc>
          <w:tcPr>
            <w:tcW w:type="dxa" w:w="1991"/>
          </w:tcPr>
          <w:p>
            <w:pPr>
              <w:keepNext/>
              <w:spacing w:line="240" w:lineRule="auto" w:after="0"/>
              <w:jc w:val="left"/>
            </w:pPr>
            <w:r>
              <w:rPr>
                <w:b w:val="0"/>
                <w:i w:val="0"/>
                <w:sz w:val="17"/>
              </w:rPr>
              <w:t>Loud &amp; intense (rock/metal)</w:t>
            </w:r>
          </w:p>
        </w:tc>
        <w:tc>
          <w:tcPr>
            <w:tcW w:type="dxa" w:w="774"/>
          </w:tcPr>
          <w:p>
            <w:pPr>
              <w:keepNext/>
              <w:spacing w:line="240" w:lineRule="auto" w:after="0"/>
              <w:jc w:val="center"/>
            </w:pPr>
            <w:r>
              <w:rPr>
                <w:b w:val="0"/>
                <w:i w:val="0"/>
                <w:sz w:val="17"/>
              </w:rPr>
              <w:t>21.9%</w:t>
            </w:r>
          </w:p>
        </w:tc>
        <w:tc>
          <w:tcPr>
            <w:tcW w:type="dxa" w:w="2212"/>
          </w:tcPr>
          <w:p>
            <w:pPr>
              <w:keepNext/>
              <w:spacing w:line="240" w:lineRule="auto" w:after="0"/>
              <w:jc w:val="left"/>
            </w:pPr>
            <w:r>
              <w:rPr>
                <w:b w:val="0"/>
                <w:i w:val="0"/>
                <w:sz w:val="17"/>
              </w:rPr>
              <w:t>black-metal, grindcore, death-metal</w:t>
            </w:r>
          </w:p>
        </w:tc>
        <w:tc>
          <w:tcPr>
            <w:tcW w:type="dxa" w:w="774"/>
          </w:tcPr>
          <w:p>
            <w:pPr>
              <w:keepNext/>
              <w:spacing w:line="240" w:lineRule="auto" w:after="0"/>
              <w:jc w:val="center"/>
            </w:pPr>
            <w:r>
              <w:rPr>
                <w:b w:val="0"/>
                <w:i w:val="0"/>
                <w:sz w:val="17"/>
              </w:rPr>
              <w:t>0.76</w:t>
            </w:r>
          </w:p>
        </w:tc>
        <w:tc>
          <w:tcPr>
            <w:tcW w:type="dxa" w:w="830"/>
          </w:tcPr>
          <w:p>
            <w:pPr>
              <w:keepNext/>
              <w:spacing w:line="240" w:lineRule="auto" w:after="0"/>
              <w:jc w:val="center"/>
            </w:pPr>
            <w:r>
              <w:rPr>
                <w:b w:val="0"/>
                <w:i w:val="0"/>
                <w:sz w:val="17"/>
              </w:rPr>
              <w:t>0.09</w:t>
            </w:r>
          </w:p>
        </w:tc>
        <w:tc>
          <w:tcPr>
            <w:tcW w:type="dxa" w:w="830"/>
          </w:tcPr>
          <w:p>
            <w:pPr>
              <w:keepNext/>
              <w:spacing w:line="240" w:lineRule="auto" w:after="0"/>
              <w:jc w:val="center"/>
            </w:pPr>
            <w:r>
              <w:rPr>
                <w:b w:val="0"/>
                <w:i w:val="0"/>
                <w:sz w:val="17"/>
              </w:rPr>
              <w:t>0.07</w:t>
            </w:r>
          </w:p>
        </w:tc>
        <w:tc>
          <w:tcPr>
            <w:tcW w:type="dxa" w:w="774"/>
          </w:tcPr>
          <w:p>
            <w:pPr>
              <w:keepNext/>
              <w:spacing w:line="240" w:lineRule="auto" w:after="0"/>
              <w:jc w:val="center"/>
            </w:pPr>
            <w:r>
              <w:rPr>
                <w:b w:val="0"/>
                <w:i w:val="0"/>
                <w:sz w:val="17"/>
              </w:rPr>
              <w:t>0.33</w:t>
            </w:r>
          </w:p>
        </w:tc>
        <w:tc>
          <w:tcPr>
            <w:tcW w:type="dxa" w:w="830"/>
          </w:tcPr>
          <w:p>
            <w:pPr>
              <w:keepNext/>
              <w:spacing w:line="240" w:lineRule="auto" w:after="0"/>
              <w:jc w:val="center"/>
            </w:pPr>
            <w:r>
              <w:rPr>
                <w:b w:val="0"/>
                <w:i w:val="0"/>
                <w:sz w:val="17"/>
              </w:rPr>
              <w:t>0.42</w:t>
            </w:r>
          </w:p>
        </w:tc>
      </w:tr>
      <w:tr>
        <w:trPr>
          <w:cantSplit w:val="true"/>
        </w:trPr>
        <w:tc>
          <w:tcPr>
            <w:tcW w:type="dxa" w:w="1991"/>
          </w:tcPr>
          <w:p>
            <w:pPr>
              <w:keepNext/>
              <w:spacing w:line="240" w:lineRule="auto" w:after="0"/>
              <w:jc w:val="left"/>
            </w:pPr>
            <w:r>
              <w:rPr>
                <w:b w:val="0"/>
                <w:i w:val="0"/>
                <w:sz w:val="17"/>
              </w:rPr>
              <w:t>Quiet acoustic instrumentals</w:t>
            </w:r>
          </w:p>
        </w:tc>
        <w:tc>
          <w:tcPr>
            <w:tcW w:type="dxa" w:w="774"/>
          </w:tcPr>
          <w:p>
            <w:pPr>
              <w:keepNext/>
              <w:spacing w:line="240" w:lineRule="auto" w:after="0"/>
              <w:jc w:val="center"/>
            </w:pPr>
            <w:r>
              <w:rPr>
                <w:b w:val="0"/>
                <w:i w:val="0"/>
                <w:sz w:val="17"/>
              </w:rPr>
              <w:t>18.7%</w:t>
            </w:r>
          </w:p>
        </w:tc>
        <w:tc>
          <w:tcPr>
            <w:tcW w:type="dxa" w:w="2212"/>
          </w:tcPr>
          <w:p>
            <w:pPr>
              <w:keepNext/>
              <w:spacing w:line="240" w:lineRule="auto" w:after="0"/>
              <w:jc w:val="left"/>
            </w:pPr>
            <w:r>
              <w:rPr>
                <w:b w:val="0"/>
                <w:i w:val="0"/>
                <w:sz w:val="17"/>
              </w:rPr>
              <w:t>new-age, ambient, sleep</w:t>
            </w:r>
          </w:p>
        </w:tc>
        <w:tc>
          <w:tcPr>
            <w:tcW w:type="dxa" w:w="774"/>
          </w:tcPr>
          <w:p>
            <w:pPr>
              <w:keepNext/>
              <w:spacing w:line="240" w:lineRule="auto" w:after="0"/>
              <w:jc w:val="center"/>
            </w:pPr>
            <w:r>
              <w:rPr>
                <w:b w:val="0"/>
                <w:i w:val="0"/>
                <w:sz w:val="17"/>
              </w:rPr>
              <w:t>0.14</w:t>
            </w:r>
          </w:p>
        </w:tc>
        <w:tc>
          <w:tcPr>
            <w:tcW w:type="dxa" w:w="830"/>
          </w:tcPr>
          <w:p>
            <w:pPr>
              <w:keepNext/>
              <w:spacing w:line="240" w:lineRule="auto" w:after="0"/>
              <w:jc w:val="center"/>
            </w:pPr>
            <w:r>
              <w:rPr>
                <w:b w:val="0"/>
                <w:i w:val="0"/>
                <w:sz w:val="17"/>
              </w:rPr>
              <w:t>0.88</w:t>
            </w:r>
          </w:p>
        </w:tc>
        <w:tc>
          <w:tcPr>
            <w:tcW w:type="dxa" w:w="830"/>
          </w:tcPr>
          <w:p>
            <w:pPr>
              <w:keepNext/>
              <w:spacing w:line="240" w:lineRule="auto" w:after="0"/>
              <w:jc w:val="center"/>
            </w:pPr>
            <w:r>
              <w:rPr>
                <w:b w:val="0"/>
                <w:i w:val="0"/>
                <w:sz w:val="17"/>
              </w:rPr>
              <w:t>0.05</w:t>
            </w:r>
          </w:p>
        </w:tc>
        <w:tc>
          <w:tcPr>
            <w:tcW w:type="dxa" w:w="774"/>
          </w:tcPr>
          <w:p>
            <w:pPr>
              <w:keepNext/>
              <w:spacing w:line="240" w:lineRule="auto" w:after="0"/>
              <w:jc w:val="center"/>
            </w:pPr>
            <w:r>
              <w:rPr>
                <w:b w:val="0"/>
                <w:i w:val="0"/>
                <w:sz w:val="17"/>
              </w:rPr>
              <w:t>0.73</w:t>
            </w:r>
          </w:p>
        </w:tc>
        <w:tc>
          <w:tcPr>
            <w:tcW w:type="dxa" w:w="830"/>
          </w:tcPr>
          <w:p>
            <w:pPr>
              <w:keepNext/>
              <w:spacing w:line="240" w:lineRule="auto" w:after="0"/>
              <w:jc w:val="center"/>
            </w:pPr>
            <w:r>
              <w:rPr>
                <w:b w:val="0"/>
                <w:i w:val="0"/>
                <w:sz w:val="17"/>
              </w:rPr>
              <w:t>0.30</w:t>
            </w:r>
          </w:p>
        </w:tc>
      </w:tr>
      <w:tr>
        <w:trPr>
          <w:cantSplit w:val="true"/>
        </w:trPr>
        <w:tc>
          <w:tcPr>
            <w:tcW w:type="dxa" w:w="1991"/>
          </w:tcPr>
          <w:p>
            <w:pPr>
              <w:keepNext/>
              <w:spacing w:line="240" w:lineRule="auto" w:after="0"/>
              <w:jc w:val="left"/>
            </w:pPr>
            <w:r>
              <w:rPr>
                <w:b w:val="0"/>
                <w:i w:val="0"/>
                <w:sz w:val="17"/>
              </w:rPr>
              <w:t>Spoken word &amp; rap</w:t>
            </w:r>
          </w:p>
        </w:tc>
        <w:tc>
          <w:tcPr>
            <w:tcW w:type="dxa" w:w="774"/>
          </w:tcPr>
          <w:p>
            <w:pPr>
              <w:keepNext/>
              <w:spacing w:line="240" w:lineRule="auto" w:after="0"/>
              <w:jc w:val="center"/>
            </w:pPr>
            <w:r>
              <w:rPr>
                <w:b w:val="0"/>
                <w:i w:val="0"/>
                <w:sz w:val="17"/>
              </w:rPr>
              <w:t>4.2%</w:t>
            </w:r>
          </w:p>
        </w:tc>
        <w:tc>
          <w:tcPr>
            <w:tcW w:type="dxa" w:w="2212"/>
          </w:tcPr>
          <w:p>
            <w:pPr>
              <w:keepNext/>
              <w:spacing w:line="240" w:lineRule="auto" w:after="0"/>
              <w:jc w:val="left"/>
            </w:pPr>
            <w:r>
              <w:rPr>
                <w:b w:val="0"/>
                <w:i w:val="0"/>
                <w:sz w:val="17"/>
              </w:rPr>
              <w:t>comedy, j-dance, dancehall</w:t>
            </w:r>
          </w:p>
        </w:tc>
        <w:tc>
          <w:tcPr>
            <w:tcW w:type="dxa" w:w="774"/>
          </w:tcPr>
          <w:p>
            <w:pPr>
              <w:keepNext/>
              <w:spacing w:line="240" w:lineRule="auto" w:after="0"/>
              <w:jc w:val="center"/>
            </w:pPr>
            <w:r>
              <w:rPr>
                <w:b w:val="0"/>
                <w:i w:val="0"/>
                <w:sz w:val="17"/>
              </w:rPr>
              <w:t>0.54</w:t>
            </w:r>
          </w:p>
        </w:tc>
        <w:tc>
          <w:tcPr>
            <w:tcW w:type="dxa" w:w="830"/>
          </w:tcPr>
          <w:p>
            <w:pPr>
              <w:keepNext/>
              <w:spacing w:line="240" w:lineRule="auto" w:after="0"/>
              <w:jc w:val="center"/>
            </w:pPr>
            <w:r>
              <w:rPr>
                <w:b w:val="0"/>
                <w:i w:val="0"/>
                <w:sz w:val="17"/>
              </w:rPr>
              <w:t>0.42</w:t>
            </w:r>
          </w:p>
        </w:tc>
        <w:tc>
          <w:tcPr>
            <w:tcW w:type="dxa" w:w="830"/>
          </w:tcPr>
          <w:p>
            <w:pPr>
              <w:keepNext/>
              <w:spacing w:line="240" w:lineRule="auto" w:after="0"/>
              <w:jc w:val="center"/>
            </w:pPr>
            <w:r>
              <w:rPr>
                <w:b w:val="0"/>
                <w:i w:val="0"/>
                <w:sz w:val="17"/>
              </w:rPr>
              <w:t>0.52</w:t>
            </w:r>
          </w:p>
        </w:tc>
        <w:tc>
          <w:tcPr>
            <w:tcW w:type="dxa" w:w="774"/>
          </w:tcPr>
          <w:p>
            <w:pPr>
              <w:keepNext/>
              <w:spacing w:line="240" w:lineRule="auto" w:after="0"/>
              <w:jc w:val="center"/>
            </w:pPr>
            <w:r>
              <w:rPr>
                <w:b w:val="0"/>
                <w:i w:val="0"/>
                <w:sz w:val="17"/>
              </w:rPr>
              <w:t>0.05</w:t>
            </w:r>
          </w:p>
        </w:tc>
        <w:tc>
          <w:tcPr>
            <w:tcW w:type="dxa" w:w="830"/>
          </w:tcPr>
          <w:p>
            <w:pPr>
              <w:keepNext/>
              <w:spacing w:line="240" w:lineRule="auto" w:after="0"/>
              <w:jc w:val="center"/>
            </w:pPr>
            <w:r>
              <w:rPr>
                <w:b w:val="0"/>
                <w:i w:val="0"/>
                <w:sz w:val="17"/>
              </w:rPr>
              <w:t>0.64</w:t>
            </w:r>
          </w:p>
        </w:tc>
      </w:tr>
    </w:tbl>
    <w:p>
      <w:pPr>
        <w:spacing w:before="80" w:line="240" w:lineRule="auto"/>
        <w:jc w:val="center"/>
      </w:pPr>
      <w:r>
        <w:rPr>
          <w:sz w:val="20"/>
        </w:rPr>
        <w:t>TABLE XV: KMeans (k = 6) acoustic clusters with plain-language names</w:t>
      </w:r>
    </w:p>
    <w:p>
      <w:pPr>
        <w:keepNext/>
        <w:spacing w:after="40" w:line="240" w:lineRule="auto"/>
        <w:jc w:val="center"/>
      </w:pPr>
      <w:r>
        <w:drawing>
          <wp:inline xmlns:a="http://schemas.openxmlformats.org/drawingml/2006/main" xmlns:pic="http://schemas.openxmlformats.org/drawingml/2006/picture">
            <wp:extent cx="4754880" cy="4200589"/>
            <wp:docPr id="16" name="Picture 16"/>
            <wp:cNvGraphicFramePr>
              <a:graphicFrameLocks noChangeAspect="1"/>
            </wp:cNvGraphicFramePr>
            <a:graphic>
              <a:graphicData uri="http://schemas.openxmlformats.org/drawingml/2006/picture">
                <pic:pic>
                  <pic:nvPicPr>
                    <pic:cNvPr id="0" name="fig_05_05_clusters_on_tsne.png"/>
                    <pic:cNvPicPr/>
                  </pic:nvPicPr>
                  <pic:blipFill>
                    <a:blip r:embed="rId50"/>
                    <a:stretch>
                      <a:fillRect/>
                    </a:stretch>
                  </pic:blipFill>
                  <pic:spPr>
                    <a:xfrm>
                      <a:off x="0" y="0"/>
                      <a:ext cx="4754880" cy="4200589"/>
                    </a:xfrm>
                    <a:prstGeom prst="rect"/>
                  </pic:spPr>
                </pic:pic>
              </a:graphicData>
            </a:graphic>
          </wp:inline>
        </w:drawing>
      </w:r>
    </w:p>
    <w:p>
      <w:pPr>
        <w:spacing w:line="240" w:lineRule="auto"/>
        <w:jc w:val="center"/>
      </w:pPr>
      <w:r>
        <w:rPr>
          <w:sz w:val="20"/>
        </w:rPr>
        <w:t>Fig. 16. Named KMeans clusters on the t-SNE map</w:t>
      </w:r>
    </w:p>
    <w:p>
      <w:pPr>
        <w:pStyle w:val="Heading3"/>
        <w:jc w:val="left"/>
      </w:pPr>
      <w:r>
        <w:t>4.2.9 Time-Series Dynamics and Decade Trends</w:t>
      </w:r>
    </w:p>
    <w:p>
      <w:pPr>
        <w:jc w:val="both"/>
      </w:pPr>
      <w:r>
        <w:rPr>
          <w:b w:val="0"/>
          <w:i w:val="0"/>
        </w:rPr>
        <w:t>Years with at least 500 canonical releases (1959-2020, 1,109,736 tracks) form the analysis window (Fig. 17); the catalogue is heavily weighted towards recent years, so early decades rest on smaller samples.</w:t>
      </w:r>
    </w:p>
    <w:p>
      <w:pPr>
        <w:keepNext/>
        <w:spacing w:after="40" w:line="240" w:lineRule="auto"/>
        <w:jc w:val="center"/>
      </w:pPr>
      <w:r>
        <w:drawing>
          <wp:inline xmlns:a="http://schemas.openxmlformats.org/drawingml/2006/main" xmlns:pic="http://schemas.openxmlformats.org/drawingml/2006/picture">
            <wp:extent cx="5669280" cy="2039805"/>
            <wp:docPr id="17" name="Picture 17"/>
            <wp:cNvGraphicFramePr>
              <a:graphicFrameLocks noChangeAspect="1"/>
            </wp:cNvGraphicFramePr>
            <a:graphic>
              <a:graphicData uri="http://schemas.openxmlformats.org/drawingml/2006/picture">
                <pic:pic>
                  <pic:nvPicPr>
                    <pic:cNvPr id="0" name="fig_06_01_tracks_per_year.png"/>
                    <pic:cNvPicPr/>
                  </pic:nvPicPr>
                  <pic:blipFill>
                    <a:blip r:embed="rId51"/>
                    <a:stretch>
                      <a:fillRect/>
                    </a:stretch>
                  </pic:blipFill>
                  <pic:spPr>
                    <a:xfrm>
                      <a:off x="0" y="0"/>
                      <a:ext cx="5669280" cy="2039805"/>
                    </a:xfrm>
                    <a:prstGeom prst="rect"/>
                  </pic:spPr>
                </pic:pic>
              </a:graphicData>
            </a:graphic>
          </wp:inline>
        </w:drawing>
      </w:r>
    </w:p>
    <w:p>
      <w:pPr>
        <w:spacing w:line="240" w:lineRule="auto"/>
        <w:jc w:val="center"/>
      </w:pPr>
      <w:r>
        <w:rPr>
          <w:sz w:val="20"/>
        </w:rPr>
        <w:t>Fig. 17. Number of canonical tracks per release year</w:t>
      </w:r>
    </w:p>
    <w:p>
      <w:pPr>
        <w:jc w:val="both"/>
      </w:pPr>
      <w:r>
        <w:rPr>
          <w:b w:val="0"/>
          <w:i w:val="0"/>
        </w:rPr>
        <w:t>Yearly means with 5-year rolling averages (Fig. 18) show clear long-run movements. From 1959 to 2020 mean loudness rose from -17.4 dB to -9.7 dB, energy from 0.25 to 0.59 and danceability from 0.38 to 0.56, while acousticness fell from 0.86 to 0.31 and average duration shrank from 4.55 to 3.69 minutes. Valence moved much less (0.36 to 0.41).</w:t>
      </w:r>
    </w:p>
    <w:p>
      <w:pPr>
        <w:keepNext/>
        <w:spacing w:after="40" w:line="240" w:lineRule="auto"/>
        <w:jc w:val="center"/>
      </w:pPr>
      <w:r>
        <w:drawing>
          <wp:inline xmlns:a="http://schemas.openxmlformats.org/drawingml/2006/main" xmlns:pic="http://schemas.openxmlformats.org/drawingml/2006/picture">
            <wp:extent cx="5943600" cy="2884003"/>
            <wp:docPr id="18" name="Picture 18"/>
            <wp:cNvGraphicFramePr>
              <a:graphicFrameLocks noChangeAspect="1"/>
            </wp:cNvGraphicFramePr>
            <a:graphic>
              <a:graphicData uri="http://schemas.openxmlformats.org/drawingml/2006/picture">
                <pic:pic>
                  <pic:nvPicPr>
                    <pic:cNvPr id="0" name="fig_06_02_yearly_trends_rolling.png"/>
                    <pic:cNvPicPr/>
                  </pic:nvPicPr>
                  <pic:blipFill>
                    <a:blip r:embed="rId52"/>
                    <a:stretch>
                      <a:fillRect/>
                    </a:stretch>
                  </pic:blipFill>
                  <pic:spPr>
                    <a:xfrm>
                      <a:off x="0" y="0"/>
                      <a:ext cx="5943600" cy="2884003"/>
                    </a:xfrm>
                    <a:prstGeom prst="rect"/>
                  </pic:spPr>
                </pic:pic>
              </a:graphicData>
            </a:graphic>
          </wp:inline>
        </w:drawing>
      </w:r>
    </w:p>
    <w:p>
      <w:pPr>
        <w:spacing w:line="240" w:lineRule="auto"/>
        <w:jc w:val="center"/>
      </w:pPr>
      <w:r>
        <w:rPr>
          <w:sz w:val="20"/>
        </w:rPr>
        <w:t>Fig. 18. Yearly means and 5-year rolling means of six audio features</w:t>
      </w:r>
    </w:p>
    <w:p>
      <w:pPr>
        <w:jc w:val="both"/>
      </w:pPr>
      <w:r>
        <w:rPr>
          <w:b w:val="0"/>
          <w:i w:val="0"/>
        </w:rPr>
        <w:t>Change points were located with the PELT algorithm and an RBF cost from the ruptures library [32] (Fig. 19). For loudness the breaks fall at 1964, 1989, 1999; the 1989 and 1999 breaks match the period that audio engineers call the “loudness war”, when mastering for CDs pushed average levels up. Energy and acousticness both break in 2004. The break at 1964 appears in every feature and mainly separates the thin late-1950s sample from the rest, so it should be read with care.</w:t>
      </w:r>
    </w:p>
    <w:p>
      <w:pPr>
        <w:keepNext/>
        <w:spacing w:after="40" w:line="240" w:lineRule="auto"/>
        <w:jc w:val="center"/>
      </w:pPr>
      <w:r>
        <w:drawing>
          <wp:inline xmlns:a="http://schemas.openxmlformats.org/drawingml/2006/main" xmlns:pic="http://schemas.openxmlformats.org/drawingml/2006/picture">
            <wp:extent cx="5669280" cy="1748333"/>
            <wp:docPr id="19" name="Picture 19"/>
            <wp:cNvGraphicFramePr>
              <a:graphicFrameLocks noChangeAspect="1"/>
            </wp:cNvGraphicFramePr>
            <a:graphic>
              <a:graphicData uri="http://schemas.openxmlformats.org/drawingml/2006/picture">
                <pic:pic>
                  <pic:nvPicPr>
                    <pic:cNvPr id="0" name="fig_06_03_change_points.png"/>
                    <pic:cNvPicPr/>
                  </pic:nvPicPr>
                  <pic:blipFill>
                    <a:blip r:embed="rId53"/>
                    <a:stretch>
                      <a:fillRect/>
                    </a:stretch>
                  </pic:blipFill>
                  <pic:spPr>
                    <a:xfrm>
                      <a:off x="0" y="0"/>
                      <a:ext cx="5669280" cy="1748333"/>
                    </a:xfrm>
                    <a:prstGeom prst="rect"/>
                  </pic:spPr>
                </pic:pic>
              </a:graphicData>
            </a:graphic>
          </wp:inline>
        </w:drawing>
      </w:r>
    </w:p>
    <w:p>
      <w:pPr>
        <w:spacing w:line="240" w:lineRule="auto"/>
        <w:jc w:val="center"/>
      </w:pPr>
      <w:r>
        <w:rPr>
          <w:sz w:val="20"/>
        </w:rPr>
        <w:t>Fig. 19. Change points in yearly loudness and acousticness</w:t>
      </w:r>
    </w:p>
    <w:p>
      <w:pPr>
        <w:jc w:val="both"/>
      </w:pPr>
      <w:r>
        <w:rPr>
          <w:b w:val="0"/>
          <w:i w:val="0"/>
        </w:rPr>
        <w:t>Seasonality was examined with STL decomposition [33] of monthly means (1990-2020) using only day-precision dates. Releases dated 1 January were excluded because 11.8% of day-precision dates fall on that day, a typical placeholder. The seasonal component of valence (Fig. 20) has strength 0.40 on a 0-1 scale, peaking in month 7 and lowest in month 12; energy behaves similarly (strength 0.34). These are modest effects: summer releases sound slightly brighter, but the trend dominates.</w:t>
      </w:r>
    </w:p>
    <w:p>
      <w:pPr>
        <w:keepNext/>
        <w:spacing w:after="40" w:line="240" w:lineRule="auto"/>
        <w:jc w:val="center"/>
      </w:pPr>
      <w:r>
        <w:drawing>
          <wp:inline xmlns:a="http://schemas.openxmlformats.org/drawingml/2006/main" xmlns:pic="http://schemas.openxmlformats.org/drawingml/2006/picture">
            <wp:extent cx="5486400" cy="3626377"/>
            <wp:docPr id="20" name="Picture 20"/>
            <wp:cNvGraphicFramePr>
              <a:graphicFrameLocks noChangeAspect="1"/>
            </wp:cNvGraphicFramePr>
            <a:graphic>
              <a:graphicData uri="http://schemas.openxmlformats.org/drawingml/2006/picture">
                <pic:pic>
                  <pic:nvPicPr>
                    <pic:cNvPr id="0" name="fig_06_04_stl_valence_monthly.png"/>
                    <pic:cNvPicPr/>
                  </pic:nvPicPr>
                  <pic:blipFill>
                    <a:blip r:embed="rId54"/>
                    <a:stretch>
                      <a:fillRect/>
                    </a:stretch>
                  </pic:blipFill>
                  <pic:spPr>
                    <a:xfrm>
                      <a:off x="0" y="0"/>
                      <a:ext cx="5486400" cy="3626377"/>
                    </a:xfrm>
                    <a:prstGeom prst="rect"/>
                  </pic:spPr>
                </pic:pic>
              </a:graphicData>
            </a:graphic>
          </wp:inline>
        </w:drawing>
      </w:r>
    </w:p>
    <w:p>
      <w:pPr>
        <w:spacing w:line="240" w:lineRule="auto"/>
        <w:jc w:val="center"/>
      </w:pPr>
      <w:r>
        <w:rPr>
          <w:sz w:val="20"/>
        </w:rPr>
        <w:t>Fig. 20. STL decomposition of monthly mean valence (1990-2020)</w:t>
      </w:r>
    </w:p>
    <w:p>
      <w:pPr>
        <w:jc w:val="both"/>
      </w:pPr>
      <w:r>
        <w:rPr>
          <w:b w:val="0"/>
          <w:i w:val="0"/>
        </w:rPr>
        <w:t>A simple ARIMA(1,1,1) model was trained on yearly loudness up to 2010 and tested on the next 10 years (Fig. 21). Its mean absolute error is 0.58 dB, almost the same as a naive forecast that repeats the last training value (0.59 dB). Loudness levelled off after about 2010, so a trend model gains little: an honest reminder that past trends do not guarantee future ones.</w:t>
      </w:r>
    </w:p>
    <w:p>
      <w:pPr>
        <w:keepNext/>
        <w:spacing w:after="40" w:line="240" w:lineRule="auto"/>
        <w:jc w:val="center"/>
      </w:pPr>
      <w:r>
        <w:drawing>
          <wp:inline xmlns:a="http://schemas.openxmlformats.org/drawingml/2006/main" xmlns:pic="http://schemas.openxmlformats.org/drawingml/2006/picture">
            <wp:extent cx="5486400" cy="2156963"/>
            <wp:docPr id="21" name="Picture 21"/>
            <wp:cNvGraphicFramePr>
              <a:graphicFrameLocks noChangeAspect="1"/>
            </wp:cNvGraphicFramePr>
            <a:graphic>
              <a:graphicData uri="http://schemas.openxmlformats.org/drawingml/2006/picture">
                <pic:pic>
                  <pic:nvPicPr>
                    <pic:cNvPr id="0" name="fig_06_05_arima_loudness_forecast.png"/>
                    <pic:cNvPicPr/>
                  </pic:nvPicPr>
                  <pic:blipFill>
                    <a:blip r:embed="rId55"/>
                    <a:stretch>
                      <a:fillRect/>
                    </a:stretch>
                  </pic:blipFill>
                  <pic:spPr>
                    <a:xfrm>
                      <a:off x="0" y="0"/>
                      <a:ext cx="5486400" cy="2156963"/>
                    </a:xfrm>
                    <a:prstGeom prst="rect"/>
                  </pic:spPr>
                </pic:pic>
              </a:graphicData>
            </a:graphic>
          </wp:inline>
        </w:drawing>
      </w:r>
    </w:p>
    <w:p>
      <w:pPr>
        <w:spacing w:line="240" w:lineRule="auto"/>
        <w:jc w:val="center"/>
      </w:pPr>
      <w:r>
        <w:rPr>
          <w:sz w:val="20"/>
        </w:rPr>
        <w:t>Fig. 21. ARIMA forecast of yearly loudness against held-out years</w:t>
      </w:r>
    </w:p>
    <w:p>
      <w:pPr>
        <w:jc w:val="both"/>
      </w:pPr>
      <w:r>
        <w:rPr>
          <w:b w:val="0"/>
          <w:i w:val="0"/>
        </w:rPr>
        <w:t>Fig. 22 condenses the decade story. The 1950s were acoustic and calm (acousticness 0.83, energy 0.30). The 1960s and 1970s brought the electric era: by the 1970s energy had reached 0.45 and acousticness had dropped to 0.53. The 1980s held steady, and the 1990s decade mean actually dips (energy 0.41, acousticness 0.55), which reflects the mix of releases catalogued for that decade rather than a change in mainstream production. From the 2000s the rise resumes: the 2010s average energy 0.55 and loudness -10.8 dB, and the 2020 releases are the most danceable (0.56) and least acoustic (0.31) in the data.</w:t>
      </w:r>
    </w:p>
    <w:p>
      <w:pPr>
        <w:keepNext/>
        <w:spacing w:after="40" w:line="240" w:lineRule="auto"/>
        <w:jc w:val="center"/>
      </w:pPr>
      <w:r>
        <w:drawing>
          <wp:inline xmlns:a="http://schemas.openxmlformats.org/drawingml/2006/main" xmlns:pic="http://schemas.openxmlformats.org/drawingml/2006/picture">
            <wp:extent cx="5486400" cy="2486361"/>
            <wp:docPr id="22" name="Picture 22"/>
            <wp:cNvGraphicFramePr>
              <a:graphicFrameLocks noChangeAspect="1"/>
            </wp:cNvGraphicFramePr>
            <a:graphic>
              <a:graphicData uri="http://schemas.openxmlformats.org/drawingml/2006/picture">
                <pic:pic>
                  <pic:nvPicPr>
                    <pic:cNvPr id="0" name="fig_06_06_decade_story.png"/>
                    <pic:cNvPicPr/>
                  </pic:nvPicPr>
                  <pic:blipFill>
                    <a:blip r:embed="rId56"/>
                    <a:stretch>
                      <a:fillRect/>
                    </a:stretch>
                  </pic:blipFill>
                  <pic:spPr>
                    <a:xfrm>
                      <a:off x="0" y="0"/>
                      <a:ext cx="5486400" cy="2486361"/>
                    </a:xfrm>
                    <a:prstGeom prst="rect"/>
                  </pic:spPr>
                </pic:pic>
              </a:graphicData>
            </a:graphic>
          </wp:inline>
        </w:drawing>
      </w:r>
    </w:p>
    <w:p>
      <w:pPr>
        <w:spacing w:line="240" w:lineRule="auto"/>
        <w:jc w:val="center"/>
      </w:pPr>
      <w:r>
        <w:rPr>
          <w:sz w:val="20"/>
        </w:rPr>
        <w:t>Fig. 22. Decade means of danceability, energy, acousticness and valence</w:t>
      </w:r>
    </w:p>
    <w:p>
      <w:pPr>
        <w:pStyle w:val="Heading2"/>
        <w:jc w:val="center"/>
      </w:pPr>
      <w:r>
        <w:t>4.3 The SonicAtlas Interactive Query Platform: Architecture, Text Mining, Hypothesis Testing and Evaluation Framework</w:t>
      </w:r>
    </w:p>
    <w:p>
      <w:pPr>
        <w:jc w:val="both"/>
      </w:pPr>
      <w:r>
        <w:rPr>
          <w:b w:val="0"/>
          <w:i w:val="0"/>
        </w:rPr>
        <w:t>This block describes the platform that delivers the analysis to users, the text and statistical tests that complete the exploration, and the framework used to evaluate the whole system.</w:t>
      </w:r>
    </w:p>
    <w:p>
      <w:pPr>
        <w:pStyle w:val="Heading3"/>
        <w:jc w:val="left"/>
      </w:pPr>
      <w:r>
        <w:t>4.3.1 System Architecture</w:t>
      </w:r>
    </w:p>
    <w:p>
      <w:pPr>
        <w:jc w:val="both"/>
      </w:pPr>
      <w:r>
        <w:rPr>
          <w:b w:val="0"/>
          <w:i w:val="0"/>
        </w:rPr>
        <w:t>SonicAtlas separates heavy computation from interaction (Fig. 23). All cleaning, embeddings, clustering and statistics run offline in Python and are exported as compact Parquet files and a single results.json. The website is a static bundle: when it opens, DuckDB-WASM [28] starts in a Web Worker, fetches the Parquet file over HTTP and answers SQL queries locally, so no data leaves the user’s machine and the site can be hosted for free on GitHub Pages.</w:t>
      </w:r>
    </w:p>
    <w:p>
      <w:pPr>
        <w:keepNext/>
        <w:spacing w:after="40" w:line="240" w:lineRule="auto"/>
        <w:jc w:val="center"/>
      </w:pPr>
      <w:r>
        <w:drawing>
          <wp:inline xmlns:a="http://schemas.openxmlformats.org/drawingml/2006/main" xmlns:pic="http://schemas.openxmlformats.org/drawingml/2006/picture">
            <wp:extent cx="5852160" cy="3322418"/>
            <wp:docPr id="23" name="Picture 23"/>
            <wp:cNvGraphicFramePr>
              <a:graphicFrameLocks noChangeAspect="1"/>
            </wp:cNvGraphicFramePr>
            <a:graphic>
              <a:graphicData uri="http://schemas.openxmlformats.org/drawingml/2006/picture">
                <pic:pic>
                  <pic:nvPicPr>
                    <pic:cNvPr id="0" name="fig_00_01_system_architecture.png"/>
                    <pic:cNvPicPr/>
                  </pic:nvPicPr>
                  <pic:blipFill>
                    <a:blip r:embed="rId57"/>
                    <a:stretch>
                      <a:fillRect/>
                    </a:stretch>
                  </pic:blipFill>
                  <pic:spPr>
                    <a:xfrm>
                      <a:off x="0" y="0"/>
                      <a:ext cx="5852160" cy="3322418"/>
                    </a:xfrm>
                    <a:prstGeom prst="rect"/>
                  </pic:spPr>
                </pic:pic>
              </a:graphicData>
            </a:graphic>
          </wp:inline>
        </w:drawing>
      </w:r>
    </w:p>
    <w:p>
      <w:pPr>
        <w:spacing w:line="240" w:lineRule="auto"/>
        <w:jc w:val="center"/>
      </w:pPr>
      <w:r>
        <w:rPr>
          <w:sz w:val="20"/>
        </w:rPr>
        <w:t>Fig. 23. System architecture of SonicAtlas</w:t>
      </w:r>
    </w:p>
    <w:p>
      <w:pPr>
        <w:pStyle w:val="Heading3"/>
        <w:jc w:val="left"/>
      </w:pPr>
      <w:r>
        <w:t>4.3.2 Platform Modules</w:t>
      </w:r>
    </w:p>
    <w:p>
      <w:pPr>
        <w:jc w:val="both"/>
      </w:pPr>
      <w:r>
        <w:rPr>
          <w:b w:val="0"/>
          <w:i w:val="0"/>
        </w:rPr>
        <w:t>TABLE XVI lists the modules of the platform and their purpose. Charts follow the grammar-of-graphics approach of Vega-Lite [24], and the Collaboration Network module is computed with NetworkX [40] and Louvain community detection [41].</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16"/>
        <w:gridCol w:w="5634"/>
        <w:gridCol w:w="1465"/>
      </w:tblGrid>
      <w:tr>
        <w:trPr>
          <w:tblHeader w:val="true"/>
          <w:cantSplit w:val="true"/>
        </w:trPr>
        <w:tc>
          <w:tcPr>
            <w:tcW w:type="dxa" w:w="1916"/>
          </w:tcPr>
          <w:p>
            <w:pPr>
              <w:keepNext/>
              <w:spacing w:line="240" w:lineRule="auto" w:after="0"/>
              <w:jc w:val="center"/>
            </w:pPr>
            <w:r/>
            <w:r>
              <w:rPr>
                <w:b/>
                <w:sz w:val="20"/>
              </w:rPr>
              <w:t>Module</w:t>
            </w:r>
          </w:p>
        </w:tc>
        <w:tc>
          <w:tcPr>
            <w:tcW w:type="dxa" w:w="5634"/>
          </w:tcPr>
          <w:p>
            <w:pPr>
              <w:keepNext/>
              <w:spacing w:line="240" w:lineRule="auto" w:after="0"/>
              <w:jc w:val="center"/>
            </w:pPr>
            <w:r/>
            <w:r>
              <w:rPr>
                <w:b/>
                <w:sz w:val="20"/>
              </w:rPr>
              <w:t>Purpose</w:t>
            </w:r>
          </w:p>
        </w:tc>
        <w:tc>
          <w:tcPr>
            <w:tcW w:type="dxa" w:w="1465"/>
          </w:tcPr>
          <w:p>
            <w:pPr>
              <w:keepNext/>
              <w:spacing w:line="240" w:lineRule="auto" w:after="0"/>
              <w:jc w:val="center"/>
            </w:pPr>
            <w:r/>
            <w:r>
              <w:rPr>
                <w:b/>
                <w:sz w:val="20"/>
              </w:rPr>
              <w:t>Status</w:t>
            </w:r>
          </w:p>
        </w:tc>
      </w:tr>
      <w:tr>
        <w:trPr>
          <w:cantSplit w:val="true"/>
        </w:trPr>
        <w:tc>
          <w:tcPr>
            <w:tcW w:type="dxa" w:w="1916"/>
          </w:tcPr>
          <w:p>
            <w:pPr>
              <w:keepNext/>
              <w:spacing w:line="240" w:lineRule="auto" w:after="0"/>
              <w:jc w:val="center"/>
            </w:pPr>
            <w:r>
              <w:rPr>
                <w:b w:val="0"/>
                <w:i w:val="0"/>
                <w:sz w:val="20"/>
              </w:rPr>
              <w:t>Home</w:t>
            </w:r>
          </w:p>
        </w:tc>
        <w:tc>
          <w:tcPr>
            <w:tcW w:type="dxa" w:w="5634"/>
          </w:tcPr>
          <w:p>
            <w:pPr>
              <w:keepNext/>
              <w:spacing w:line="240" w:lineRule="auto" w:after="0"/>
              <w:jc w:val="left"/>
            </w:pPr>
            <w:r>
              <w:rPr>
                <w:b w:val="0"/>
                <w:i w:val="0"/>
                <w:sz w:val="20"/>
              </w:rPr>
              <w:t>headline statistics, mini acoustic map, three key findings</w:t>
            </w:r>
          </w:p>
        </w:tc>
        <w:tc>
          <w:tcPr>
            <w:tcW w:type="dxa" w:w="1465"/>
          </w:tcPr>
          <w:p>
            <w:pPr>
              <w:keepNext/>
              <w:spacing w:line="240" w:lineRule="auto" w:after="0"/>
              <w:jc w:val="center"/>
            </w:pPr>
            <w:r>
              <w:rPr>
                <w:b w:val="0"/>
                <w:i w:val="0"/>
                <w:sz w:val="20"/>
              </w:rPr>
              <w:t>done</w:t>
            </w:r>
          </w:p>
        </w:tc>
      </w:tr>
      <w:tr>
        <w:trPr>
          <w:cantSplit w:val="true"/>
        </w:trPr>
        <w:tc>
          <w:tcPr>
            <w:tcW w:type="dxa" w:w="1916"/>
          </w:tcPr>
          <w:p>
            <w:pPr>
              <w:keepNext/>
              <w:spacing w:line="240" w:lineRule="auto" w:after="0"/>
              <w:jc w:val="center"/>
            </w:pPr>
            <w:r>
              <w:rPr>
                <w:b w:val="0"/>
                <w:i w:val="0"/>
                <w:sz w:val="20"/>
              </w:rPr>
              <w:t>Query Studio</w:t>
            </w:r>
          </w:p>
        </w:tc>
        <w:tc>
          <w:tcPr>
            <w:tcW w:type="dxa" w:w="5634"/>
          </w:tcPr>
          <w:p>
            <w:pPr>
              <w:keepNext/>
              <w:spacing w:line="240" w:lineRule="auto" w:after="0"/>
              <w:jc w:val="left"/>
            </w:pPr>
            <w:r>
              <w:rPr>
                <w:b w:val="0"/>
                <w:i w:val="0"/>
                <w:sz w:val="20"/>
              </w:rPr>
              <w:t>visual filter builder, SQL console with examples and history, plain-English query box that shows its SQL, export to CSV/JSON</w:t>
            </w:r>
          </w:p>
        </w:tc>
        <w:tc>
          <w:tcPr>
            <w:tcW w:type="dxa" w:w="1465"/>
          </w:tcPr>
          <w:p>
            <w:pPr>
              <w:keepNext/>
              <w:spacing w:line="240" w:lineRule="auto" w:after="0"/>
              <w:jc w:val="center"/>
            </w:pPr>
            <w:r>
              <w:rPr>
                <w:b w:val="0"/>
                <w:i w:val="0"/>
                <w:sz w:val="20"/>
              </w:rPr>
              <w:t>done</w:t>
            </w:r>
          </w:p>
        </w:tc>
      </w:tr>
      <w:tr>
        <w:trPr>
          <w:cantSplit w:val="true"/>
        </w:trPr>
        <w:tc>
          <w:tcPr>
            <w:tcW w:type="dxa" w:w="1916"/>
          </w:tcPr>
          <w:p>
            <w:pPr>
              <w:keepNext/>
              <w:spacing w:line="240" w:lineRule="auto" w:after="0"/>
              <w:jc w:val="center"/>
            </w:pPr>
            <w:r>
              <w:rPr>
                <w:b w:val="0"/>
                <w:i w:val="0"/>
                <w:sz w:val="20"/>
              </w:rPr>
              <w:t>Acoustic Map</w:t>
            </w:r>
          </w:p>
        </w:tc>
        <w:tc>
          <w:tcPr>
            <w:tcW w:type="dxa" w:w="5634"/>
          </w:tcPr>
          <w:p>
            <w:pPr>
              <w:keepNext/>
              <w:spacing w:line="240" w:lineRule="auto" w:after="0"/>
              <w:jc w:val="left"/>
            </w:pPr>
            <w:r>
              <w:rPr>
                <w:b w:val="0"/>
                <w:i w:val="0"/>
                <w:sz w:val="20"/>
              </w:rPr>
              <w:t>PCA / t-SNE / LLE / UMAP switch, colour by genre, cluster or feature, hover details, click for similar tracks</w:t>
            </w:r>
          </w:p>
        </w:tc>
        <w:tc>
          <w:tcPr>
            <w:tcW w:type="dxa" w:w="1465"/>
          </w:tcPr>
          <w:p>
            <w:pPr>
              <w:keepNext/>
              <w:spacing w:line="240" w:lineRule="auto" w:after="0"/>
              <w:jc w:val="center"/>
            </w:pPr>
            <w:r>
              <w:rPr>
                <w:b w:val="0"/>
                <w:i w:val="0"/>
                <w:sz w:val="20"/>
              </w:rPr>
              <w:t>done</w:t>
            </w:r>
          </w:p>
        </w:tc>
      </w:tr>
      <w:tr>
        <w:trPr>
          <w:cantSplit w:val="true"/>
        </w:trPr>
        <w:tc>
          <w:tcPr>
            <w:tcW w:type="dxa" w:w="1916"/>
          </w:tcPr>
          <w:p>
            <w:pPr>
              <w:keepNext/>
              <w:spacing w:line="240" w:lineRule="auto" w:after="0"/>
              <w:jc w:val="center"/>
            </w:pPr>
            <w:r>
              <w:rPr>
                <w:b w:val="0"/>
                <w:i w:val="0"/>
                <w:sz w:val="20"/>
              </w:rPr>
              <w:t>Sonic Twins</w:t>
            </w:r>
          </w:p>
        </w:tc>
        <w:tc>
          <w:tcPr>
            <w:tcW w:type="dxa" w:w="5634"/>
          </w:tcPr>
          <w:p>
            <w:pPr>
              <w:keepNext/>
              <w:spacing w:line="240" w:lineRule="auto" w:after="0"/>
              <w:jc w:val="left"/>
            </w:pPr>
            <w:r>
              <w:rPr>
                <w:b w:val="0"/>
                <w:i w:val="0"/>
                <w:sz w:val="20"/>
              </w:rPr>
              <w:t>nearest tracks by cosine similarity on scaled features with a radar comparison</w:t>
            </w:r>
          </w:p>
        </w:tc>
        <w:tc>
          <w:tcPr>
            <w:tcW w:type="dxa" w:w="1465"/>
          </w:tcPr>
          <w:p>
            <w:pPr>
              <w:keepNext/>
              <w:spacing w:line="240" w:lineRule="auto" w:after="0"/>
              <w:jc w:val="center"/>
            </w:pPr>
            <w:r>
              <w:rPr>
                <w:b w:val="0"/>
                <w:i w:val="0"/>
                <w:sz w:val="20"/>
              </w:rPr>
              <w:t>done</w:t>
            </w:r>
          </w:p>
        </w:tc>
      </w:tr>
      <w:tr>
        <w:trPr>
          <w:cantSplit w:val="true"/>
        </w:trPr>
        <w:tc>
          <w:tcPr>
            <w:tcW w:type="dxa" w:w="1916"/>
          </w:tcPr>
          <w:p>
            <w:pPr>
              <w:keepNext/>
              <w:spacing w:line="240" w:lineRule="auto" w:after="0"/>
              <w:jc w:val="center"/>
            </w:pPr>
            <w:r>
              <w:rPr>
                <w:b w:val="0"/>
                <w:i w:val="0"/>
                <w:sz w:val="20"/>
              </w:rPr>
              <w:t>Compare</w:t>
            </w:r>
          </w:p>
        </w:tc>
        <w:tc>
          <w:tcPr>
            <w:tcW w:type="dxa" w:w="5634"/>
          </w:tcPr>
          <w:p>
            <w:pPr>
              <w:keepNext/>
              <w:spacing w:line="240" w:lineRule="auto" w:after="0"/>
              <w:jc w:val="left"/>
            </w:pPr>
            <w:r>
              <w:rPr>
                <w:b w:val="0"/>
                <w:i w:val="0"/>
                <w:sz w:val="20"/>
              </w:rPr>
              <w:t>two or three groups side by side with G1/G2/IQR table, Welch t / Mann-Whitney / ANOVA and effect size</w:t>
            </w:r>
          </w:p>
        </w:tc>
        <w:tc>
          <w:tcPr>
            <w:tcW w:type="dxa" w:w="1465"/>
          </w:tcPr>
          <w:p>
            <w:pPr>
              <w:keepNext/>
              <w:spacing w:line="240" w:lineRule="auto" w:after="0"/>
              <w:jc w:val="center"/>
            </w:pPr>
            <w:r>
              <w:rPr>
                <w:b w:val="0"/>
                <w:i w:val="0"/>
                <w:sz w:val="20"/>
              </w:rPr>
              <w:t>done</w:t>
            </w:r>
          </w:p>
        </w:tc>
      </w:tr>
      <w:tr>
        <w:trPr>
          <w:cantSplit w:val="true"/>
        </w:trPr>
        <w:tc>
          <w:tcPr>
            <w:tcW w:type="dxa" w:w="1916"/>
          </w:tcPr>
          <w:p>
            <w:pPr>
              <w:keepNext/>
              <w:spacing w:line="240" w:lineRule="auto" w:after="0"/>
              <w:jc w:val="center"/>
            </w:pPr>
            <w:r>
              <w:rPr>
                <w:b w:val="0"/>
                <w:i w:val="0"/>
                <w:sz w:val="20"/>
              </w:rPr>
              <w:t>Time Machine</w:t>
            </w:r>
          </w:p>
        </w:tc>
        <w:tc>
          <w:tcPr>
            <w:tcW w:type="dxa" w:w="5634"/>
          </w:tcPr>
          <w:p>
            <w:pPr>
              <w:keepNext/>
              <w:spacing w:line="240" w:lineRule="auto" w:after="0"/>
              <w:jc w:val="left"/>
            </w:pPr>
            <w:r>
              <w:rPr>
                <w:b w:val="0"/>
                <w:i w:val="0"/>
                <w:sz w:val="20"/>
              </w:rPr>
              <w:t>yearly trends, STL components and change points per feature</w:t>
            </w:r>
          </w:p>
        </w:tc>
        <w:tc>
          <w:tcPr>
            <w:tcW w:type="dxa" w:w="1465"/>
          </w:tcPr>
          <w:p>
            <w:pPr>
              <w:keepNext/>
              <w:spacing w:line="240" w:lineRule="auto" w:after="0"/>
              <w:jc w:val="center"/>
            </w:pPr>
            <w:r>
              <w:rPr>
                <w:b w:val="0"/>
                <w:i w:val="0"/>
                <w:sz w:val="20"/>
              </w:rPr>
              <w:t>done</w:t>
            </w:r>
          </w:p>
        </w:tc>
      </w:tr>
      <w:tr>
        <w:trPr>
          <w:cantSplit w:val="true"/>
        </w:trPr>
        <w:tc>
          <w:tcPr>
            <w:tcW w:type="dxa" w:w="1916"/>
          </w:tcPr>
          <w:p>
            <w:pPr>
              <w:keepNext/>
              <w:spacing w:line="240" w:lineRule="auto" w:after="0"/>
              <w:jc w:val="left"/>
            </w:pPr>
            <w:r>
              <w:rPr>
                <w:b w:val="0"/>
                <w:i w:val="0"/>
                <w:sz w:val="20"/>
              </w:rPr>
              <w:t>Genre Fingerprints</w:t>
            </w:r>
          </w:p>
        </w:tc>
        <w:tc>
          <w:tcPr>
            <w:tcW w:type="dxa" w:w="5634"/>
          </w:tcPr>
          <w:p>
            <w:pPr>
              <w:keepNext/>
              <w:spacing w:line="240" w:lineRule="auto" w:after="0"/>
              <w:jc w:val="left"/>
            </w:pPr>
            <w:r>
              <w:rPr>
                <w:b w:val="0"/>
                <w:i w:val="0"/>
                <w:sz w:val="20"/>
              </w:rPr>
              <w:t>parallel coordinates, radar profiles and Andrews curves</w:t>
            </w:r>
          </w:p>
        </w:tc>
        <w:tc>
          <w:tcPr>
            <w:tcW w:type="dxa" w:w="1465"/>
          </w:tcPr>
          <w:p>
            <w:pPr>
              <w:keepNext/>
              <w:spacing w:line="240" w:lineRule="auto" w:after="0"/>
              <w:jc w:val="center"/>
            </w:pPr>
            <w:r>
              <w:rPr>
                <w:b w:val="0"/>
                <w:i w:val="0"/>
                <w:sz w:val="20"/>
              </w:rPr>
              <w:t>done</w:t>
            </w:r>
          </w:p>
        </w:tc>
      </w:tr>
      <w:tr>
        <w:trPr>
          <w:cantSplit w:val="true"/>
        </w:trPr>
        <w:tc>
          <w:tcPr>
            <w:tcW w:type="dxa" w:w="1916"/>
          </w:tcPr>
          <w:p>
            <w:pPr>
              <w:keepNext/>
              <w:spacing w:line="240" w:lineRule="auto" w:after="0"/>
              <w:jc w:val="center"/>
            </w:pPr>
            <w:r>
              <w:rPr>
                <w:b w:val="0"/>
                <w:i w:val="0"/>
                <w:sz w:val="20"/>
              </w:rPr>
              <w:t>Lyrics Lab</w:t>
            </w:r>
          </w:p>
        </w:tc>
        <w:tc>
          <w:tcPr>
            <w:tcW w:type="dxa" w:w="5634"/>
          </w:tcPr>
          <w:p>
            <w:pPr>
              <w:keepNext/>
              <w:spacing w:line="240" w:lineRule="auto" w:after="0"/>
              <w:jc w:val="left"/>
            </w:pPr>
            <w:r>
              <w:rPr>
                <w:b w:val="0"/>
                <w:i w:val="0"/>
                <w:sz w:val="20"/>
              </w:rPr>
              <w:t>n-grams, sentiment versus valence, vocabulary diversity</w:t>
            </w:r>
          </w:p>
        </w:tc>
        <w:tc>
          <w:tcPr>
            <w:tcW w:type="dxa" w:w="1465"/>
          </w:tcPr>
          <w:p>
            <w:pPr>
              <w:keepNext/>
              <w:spacing w:line="240" w:lineRule="auto" w:after="0"/>
              <w:jc w:val="center"/>
            </w:pPr>
            <w:r>
              <w:rPr>
                <w:b w:val="0"/>
                <w:i w:val="0"/>
                <w:sz w:val="20"/>
              </w:rPr>
              <w:t>done</w:t>
            </w:r>
          </w:p>
        </w:tc>
      </w:tr>
      <w:tr>
        <w:trPr>
          <w:cantSplit w:val="true"/>
        </w:trPr>
        <w:tc>
          <w:tcPr>
            <w:tcW w:type="dxa" w:w="1916"/>
          </w:tcPr>
          <w:p>
            <w:pPr>
              <w:keepNext/>
              <w:spacing w:line="240" w:lineRule="auto" w:after="0"/>
              <w:jc w:val="left"/>
            </w:pPr>
            <w:r>
              <w:rPr>
                <w:b w:val="0"/>
                <w:i w:val="0"/>
                <w:sz w:val="20"/>
              </w:rPr>
              <w:t>Collaboration Network</w:t>
            </w:r>
          </w:p>
        </w:tc>
        <w:tc>
          <w:tcPr>
            <w:tcW w:type="dxa" w:w="5634"/>
          </w:tcPr>
          <w:p>
            <w:pPr>
              <w:keepNext/>
              <w:spacing w:line="240" w:lineRule="auto" w:after="0"/>
              <w:jc w:val="left"/>
            </w:pPr>
            <w:r>
              <w:rPr>
                <w:b w:val="0"/>
                <w:i w:val="0"/>
                <w:sz w:val="20"/>
              </w:rPr>
              <w:t>artist graph with communities</w:t>
            </w:r>
          </w:p>
        </w:tc>
        <w:tc>
          <w:tcPr>
            <w:tcW w:type="dxa" w:w="1465"/>
          </w:tcPr>
          <w:p>
            <w:pPr>
              <w:keepNext/>
              <w:spacing w:line="240" w:lineRule="auto" w:after="0"/>
              <w:jc w:val="center"/>
            </w:pPr>
            <w:r>
              <w:rPr>
                <w:b w:val="0"/>
                <w:i w:val="0"/>
                <w:sz w:val="20"/>
              </w:rPr>
              <w:t>done</w:t>
            </w:r>
          </w:p>
        </w:tc>
      </w:tr>
      <w:tr>
        <w:trPr>
          <w:cantSplit w:val="true"/>
        </w:trPr>
        <w:tc>
          <w:tcPr>
            <w:tcW w:type="dxa" w:w="1916"/>
          </w:tcPr>
          <w:p>
            <w:pPr>
              <w:keepNext/>
              <w:spacing w:line="240" w:lineRule="auto" w:after="0"/>
              <w:jc w:val="center"/>
            </w:pPr>
            <w:r>
              <w:rPr>
                <w:b w:val="0"/>
                <w:i w:val="0"/>
                <w:sz w:val="20"/>
              </w:rPr>
              <w:t>Data Profile</w:t>
            </w:r>
          </w:p>
        </w:tc>
        <w:tc>
          <w:tcPr>
            <w:tcW w:type="dxa" w:w="5634"/>
          </w:tcPr>
          <w:p>
            <w:pPr>
              <w:keepNext/>
              <w:spacing w:line="240" w:lineRule="auto" w:after="0"/>
              <w:jc w:val="left"/>
            </w:pPr>
            <w:r>
              <w:rPr>
                <w:b w:val="0"/>
                <w:i w:val="0"/>
                <w:sz w:val="20"/>
              </w:rPr>
              <w:t>embedded automated profiling reports and quick profile of any query</w:t>
            </w:r>
          </w:p>
        </w:tc>
        <w:tc>
          <w:tcPr>
            <w:tcW w:type="dxa" w:w="1465"/>
          </w:tcPr>
          <w:p>
            <w:pPr>
              <w:keepNext/>
              <w:spacing w:line="240" w:lineRule="auto" w:after="0"/>
              <w:jc w:val="center"/>
            </w:pPr>
            <w:r>
              <w:rPr>
                <w:b w:val="0"/>
                <w:i w:val="0"/>
                <w:sz w:val="20"/>
              </w:rPr>
              <w:t>done</w:t>
            </w:r>
          </w:p>
        </w:tc>
      </w:tr>
      <w:tr>
        <w:trPr>
          <w:cantSplit w:val="true"/>
        </w:trPr>
        <w:tc>
          <w:tcPr>
            <w:tcW w:type="dxa" w:w="1916"/>
          </w:tcPr>
          <w:p>
            <w:pPr>
              <w:keepNext/>
              <w:spacing w:line="240" w:lineRule="auto" w:after="0"/>
              <w:jc w:val="center"/>
            </w:pPr>
            <w:r>
              <w:rPr>
                <w:b w:val="0"/>
                <w:i w:val="0"/>
                <w:sz w:val="20"/>
              </w:rPr>
              <w:t>Methodology</w:t>
            </w:r>
          </w:p>
        </w:tc>
        <w:tc>
          <w:tcPr>
            <w:tcW w:type="dxa" w:w="5634"/>
          </w:tcPr>
          <w:p>
            <w:pPr>
              <w:keepNext/>
              <w:spacing w:line="240" w:lineRule="auto" w:after="0"/>
              <w:jc w:val="left"/>
            </w:pPr>
            <w:r>
              <w:rPr>
                <w:b w:val="0"/>
                <w:i w:val="0"/>
                <w:sz w:val="20"/>
              </w:rPr>
              <w:t>sources, cleaning steps, statistical conventions, limitations</w:t>
            </w:r>
          </w:p>
        </w:tc>
        <w:tc>
          <w:tcPr>
            <w:tcW w:type="dxa" w:w="1465"/>
          </w:tcPr>
          <w:p>
            <w:pPr>
              <w:keepNext/>
              <w:spacing w:line="240" w:lineRule="auto" w:after="0"/>
              <w:jc w:val="center"/>
            </w:pPr>
            <w:r>
              <w:rPr>
                <w:b w:val="0"/>
                <w:i w:val="0"/>
                <w:sz w:val="20"/>
              </w:rPr>
              <w:t>done</w:t>
            </w:r>
          </w:p>
        </w:tc>
      </w:tr>
    </w:tbl>
    <w:p>
      <w:pPr>
        <w:spacing w:before="80" w:line="240" w:lineRule="auto"/>
        <w:jc w:val="center"/>
      </w:pPr>
      <w:r>
        <w:rPr>
          <w:sz w:val="20"/>
        </w:rPr>
        <w:t>TABLE XVI: Modules of the SonicAtlas platform</w:t>
      </w:r>
    </w:p>
    <w:p>
      <w:pPr>
        <w:jc w:val="both"/>
      </w:pPr>
      <w:r>
        <w:rPr>
          <w:b w:val="0"/>
          <w:i w:val="0"/>
        </w:rPr>
        <w:t>The website is complete: all eleven modules are implemented in React and TypeScript on DuckDB-WASM, with 65 unit tests and 8 end-to-end tests passing, a measured SQL console query time of 4.7 ms on the 150,000-track lite dataset, and Lighthouse scores of 98-99 for performance and 100 for accessibility, best practices and SEO on the four pages audited (Home, Query Studio, Compare, About). An early audit of the Compare page scored 75 for performance because of layout shift while data loaded; matching the loading skeleton to the final layout raised it to 99.</w:t>
      </w:r>
    </w:p>
    <w:p>
      <w:pPr>
        <w:pStyle w:val="Heading3"/>
        <w:jc w:val="left"/>
      </w:pPr>
      <w:r>
        <w:t>4.3.3 Hypothesis Testing</w:t>
      </w:r>
    </w:p>
    <w:p>
      <w:pPr>
        <w:jc w:val="both"/>
      </w:pPr>
      <w:r>
        <w:rPr>
          <w:b w:val="0"/>
          <w:i w:val="0"/>
        </w:rPr>
        <w:t>Three formal tests were carried out in the step-by-step style of the course tutorials, at significance level alpha = 0.05.</w:t>
      </w:r>
    </w:p>
    <w:p>
      <w:pPr>
        <w:jc w:val="both"/>
      </w:pPr>
      <w:r>
        <w:rPr>
          <w:b/>
          <w:i w:val="0"/>
        </w:rPr>
        <w:t>Test 1 - One-way ANOVA on danceability across eight genres.</w:t>
      </w:r>
      <w:r>
        <w:rPr>
          <w:b w:val="0"/>
          <w:i w:val="0"/>
        </w:rPr>
        <w:t xml:space="preserve"> H0: all eight genre means are equal; H1: at least one differs. F = MS_between / MS_within = [SS_B / (k - 1)] / [SS_W / (N - k)]. With k = 8 and N = 4,863, SS_B = 61.27 and SS_W = 82.99, giving F(7, 4,855) = 512.1 and p &lt; 0.001. Decision: reject H0. Effect size eta squared = 0.425, a large effect: genre explains about 42% of the variation in danceability. Tukey’s HSD post-hoc test found 26 of 28 genre pairs significantly different (TABLE XVII lists the group means).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68"/>
        <w:gridCol w:w="1701"/>
        <w:gridCol w:w="2268"/>
      </w:tblGrid>
      <w:tr>
        <w:trPr>
          <w:tblHeader w:val="true"/>
          <w:cantSplit w:val="true"/>
        </w:trPr>
        <w:tc>
          <w:tcPr>
            <w:tcW w:type="dxa" w:w="2268"/>
          </w:tcPr>
          <w:p>
            <w:pPr>
              <w:keepNext/>
              <w:spacing w:line="240" w:lineRule="auto" w:after="0"/>
              <w:jc w:val="center"/>
            </w:pPr>
            <w:r/>
            <w:r>
              <w:rPr>
                <w:b/>
                <w:sz w:val="20"/>
              </w:rPr>
              <w:t>Genre</w:t>
            </w:r>
          </w:p>
        </w:tc>
        <w:tc>
          <w:tcPr>
            <w:tcW w:type="dxa" w:w="1701"/>
          </w:tcPr>
          <w:p>
            <w:pPr>
              <w:keepNext/>
              <w:spacing w:line="240" w:lineRule="auto" w:after="0"/>
              <w:jc w:val="center"/>
            </w:pPr>
            <w:r/>
            <w:r>
              <w:rPr>
                <w:b/>
                <w:sz w:val="20"/>
              </w:rPr>
              <w:t>n</w:t>
            </w:r>
          </w:p>
        </w:tc>
        <w:tc>
          <w:tcPr>
            <w:tcW w:type="dxa" w:w="2268"/>
          </w:tcPr>
          <w:p>
            <w:pPr>
              <w:keepNext/>
              <w:spacing w:line="240" w:lineRule="auto" w:after="0"/>
              <w:jc w:val="center"/>
            </w:pPr>
            <w:r/>
            <w:r>
              <w:rPr>
                <w:b/>
                <w:sz w:val="20"/>
              </w:rPr>
              <w:t>Mean danceability</w:t>
            </w:r>
          </w:p>
        </w:tc>
      </w:tr>
      <w:tr>
        <w:trPr>
          <w:cantSplit w:val="true"/>
        </w:trPr>
        <w:tc>
          <w:tcPr>
            <w:tcW w:type="dxa" w:w="2268"/>
          </w:tcPr>
          <w:p>
            <w:pPr>
              <w:keepNext/>
              <w:spacing w:line="240" w:lineRule="auto" w:after="0"/>
              <w:jc w:val="center"/>
            </w:pPr>
            <w:r>
              <w:rPr>
                <w:b w:val="0"/>
                <w:i w:val="0"/>
                <w:sz w:val="20"/>
              </w:rPr>
              <w:t>classical</w:t>
            </w:r>
          </w:p>
        </w:tc>
        <w:tc>
          <w:tcPr>
            <w:tcW w:type="dxa" w:w="1701"/>
          </w:tcPr>
          <w:p>
            <w:pPr>
              <w:keepNext/>
              <w:spacing w:line="240" w:lineRule="auto" w:after="0"/>
              <w:jc w:val="center"/>
            </w:pPr>
            <w:r>
              <w:rPr>
                <w:b w:val="0"/>
                <w:i w:val="0"/>
                <w:sz w:val="20"/>
              </w:rPr>
              <w:t>867</w:t>
            </w:r>
          </w:p>
        </w:tc>
        <w:tc>
          <w:tcPr>
            <w:tcW w:type="dxa" w:w="2268"/>
          </w:tcPr>
          <w:p>
            <w:pPr>
              <w:keepNext/>
              <w:spacing w:line="240" w:lineRule="auto" w:after="0"/>
              <w:jc w:val="center"/>
            </w:pPr>
            <w:r>
              <w:rPr>
                <w:b w:val="0"/>
                <w:i w:val="0"/>
                <w:sz w:val="20"/>
              </w:rPr>
              <w:t>0.386</w:t>
            </w:r>
          </w:p>
        </w:tc>
      </w:tr>
      <w:tr>
        <w:trPr>
          <w:cantSplit w:val="true"/>
        </w:trPr>
        <w:tc>
          <w:tcPr>
            <w:tcW w:type="dxa" w:w="2268"/>
          </w:tcPr>
          <w:p>
            <w:pPr>
              <w:keepNext/>
              <w:spacing w:line="240" w:lineRule="auto" w:after="0"/>
              <w:jc w:val="center"/>
            </w:pPr>
            <w:r>
              <w:rPr>
                <w:b w:val="0"/>
                <w:i w:val="0"/>
                <w:sz w:val="20"/>
              </w:rPr>
              <w:t>jazz</w:t>
            </w:r>
          </w:p>
        </w:tc>
        <w:tc>
          <w:tcPr>
            <w:tcW w:type="dxa" w:w="1701"/>
          </w:tcPr>
          <w:p>
            <w:pPr>
              <w:keepNext/>
              <w:spacing w:line="240" w:lineRule="auto" w:after="0"/>
              <w:jc w:val="center"/>
            </w:pPr>
            <w:r>
              <w:rPr>
                <w:b w:val="0"/>
                <w:i w:val="0"/>
                <w:sz w:val="20"/>
              </w:rPr>
              <w:t>524</w:t>
            </w:r>
          </w:p>
        </w:tc>
        <w:tc>
          <w:tcPr>
            <w:tcW w:type="dxa" w:w="2268"/>
          </w:tcPr>
          <w:p>
            <w:pPr>
              <w:keepNext/>
              <w:spacing w:line="240" w:lineRule="auto" w:after="0"/>
              <w:jc w:val="center"/>
            </w:pPr>
            <w:r>
              <w:rPr>
                <w:b w:val="0"/>
                <w:i w:val="0"/>
                <w:sz w:val="20"/>
              </w:rPr>
              <w:t>0.489</w:t>
            </w:r>
          </w:p>
        </w:tc>
      </w:tr>
      <w:tr>
        <w:trPr>
          <w:cantSplit w:val="true"/>
        </w:trPr>
        <w:tc>
          <w:tcPr>
            <w:tcW w:type="dxa" w:w="2268"/>
          </w:tcPr>
          <w:p>
            <w:pPr>
              <w:keepNext/>
              <w:spacing w:line="240" w:lineRule="auto" w:after="0"/>
              <w:jc w:val="center"/>
            </w:pPr>
            <w:r>
              <w:rPr>
                <w:b w:val="0"/>
                <w:i w:val="0"/>
                <w:sz w:val="20"/>
              </w:rPr>
              <w:t>country</w:t>
            </w:r>
          </w:p>
        </w:tc>
        <w:tc>
          <w:tcPr>
            <w:tcW w:type="dxa" w:w="1701"/>
          </w:tcPr>
          <w:p>
            <w:pPr>
              <w:keepNext/>
              <w:spacing w:line="240" w:lineRule="auto" w:after="0"/>
              <w:jc w:val="center"/>
            </w:pPr>
            <w:r>
              <w:rPr>
                <w:b w:val="0"/>
                <w:i w:val="0"/>
                <w:sz w:val="20"/>
              </w:rPr>
              <w:t>946</w:t>
            </w:r>
          </w:p>
        </w:tc>
        <w:tc>
          <w:tcPr>
            <w:tcW w:type="dxa" w:w="2268"/>
          </w:tcPr>
          <w:p>
            <w:pPr>
              <w:keepNext/>
              <w:spacing w:line="240" w:lineRule="auto" w:after="0"/>
              <w:jc w:val="center"/>
            </w:pPr>
            <w:r>
              <w:rPr>
                <w:b w:val="0"/>
                <w:i w:val="0"/>
                <w:sz w:val="20"/>
              </w:rPr>
              <w:t>0.555</w:t>
            </w:r>
          </w:p>
        </w:tc>
      </w:tr>
      <w:tr>
        <w:trPr>
          <w:cantSplit w:val="true"/>
        </w:trPr>
        <w:tc>
          <w:tcPr>
            <w:tcW w:type="dxa" w:w="2268"/>
          </w:tcPr>
          <w:p>
            <w:pPr>
              <w:keepNext/>
              <w:spacing w:line="240" w:lineRule="auto" w:after="0"/>
              <w:jc w:val="center"/>
            </w:pPr>
            <w:r>
              <w:rPr>
                <w:b w:val="0"/>
                <w:i w:val="0"/>
                <w:sz w:val="20"/>
              </w:rPr>
              <w:t>rock</w:t>
            </w:r>
          </w:p>
        </w:tc>
        <w:tc>
          <w:tcPr>
            <w:tcW w:type="dxa" w:w="1701"/>
          </w:tcPr>
          <w:p>
            <w:pPr>
              <w:keepNext/>
              <w:spacing w:line="240" w:lineRule="auto" w:after="0"/>
              <w:jc w:val="center"/>
            </w:pPr>
            <w:r>
              <w:rPr>
                <w:b w:val="0"/>
                <w:i w:val="0"/>
                <w:sz w:val="20"/>
              </w:rPr>
              <w:t>342</w:t>
            </w:r>
          </w:p>
        </w:tc>
        <w:tc>
          <w:tcPr>
            <w:tcW w:type="dxa" w:w="2268"/>
          </w:tcPr>
          <w:p>
            <w:pPr>
              <w:keepNext/>
              <w:spacing w:line="240" w:lineRule="auto" w:after="0"/>
              <w:jc w:val="center"/>
            </w:pPr>
            <w:r>
              <w:rPr>
                <w:b w:val="0"/>
                <w:i w:val="0"/>
                <w:sz w:val="20"/>
              </w:rPr>
              <w:t>0.549</w:t>
            </w:r>
          </w:p>
        </w:tc>
      </w:tr>
      <w:tr>
        <w:trPr>
          <w:cantSplit w:val="true"/>
        </w:trPr>
        <w:tc>
          <w:tcPr>
            <w:tcW w:type="dxa" w:w="2268"/>
          </w:tcPr>
          <w:p>
            <w:pPr>
              <w:keepNext/>
              <w:spacing w:line="240" w:lineRule="auto" w:after="0"/>
              <w:jc w:val="center"/>
            </w:pPr>
            <w:r>
              <w:rPr>
                <w:b w:val="0"/>
                <w:i w:val="0"/>
                <w:sz w:val="20"/>
              </w:rPr>
              <w:t>metal</w:t>
            </w:r>
          </w:p>
        </w:tc>
        <w:tc>
          <w:tcPr>
            <w:tcW w:type="dxa" w:w="1701"/>
          </w:tcPr>
          <w:p>
            <w:pPr>
              <w:keepNext/>
              <w:spacing w:line="240" w:lineRule="auto" w:after="0"/>
              <w:jc w:val="center"/>
            </w:pPr>
            <w:r>
              <w:rPr>
                <w:b w:val="0"/>
                <w:i w:val="0"/>
                <w:sz w:val="20"/>
              </w:rPr>
              <w:t>232</w:t>
            </w:r>
          </w:p>
        </w:tc>
        <w:tc>
          <w:tcPr>
            <w:tcW w:type="dxa" w:w="2268"/>
          </w:tcPr>
          <w:p>
            <w:pPr>
              <w:keepNext/>
              <w:spacing w:line="240" w:lineRule="auto" w:after="0"/>
              <w:jc w:val="center"/>
            </w:pPr>
            <w:r>
              <w:rPr>
                <w:b w:val="0"/>
                <w:i w:val="0"/>
                <w:sz w:val="20"/>
              </w:rPr>
              <w:t>0.481</w:t>
            </w:r>
          </w:p>
        </w:tc>
      </w:tr>
      <w:tr>
        <w:trPr>
          <w:cantSplit w:val="true"/>
        </w:trPr>
        <w:tc>
          <w:tcPr>
            <w:tcW w:type="dxa" w:w="2268"/>
          </w:tcPr>
          <w:p>
            <w:pPr>
              <w:keepNext/>
              <w:spacing w:line="240" w:lineRule="auto" w:after="0"/>
              <w:jc w:val="center"/>
            </w:pPr>
            <w:r>
              <w:rPr>
                <w:b w:val="0"/>
                <w:i w:val="0"/>
                <w:sz w:val="20"/>
              </w:rPr>
              <w:t>hip-hop</w:t>
            </w:r>
          </w:p>
        </w:tc>
        <w:tc>
          <w:tcPr>
            <w:tcW w:type="dxa" w:w="1701"/>
          </w:tcPr>
          <w:p>
            <w:pPr>
              <w:keepNext/>
              <w:spacing w:line="240" w:lineRule="auto" w:after="0"/>
              <w:jc w:val="center"/>
            </w:pPr>
            <w:r>
              <w:rPr>
                <w:b w:val="0"/>
                <w:i w:val="0"/>
                <w:sz w:val="20"/>
              </w:rPr>
              <w:t>842</w:t>
            </w:r>
          </w:p>
        </w:tc>
        <w:tc>
          <w:tcPr>
            <w:tcW w:type="dxa" w:w="2268"/>
          </w:tcPr>
          <w:p>
            <w:pPr>
              <w:keepNext/>
              <w:spacing w:line="240" w:lineRule="auto" w:after="0"/>
              <w:jc w:val="center"/>
            </w:pPr>
            <w:r>
              <w:rPr>
                <w:b w:val="0"/>
                <w:i w:val="0"/>
                <w:sz w:val="20"/>
              </w:rPr>
              <w:t>0.730</w:t>
            </w:r>
          </w:p>
        </w:tc>
      </w:tr>
      <w:tr>
        <w:trPr>
          <w:cantSplit w:val="true"/>
        </w:trPr>
        <w:tc>
          <w:tcPr>
            <w:tcW w:type="dxa" w:w="2268"/>
          </w:tcPr>
          <w:p>
            <w:pPr>
              <w:keepNext/>
              <w:spacing w:line="240" w:lineRule="auto" w:after="0"/>
              <w:jc w:val="center"/>
            </w:pPr>
            <w:r>
              <w:rPr>
                <w:b w:val="0"/>
                <w:i w:val="0"/>
                <w:sz w:val="20"/>
              </w:rPr>
              <w:t>edm</w:t>
            </w:r>
          </w:p>
        </w:tc>
        <w:tc>
          <w:tcPr>
            <w:tcW w:type="dxa" w:w="1701"/>
          </w:tcPr>
          <w:p>
            <w:pPr>
              <w:keepNext/>
              <w:spacing w:line="240" w:lineRule="auto" w:after="0"/>
              <w:jc w:val="center"/>
            </w:pPr>
            <w:r>
              <w:rPr>
                <w:b w:val="0"/>
                <w:i w:val="0"/>
                <w:sz w:val="20"/>
              </w:rPr>
              <w:t>694</w:t>
            </w:r>
          </w:p>
        </w:tc>
        <w:tc>
          <w:tcPr>
            <w:tcW w:type="dxa" w:w="2268"/>
          </w:tcPr>
          <w:p>
            <w:pPr>
              <w:keepNext/>
              <w:spacing w:line="240" w:lineRule="auto" w:after="0"/>
              <w:jc w:val="center"/>
            </w:pPr>
            <w:r>
              <w:rPr>
                <w:b w:val="0"/>
                <w:i w:val="0"/>
                <w:sz w:val="20"/>
              </w:rPr>
              <w:t>0.656</w:t>
            </w:r>
          </w:p>
        </w:tc>
      </w:tr>
      <w:tr>
        <w:trPr>
          <w:cantSplit w:val="true"/>
        </w:trPr>
        <w:tc>
          <w:tcPr>
            <w:tcW w:type="dxa" w:w="2268"/>
          </w:tcPr>
          <w:p>
            <w:pPr>
              <w:keepNext/>
              <w:spacing w:line="240" w:lineRule="auto" w:after="0"/>
              <w:jc w:val="center"/>
            </w:pPr>
            <w:r>
              <w:rPr>
                <w:b w:val="0"/>
                <w:i w:val="0"/>
                <w:sz w:val="20"/>
              </w:rPr>
              <w:t>pop</w:t>
            </w:r>
          </w:p>
        </w:tc>
        <w:tc>
          <w:tcPr>
            <w:tcW w:type="dxa" w:w="1701"/>
          </w:tcPr>
          <w:p>
            <w:pPr>
              <w:keepNext/>
              <w:spacing w:line="240" w:lineRule="auto" w:after="0"/>
              <w:jc w:val="center"/>
            </w:pPr>
            <w:r>
              <w:rPr>
                <w:b w:val="0"/>
                <w:i w:val="0"/>
                <w:sz w:val="20"/>
              </w:rPr>
              <w:t>416</w:t>
            </w:r>
          </w:p>
        </w:tc>
        <w:tc>
          <w:tcPr>
            <w:tcW w:type="dxa" w:w="2268"/>
          </w:tcPr>
          <w:p>
            <w:pPr>
              <w:keepNext/>
              <w:spacing w:line="240" w:lineRule="auto" w:after="0"/>
              <w:jc w:val="center"/>
            </w:pPr>
            <w:r>
              <w:rPr>
                <w:b w:val="0"/>
                <w:i w:val="0"/>
                <w:sz w:val="20"/>
              </w:rPr>
              <w:t>0.581</w:t>
            </w:r>
          </w:p>
        </w:tc>
      </w:tr>
    </w:tbl>
    <w:p>
      <w:pPr>
        <w:spacing w:before="80" w:line="240" w:lineRule="auto"/>
        <w:jc w:val="center"/>
      </w:pPr>
      <w:r>
        <w:rPr>
          <w:sz w:val="20"/>
        </w:rPr>
        <w:t>TABLE XVII: Group sizes and means used in the ANOVA</w:t>
      </w:r>
    </w:p>
    <w:p>
      <w:pPr>
        <w:jc w:val="both"/>
      </w:pPr>
      <w:r>
        <w:rPr>
          <w:b/>
          <w:i w:val="0"/>
        </w:rPr>
        <w:t>Test 2 - Kruskal-Wallis check.</w:t>
      </w:r>
      <w:r>
        <w:rPr>
          <w:b w:val="0"/>
          <w:i w:val="0"/>
        </w:rPr>
        <w:t xml:space="preserve"> Danceability is bounded and Levene’s test rejects equal variances (W = 21.33, p &lt; 0.001), so the rank-based Kruskal-Wallis test was run as a robustness check: H = 2060.5, p &lt; 0.001, epsilon squared = 0.423. The conclusion of the ANOVA is unchanged.</w:t>
      </w:r>
    </w:p>
    <w:p>
      <w:pPr>
        <w:jc w:val="both"/>
      </w:pPr>
      <w:r>
        <w:rPr>
          <w:b/>
          <w:i w:val="0"/>
        </w:rPr>
        <w:t>Test 3 - Chi-square test of independence between mode and genre.</w:t>
      </w:r>
      <w:r>
        <w:rPr>
          <w:b w:val="0"/>
          <w:i w:val="0"/>
        </w:rPr>
        <w:t xml:space="preserve"> H0: mode (major/minor) is independent of genre. chi2 = sum (O - E)^2 / E with E = row total x column total / N. Result: chi2(7) = 539.4, p &lt; 0.001, Cramer’s V = 0.333 (moderate). Country is the most major-key genre (89.3%) and hip-hop the least (48.3%) (TABLE XVIII). Mode versus decade on the full catalogue is also significant (chi2(6) = 3089, p &lt; 0.001) but with a tiny effect (V = 0.054): the major share slipped from 75.6% in the 1960s to 64.9% in the 2010s. With over a million rows almost any difference is significant, so effect sizes are the better guide.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68"/>
        <w:gridCol w:w="2268"/>
      </w:tblGrid>
      <w:tr>
        <w:trPr>
          <w:tblHeader w:val="true"/>
          <w:cantSplit w:val="true"/>
        </w:trPr>
        <w:tc>
          <w:tcPr>
            <w:tcW w:type="dxa" w:w="2268"/>
          </w:tcPr>
          <w:p>
            <w:pPr>
              <w:keepNext/>
              <w:spacing w:line="240" w:lineRule="auto" w:after="0"/>
              <w:jc w:val="center"/>
            </w:pPr>
            <w:r/>
            <w:r>
              <w:rPr>
                <w:b/>
                <w:sz w:val="20"/>
              </w:rPr>
              <w:t>Genre</w:t>
            </w:r>
          </w:p>
        </w:tc>
        <w:tc>
          <w:tcPr>
            <w:tcW w:type="dxa" w:w="2268"/>
          </w:tcPr>
          <w:p>
            <w:pPr>
              <w:keepNext/>
              <w:spacing w:line="240" w:lineRule="auto" w:after="0"/>
              <w:jc w:val="center"/>
            </w:pPr>
            <w:r/>
            <w:r>
              <w:rPr>
                <w:b/>
                <w:sz w:val="20"/>
              </w:rPr>
              <w:t>Major-key share</w:t>
            </w:r>
          </w:p>
        </w:tc>
      </w:tr>
      <w:tr>
        <w:trPr>
          <w:cantSplit w:val="true"/>
        </w:trPr>
        <w:tc>
          <w:tcPr>
            <w:tcW w:type="dxa" w:w="2268"/>
          </w:tcPr>
          <w:p>
            <w:pPr>
              <w:keepNext/>
              <w:spacing w:line="240" w:lineRule="auto" w:after="0"/>
              <w:jc w:val="center"/>
            </w:pPr>
            <w:r>
              <w:rPr>
                <w:b w:val="0"/>
                <w:i w:val="0"/>
                <w:sz w:val="20"/>
              </w:rPr>
              <w:t>classical</w:t>
            </w:r>
          </w:p>
        </w:tc>
        <w:tc>
          <w:tcPr>
            <w:tcW w:type="dxa" w:w="2268"/>
          </w:tcPr>
          <w:p>
            <w:pPr>
              <w:keepNext/>
              <w:spacing w:line="240" w:lineRule="auto" w:after="0"/>
              <w:jc w:val="center"/>
            </w:pPr>
            <w:r>
              <w:rPr>
                <w:b w:val="0"/>
                <w:i w:val="0"/>
                <w:sz w:val="20"/>
              </w:rPr>
              <w:t>76.2%</w:t>
            </w:r>
          </w:p>
        </w:tc>
      </w:tr>
      <w:tr>
        <w:trPr>
          <w:cantSplit w:val="true"/>
        </w:trPr>
        <w:tc>
          <w:tcPr>
            <w:tcW w:type="dxa" w:w="2268"/>
          </w:tcPr>
          <w:p>
            <w:pPr>
              <w:keepNext/>
              <w:spacing w:line="240" w:lineRule="auto" w:after="0"/>
              <w:jc w:val="center"/>
            </w:pPr>
            <w:r>
              <w:rPr>
                <w:b w:val="0"/>
                <w:i w:val="0"/>
                <w:sz w:val="20"/>
              </w:rPr>
              <w:t>jazz</w:t>
            </w:r>
          </w:p>
        </w:tc>
        <w:tc>
          <w:tcPr>
            <w:tcW w:type="dxa" w:w="2268"/>
          </w:tcPr>
          <w:p>
            <w:pPr>
              <w:keepNext/>
              <w:spacing w:line="240" w:lineRule="auto" w:after="0"/>
              <w:jc w:val="center"/>
            </w:pPr>
            <w:r>
              <w:rPr>
                <w:b w:val="0"/>
                <w:i w:val="0"/>
                <w:sz w:val="20"/>
              </w:rPr>
              <w:t>78.6%</w:t>
            </w:r>
          </w:p>
        </w:tc>
      </w:tr>
      <w:tr>
        <w:trPr>
          <w:cantSplit w:val="true"/>
        </w:trPr>
        <w:tc>
          <w:tcPr>
            <w:tcW w:type="dxa" w:w="2268"/>
          </w:tcPr>
          <w:p>
            <w:pPr>
              <w:keepNext/>
              <w:spacing w:line="240" w:lineRule="auto" w:after="0"/>
              <w:jc w:val="center"/>
            </w:pPr>
            <w:r>
              <w:rPr>
                <w:b w:val="0"/>
                <w:i w:val="0"/>
                <w:sz w:val="20"/>
              </w:rPr>
              <w:t>country</w:t>
            </w:r>
          </w:p>
        </w:tc>
        <w:tc>
          <w:tcPr>
            <w:tcW w:type="dxa" w:w="2268"/>
          </w:tcPr>
          <w:p>
            <w:pPr>
              <w:keepNext/>
              <w:spacing w:line="240" w:lineRule="auto" w:after="0"/>
              <w:jc w:val="center"/>
            </w:pPr>
            <w:r>
              <w:rPr>
                <w:b w:val="0"/>
                <w:i w:val="0"/>
                <w:sz w:val="20"/>
              </w:rPr>
              <w:t>89.3%</w:t>
            </w:r>
          </w:p>
        </w:tc>
      </w:tr>
      <w:tr>
        <w:trPr>
          <w:cantSplit w:val="true"/>
        </w:trPr>
        <w:tc>
          <w:tcPr>
            <w:tcW w:type="dxa" w:w="2268"/>
          </w:tcPr>
          <w:p>
            <w:pPr>
              <w:keepNext/>
              <w:spacing w:line="240" w:lineRule="auto" w:after="0"/>
              <w:jc w:val="center"/>
            </w:pPr>
            <w:r>
              <w:rPr>
                <w:b w:val="0"/>
                <w:i w:val="0"/>
                <w:sz w:val="20"/>
              </w:rPr>
              <w:t>rock</w:t>
            </w:r>
          </w:p>
        </w:tc>
        <w:tc>
          <w:tcPr>
            <w:tcW w:type="dxa" w:w="2268"/>
          </w:tcPr>
          <w:p>
            <w:pPr>
              <w:keepNext/>
              <w:spacing w:line="240" w:lineRule="auto" w:after="0"/>
              <w:jc w:val="center"/>
            </w:pPr>
            <w:r>
              <w:rPr>
                <w:b w:val="0"/>
                <w:i w:val="0"/>
                <w:sz w:val="20"/>
              </w:rPr>
              <w:t>68.1%</w:t>
            </w:r>
          </w:p>
        </w:tc>
      </w:tr>
      <w:tr>
        <w:trPr>
          <w:cantSplit w:val="true"/>
        </w:trPr>
        <w:tc>
          <w:tcPr>
            <w:tcW w:type="dxa" w:w="2268"/>
          </w:tcPr>
          <w:p>
            <w:pPr>
              <w:keepNext/>
              <w:spacing w:line="240" w:lineRule="auto" w:after="0"/>
              <w:jc w:val="center"/>
            </w:pPr>
            <w:r>
              <w:rPr>
                <w:b w:val="0"/>
                <w:i w:val="0"/>
                <w:sz w:val="20"/>
              </w:rPr>
              <w:t>metal</w:t>
            </w:r>
          </w:p>
        </w:tc>
        <w:tc>
          <w:tcPr>
            <w:tcW w:type="dxa" w:w="2268"/>
          </w:tcPr>
          <w:p>
            <w:pPr>
              <w:keepNext/>
              <w:spacing w:line="240" w:lineRule="auto" w:after="0"/>
              <w:jc w:val="center"/>
            </w:pPr>
            <w:r>
              <w:rPr>
                <w:b w:val="0"/>
                <w:i w:val="0"/>
                <w:sz w:val="20"/>
              </w:rPr>
              <w:t>58.2%</w:t>
            </w:r>
          </w:p>
        </w:tc>
      </w:tr>
      <w:tr>
        <w:trPr>
          <w:cantSplit w:val="true"/>
        </w:trPr>
        <w:tc>
          <w:tcPr>
            <w:tcW w:type="dxa" w:w="2268"/>
          </w:tcPr>
          <w:p>
            <w:pPr>
              <w:keepNext/>
              <w:spacing w:line="240" w:lineRule="auto" w:after="0"/>
              <w:jc w:val="center"/>
            </w:pPr>
            <w:r>
              <w:rPr>
                <w:b w:val="0"/>
                <w:i w:val="0"/>
                <w:sz w:val="20"/>
              </w:rPr>
              <w:t>hip-hop</w:t>
            </w:r>
          </w:p>
        </w:tc>
        <w:tc>
          <w:tcPr>
            <w:tcW w:type="dxa" w:w="2268"/>
          </w:tcPr>
          <w:p>
            <w:pPr>
              <w:keepNext/>
              <w:spacing w:line="240" w:lineRule="auto" w:after="0"/>
              <w:jc w:val="center"/>
            </w:pPr>
            <w:r>
              <w:rPr>
                <w:b w:val="0"/>
                <w:i w:val="0"/>
                <w:sz w:val="20"/>
              </w:rPr>
              <w:t>48.3%</w:t>
            </w:r>
          </w:p>
        </w:tc>
      </w:tr>
      <w:tr>
        <w:trPr>
          <w:cantSplit w:val="true"/>
        </w:trPr>
        <w:tc>
          <w:tcPr>
            <w:tcW w:type="dxa" w:w="2268"/>
          </w:tcPr>
          <w:p>
            <w:pPr>
              <w:keepNext/>
              <w:spacing w:line="240" w:lineRule="auto" w:after="0"/>
              <w:jc w:val="center"/>
            </w:pPr>
            <w:r>
              <w:rPr>
                <w:b w:val="0"/>
                <w:i w:val="0"/>
                <w:sz w:val="20"/>
              </w:rPr>
              <w:t>edm</w:t>
            </w:r>
          </w:p>
        </w:tc>
        <w:tc>
          <w:tcPr>
            <w:tcW w:type="dxa" w:w="2268"/>
          </w:tcPr>
          <w:p>
            <w:pPr>
              <w:keepNext/>
              <w:spacing w:line="240" w:lineRule="auto" w:after="0"/>
              <w:jc w:val="center"/>
            </w:pPr>
            <w:r>
              <w:rPr>
                <w:b w:val="0"/>
                <w:i w:val="0"/>
                <w:sz w:val="20"/>
              </w:rPr>
              <w:t>52.7%</w:t>
            </w:r>
          </w:p>
        </w:tc>
      </w:tr>
      <w:tr>
        <w:trPr>
          <w:cantSplit w:val="true"/>
        </w:trPr>
        <w:tc>
          <w:tcPr>
            <w:tcW w:type="dxa" w:w="2268"/>
          </w:tcPr>
          <w:p>
            <w:pPr>
              <w:keepNext/>
              <w:spacing w:line="240" w:lineRule="auto" w:after="0"/>
              <w:jc w:val="center"/>
            </w:pPr>
            <w:r>
              <w:rPr>
                <w:b w:val="0"/>
                <w:i w:val="0"/>
                <w:sz w:val="20"/>
              </w:rPr>
              <w:t>pop</w:t>
            </w:r>
          </w:p>
        </w:tc>
        <w:tc>
          <w:tcPr>
            <w:tcW w:type="dxa" w:w="2268"/>
          </w:tcPr>
          <w:p>
            <w:pPr>
              <w:keepNext/>
              <w:spacing w:line="240" w:lineRule="auto" w:after="0"/>
              <w:jc w:val="center"/>
            </w:pPr>
            <w:r>
              <w:rPr>
                <w:b w:val="0"/>
                <w:i w:val="0"/>
                <w:sz w:val="20"/>
              </w:rPr>
              <w:t>50.0%</w:t>
            </w:r>
          </w:p>
        </w:tc>
      </w:tr>
    </w:tbl>
    <w:p>
      <w:pPr>
        <w:spacing w:before="80" w:line="240" w:lineRule="auto"/>
        <w:jc w:val="center"/>
      </w:pPr>
      <w:r>
        <w:rPr>
          <w:sz w:val="20"/>
        </w:rPr>
        <w:t>TABLE XVIII: Share of major-key tracks per genre</w:t>
      </w:r>
    </w:p>
    <w:p>
      <w:pPr>
        <w:pStyle w:val="Heading3"/>
        <w:jc w:val="left"/>
      </w:pPr>
      <w:r>
        <w:t>4.3.4 Feature Selection: Filter versus Wrapper Methods</w:t>
      </w:r>
    </w:p>
    <w:p>
      <w:pPr>
        <w:jc w:val="both"/>
      </w:pPr>
      <w:r>
        <w:rPr>
          <w:b w:val="0"/>
          <w:i w:val="0"/>
        </w:rPr>
        <w:t>To find which audio features best separate the eight genres, four filter criteria (variance after Min-Max scaling, ANOVA F, mutual information, and pairwise correlation as a redundancy check) were compared with a wrapper method, recursive feature elimination (RFE) around multinomial logistic regression (TABLE XIX, Fig. 24). Acousticness ranks first or second in every method, and loudness ranks in the top two for ANOVA F, mutual information and RFE. Top three by ANOVA F: acousticness, loudness, energy; by mutual information: loudness, acousticness, energy; by RFE: acousticness, loudness, instrumentalness. Liveness is last in three methods, so it carries little genre information.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154"/>
        <w:gridCol w:w="1587"/>
        <w:gridCol w:w="1587"/>
        <w:gridCol w:w="1701"/>
        <w:gridCol w:w="1474"/>
      </w:tblGrid>
      <w:tr>
        <w:trPr>
          <w:tblHeader w:val="true"/>
          <w:cantSplit w:val="true"/>
        </w:trPr>
        <w:tc>
          <w:tcPr>
            <w:tcW w:type="dxa" w:w="2154"/>
          </w:tcPr>
          <w:p>
            <w:pPr>
              <w:keepNext/>
              <w:spacing w:line="240" w:lineRule="auto" w:after="0"/>
              <w:jc w:val="center"/>
            </w:pPr>
            <w:r/>
            <w:r>
              <w:rPr>
                <w:b/>
                <w:sz w:val="20"/>
              </w:rPr>
              <w:t>Feature</w:t>
            </w:r>
          </w:p>
        </w:tc>
        <w:tc>
          <w:tcPr>
            <w:tcW w:type="dxa" w:w="1587"/>
          </w:tcPr>
          <w:p>
            <w:pPr>
              <w:keepNext/>
              <w:spacing w:line="240" w:lineRule="auto" w:after="0"/>
              <w:jc w:val="center"/>
            </w:pPr>
            <w:r/>
            <w:r>
              <w:rPr>
                <w:b/>
                <w:sz w:val="20"/>
              </w:rPr>
              <w:t>Variance rank</w:t>
            </w:r>
          </w:p>
        </w:tc>
        <w:tc>
          <w:tcPr>
            <w:tcW w:type="dxa" w:w="1587"/>
          </w:tcPr>
          <w:p>
            <w:pPr>
              <w:keepNext/>
              <w:spacing w:line="240" w:lineRule="auto" w:after="0"/>
              <w:jc w:val="center"/>
            </w:pPr>
            <w:r/>
            <w:r>
              <w:rPr>
                <w:b/>
                <w:sz w:val="20"/>
              </w:rPr>
              <w:t>ANOVA F rank</w:t>
            </w:r>
          </w:p>
        </w:tc>
        <w:tc>
          <w:tcPr>
            <w:tcW w:type="dxa" w:w="1701"/>
          </w:tcPr>
          <w:p>
            <w:pPr>
              <w:keepNext/>
              <w:spacing w:line="240" w:lineRule="auto" w:after="0"/>
              <w:jc w:val="center"/>
            </w:pPr>
            <w:r/>
            <w:r>
              <w:rPr>
                <w:b/>
                <w:sz w:val="20"/>
              </w:rPr>
              <w:t>Mutual info rank</w:t>
            </w:r>
          </w:p>
        </w:tc>
        <w:tc>
          <w:tcPr>
            <w:tcW w:type="dxa" w:w="1474"/>
          </w:tcPr>
          <w:p>
            <w:pPr>
              <w:keepNext/>
              <w:spacing w:line="240" w:lineRule="auto" w:after="0"/>
              <w:jc w:val="center"/>
            </w:pPr>
            <w:r/>
            <w:r>
              <w:rPr>
                <w:b/>
                <w:sz w:val="20"/>
              </w:rPr>
              <w:t>RFE rank</w:t>
            </w:r>
          </w:p>
        </w:tc>
      </w:tr>
      <w:tr>
        <w:trPr>
          <w:cantSplit w:val="true"/>
        </w:trPr>
        <w:tc>
          <w:tcPr>
            <w:tcW w:type="dxa" w:w="2154"/>
          </w:tcPr>
          <w:p>
            <w:pPr>
              <w:keepNext/>
              <w:spacing w:line="240" w:lineRule="auto" w:after="0"/>
              <w:jc w:val="center"/>
            </w:pPr>
            <w:r>
              <w:rPr>
                <w:b w:val="0"/>
                <w:i w:val="0"/>
                <w:sz w:val="20"/>
              </w:rPr>
              <w:t>danceability</w:t>
            </w:r>
          </w:p>
        </w:tc>
        <w:tc>
          <w:tcPr>
            <w:tcW w:type="dxa" w:w="1587"/>
          </w:tcPr>
          <w:p>
            <w:pPr>
              <w:keepNext/>
              <w:spacing w:line="240" w:lineRule="auto" w:after="0"/>
              <w:jc w:val="center"/>
            </w:pPr>
            <w:r>
              <w:rPr>
                <w:b w:val="0"/>
                <w:i w:val="0"/>
                <w:sz w:val="20"/>
              </w:rPr>
              <w:t>5</w:t>
            </w:r>
          </w:p>
        </w:tc>
        <w:tc>
          <w:tcPr>
            <w:tcW w:type="dxa" w:w="1587"/>
          </w:tcPr>
          <w:p>
            <w:pPr>
              <w:keepNext/>
              <w:spacing w:line="240" w:lineRule="auto" w:after="0"/>
              <w:jc w:val="center"/>
            </w:pPr>
            <w:r>
              <w:rPr>
                <w:b w:val="0"/>
                <w:i w:val="0"/>
                <w:sz w:val="20"/>
              </w:rPr>
              <w:t>5</w:t>
            </w:r>
          </w:p>
        </w:tc>
        <w:tc>
          <w:tcPr>
            <w:tcW w:type="dxa" w:w="1701"/>
          </w:tcPr>
          <w:p>
            <w:pPr>
              <w:keepNext/>
              <w:spacing w:line="240" w:lineRule="auto" w:after="0"/>
              <w:jc w:val="center"/>
            </w:pPr>
            <w:r>
              <w:rPr>
                <w:b w:val="0"/>
                <w:i w:val="0"/>
                <w:sz w:val="20"/>
              </w:rPr>
              <w:t>6</w:t>
            </w:r>
          </w:p>
        </w:tc>
        <w:tc>
          <w:tcPr>
            <w:tcW w:type="dxa" w:w="1474"/>
          </w:tcPr>
          <w:p>
            <w:pPr>
              <w:keepNext/>
              <w:spacing w:line="240" w:lineRule="auto" w:after="0"/>
              <w:jc w:val="center"/>
            </w:pPr>
            <w:r>
              <w:rPr>
                <w:b w:val="0"/>
                <w:i w:val="0"/>
                <w:sz w:val="20"/>
              </w:rPr>
              <w:t>4</w:t>
            </w:r>
          </w:p>
        </w:tc>
      </w:tr>
      <w:tr>
        <w:trPr>
          <w:cantSplit w:val="true"/>
        </w:trPr>
        <w:tc>
          <w:tcPr>
            <w:tcW w:type="dxa" w:w="2154"/>
          </w:tcPr>
          <w:p>
            <w:pPr>
              <w:keepNext/>
              <w:spacing w:line="240" w:lineRule="auto" w:after="0"/>
              <w:jc w:val="center"/>
            </w:pPr>
            <w:r>
              <w:rPr>
                <w:b w:val="0"/>
                <w:i w:val="0"/>
                <w:sz w:val="20"/>
              </w:rPr>
              <w:t>energy</w:t>
            </w:r>
          </w:p>
        </w:tc>
        <w:tc>
          <w:tcPr>
            <w:tcW w:type="dxa" w:w="1587"/>
          </w:tcPr>
          <w:p>
            <w:pPr>
              <w:keepNext/>
              <w:spacing w:line="240" w:lineRule="auto" w:after="0"/>
              <w:jc w:val="center"/>
            </w:pPr>
            <w:r>
              <w:rPr>
                <w:b w:val="0"/>
                <w:i w:val="0"/>
                <w:sz w:val="20"/>
              </w:rPr>
              <w:t>3</w:t>
            </w:r>
          </w:p>
        </w:tc>
        <w:tc>
          <w:tcPr>
            <w:tcW w:type="dxa" w:w="1587"/>
          </w:tcPr>
          <w:p>
            <w:pPr>
              <w:keepNext/>
              <w:spacing w:line="240" w:lineRule="auto" w:after="0"/>
              <w:jc w:val="center"/>
            </w:pPr>
            <w:r>
              <w:rPr>
                <w:b w:val="0"/>
                <w:i w:val="0"/>
                <w:sz w:val="20"/>
              </w:rPr>
              <w:t>3</w:t>
            </w:r>
          </w:p>
        </w:tc>
        <w:tc>
          <w:tcPr>
            <w:tcW w:type="dxa" w:w="1701"/>
          </w:tcPr>
          <w:p>
            <w:pPr>
              <w:keepNext/>
              <w:spacing w:line="240" w:lineRule="auto" w:after="0"/>
              <w:jc w:val="center"/>
            </w:pPr>
            <w:r>
              <w:rPr>
                <w:b w:val="0"/>
                <w:i w:val="0"/>
                <w:sz w:val="20"/>
              </w:rPr>
              <w:t>3</w:t>
            </w:r>
          </w:p>
        </w:tc>
        <w:tc>
          <w:tcPr>
            <w:tcW w:type="dxa" w:w="1474"/>
          </w:tcPr>
          <w:p>
            <w:pPr>
              <w:keepNext/>
              <w:spacing w:line="240" w:lineRule="auto" w:after="0"/>
              <w:jc w:val="center"/>
            </w:pPr>
            <w:r>
              <w:rPr>
                <w:b w:val="0"/>
                <w:i w:val="0"/>
                <w:sz w:val="20"/>
              </w:rPr>
              <w:t>5</w:t>
            </w:r>
          </w:p>
        </w:tc>
      </w:tr>
      <w:tr>
        <w:trPr>
          <w:cantSplit w:val="true"/>
        </w:trPr>
        <w:tc>
          <w:tcPr>
            <w:tcW w:type="dxa" w:w="2154"/>
          </w:tcPr>
          <w:p>
            <w:pPr>
              <w:keepNext/>
              <w:spacing w:line="240" w:lineRule="auto" w:after="0"/>
              <w:jc w:val="center"/>
            </w:pPr>
            <w:r>
              <w:rPr>
                <w:b w:val="0"/>
                <w:i w:val="0"/>
                <w:sz w:val="20"/>
              </w:rPr>
              <w:t>loudness</w:t>
            </w:r>
          </w:p>
        </w:tc>
        <w:tc>
          <w:tcPr>
            <w:tcW w:type="dxa" w:w="1587"/>
          </w:tcPr>
          <w:p>
            <w:pPr>
              <w:keepNext/>
              <w:spacing w:line="240" w:lineRule="auto" w:after="0"/>
              <w:jc w:val="center"/>
            </w:pPr>
            <w:r>
              <w:rPr>
                <w:b w:val="0"/>
                <w:i w:val="0"/>
                <w:sz w:val="20"/>
              </w:rPr>
              <w:t>7</w:t>
            </w:r>
          </w:p>
        </w:tc>
        <w:tc>
          <w:tcPr>
            <w:tcW w:type="dxa" w:w="1587"/>
          </w:tcPr>
          <w:p>
            <w:pPr>
              <w:keepNext/>
              <w:spacing w:line="240" w:lineRule="auto" w:after="0"/>
              <w:jc w:val="center"/>
            </w:pPr>
            <w:r>
              <w:rPr>
                <w:b w:val="0"/>
                <w:i w:val="0"/>
                <w:sz w:val="20"/>
              </w:rPr>
              <w:t>2</w:t>
            </w:r>
          </w:p>
        </w:tc>
        <w:tc>
          <w:tcPr>
            <w:tcW w:type="dxa" w:w="1701"/>
          </w:tcPr>
          <w:p>
            <w:pPr>
              <w:keepNext/>
              <w:spacing w:line="240" w:lineRule="auto" w:after="0"/>
              <w:jc w:val="center"/>
            </w:pPr>
            <w:r>
              <w:rPr>
                <w:b w:val="0"/>
                <w:i w:val="0"/>
                <w:sz w:val="20"/>
              </w:rPr>
              <w:t>1</w:t>
            </w:r>
          </w:p>
        </w:tc>
        <w:tc>
          <w:tcPr>
            <w:tcW w:type="dxa" w:w="1474"/>
          </w:tcPr>
          <w:p>
            <w:pPr>
              <w:keepNext/>
              <w:spacing w:line="240" w:lineRule="auto" w:after="0"/>
              <w:jc w:val="center"/>
            </w:pPr>
            <w:r>
              <w:rPr>
                <w:b w:val="0"/>
                <w:i w:val="0"/>
                <w:sz w:val="20"/>
              </w:rPr>
              <w:t>2</w:t>
            </w:r>
          </w:p>
        </w:tc>
      </w:tr>
      <w:tr>
        <w:trPr>
          <w:cantSplit w:val="true"/>
        </w:trPr>
        <w:tc>
          <w:tcPr>
            <w:tcW w:type="dxa" w:w="2154"/>
          </w:tcPr>
          <w:p>
            <w:pPr>
              <w:keepNext/>
              <w:spacing w:line="240" w:lineRule="auto" w:after="0"/>
              <w:jc w:val="center"/>
            </w:pPr>
            <w:r>
              <w:rPr>
                <w:b w:val="0"/>
                <w:i w:val="0"/>
                <w:sz w:val="20"/>
              </w:rPr>
              <w:t>speechiness</w:t>
            </w:r>
          </w:p>
        </w:tc>
        <w:tc>
          <w:tcPr>
            <w:tcW w:type="dxa" w:w="1587"/>
          </w:tcPr>
          <w:p>
            <w:pPr>
              <w:keepNext/>
              <w:spacing w:line="240" w:lineRule="auto" w:after="0"/>
              <w:jc w:val="center"/>
            </w:pPr>
            <w:r>
              <w:rPr>
                <w:b w:val="0"/>
                <w:i w:val="0"/>
                <w:sz w:val="20"/>
              </w:rPr>
              <w:t>9</w:t>
            </w:r>
          </w:p>
        </w:tc>
        <w:tc>
          <w:tcPr>
            <w:tcW w:type="dxa" w:w="1587"/>
          </w:tcPr>
          <w:p>
            <w:pPr>
              <w:keepNext/>
              <w:spacing w:line="240" w:lineRule="auto" w:after="0"/>
              <w:jc w:val="center"/>
            </w:pPr>
            <w:r>
              <w:rPr>
                <w:b w:val="0"/>
                <w:i w:val="0"/>
                <w:sz w:val="20"/>
              </w:rPr>
              <w:t>6</w:t>
            </w:r>
          </w:p>
        </w:tc>
        <w:tc>
          <w:tcPr>
            <w:tcW w:type="dxa" w:w="1701"/>
          </w:tcPr>
          <w:p>
            <w:pPr>
              <w:keepNext/>
              <w:spacing w:line="240" w:lineRule="auto" w:after="0"/>
              <w:jc w:val="center"/>
            </w:pPr>
            <w:r>
              <w:rPr>
                <w:b w:val="0"/>
                <w:i w:val="0"/>
                <w:sz w:val="20"/>
              </w:rPr>
              <w:t>7</w:t>
            </w:r>
          </w:p>
        </w:tc>
        <w:tc>
          <w:tcPr>
            <w:tcW w:type="dxa" w:w="1474"/>
          </w:tcPr>
          <w:p>
            <w:pPr>
              <w:keepNext/>
              <w:spacing w:line="240" w:lineRule="auto" w:after="0"/>
              <w:jc w:val="center"/>
            </w:pPr>
            <w:r>
              <w:rPr>
                <w:b w:val="0"/>
                <w:i w:val="0"/>
                <w:sz w:val="20"/>
              </w:rPr>
              <w:t>8</w:t>
            </w:r>
          </w:p>
        </w:tc>
      </w:tr>
      <w:tr>
        <w:trPr>
          <w:cantSplit w:val="true"/>
        </w:trPr>
        <w:tc>
          <w:tcPr>
            <w:tcW w:type="dxa" w:w="2154"/>
          </w:tcPr>
          <w:p>
            <w:pPr>
              <w:keepNext/>
              <w:spacing w:line="240" w:lineRule="auto" w:after="0"/>
              <w:jc w:val="center"/>
            </w:pPr>
            <w:r>
              <w:rPr>
                <w:b w:val="0"/>
                <w:i w:val="0"/>
                <w:sz w:val="20"/>
              </w:rPr>
              <w:t>acousticness</w:t>
            </w:r>
          </w:p>
        </w:tc>
        <w:tc>
          <w:tcPr>
            <w:tcW w:type="dxa" w:w="1587"/>
          </w:tcPr>
          <w:p>
            <w:pPr>
              <w:keepNext/>
              <w:spacing w:line="240" w:lineRule="auto" w:after="0"/>
              <w:jc w:val="center"/>
            </w:pPr>
            <w:r>
              <w:rPr>
                <w:b w:val="0"/>
                <w:i w:val="0"/>
                <w:sz w:val="20"/>
              </w:rPr>
              <w:t>1</w:t>
            </w:r>
          </w:p>
        </w:tc>
        <w:tc>
          <w:tcPr>
            <w:tcW w:type="dxa" w:w="1587"/>
          </w:tcPr>
          <w:p>
            <w:pPr>
              <w:keepNext/>
              <w:spacing w:line="240" w:lineRule="auto" w:after="0"/>
              <w:jc w:val="center"/>
            </w:pPr>
            <w:r>
              <w:rPr>
                <w:b w:val="0"/>
                <w:i w:val="0"/>
                <w:sz w:val="20"/>
              </w:rPr>
              <w:t>1</w:t>
            </w:r>
          </w:p>
        </w:tc>
        <w:tc>
          <w:tcPr>
            <w:tcW w:type="dxa" w:w="1701"/>
          </w:tcPr>
          <w:p>
            <w:pPr>
              <w:keepNext/>
              <w:spacing w:line="240" w:lineRule="auto" w:after="0"/>
              <w:jc w:val="center"/>
            </w:pPr>
            <w:r>
              <w:rPr>
                <w:b w:val="0"/>
                <w:i w:val="0"/>
                <w:sz w:val="20"/>
              </w:rPr>
              <w:t>2</w:t>
            </w:r>
          </w:p>
        </w:tc>
        <w:tc>
          <w:tcPr>
            <w:tcW w:type="dxa" w:w="1474"/>
          </w:tcPr>
          <w:p>
            <w:pPr>
              <w:keepNext/>
              <w:spacing w:line="240" w:lineRule="auto" w:after="0"/>
              <w:jc w:val="center"/>
            </w:pPr>
            <w:r>
              <w:rPr>
                <w:b w:val="0"/>
                <w:i w:val="0"/>
                <w:sz w:val="20"/>
              </w:rPr>
              <w:t>1</w:t>
            </w:r>
          </w:p>
        </w:tc>
      </w:tr>
      <w:tr>
        <w:trPr>
          <w:cantSplit w:val="true"/>
        </w:trPr>
        <w:tc>
          <w:tcPr>
            <w:tcW w:type="dxa" w:w="2154"/>
          </w:tcPr>
          <w:p>
            <w:pPr>
              <w:keepNext/>
              <w:spacing w:line="240" w:lineRule="auto" w:after="0"/>
              <w:jc w:val="left"/>
            </w:pPr>
            <w:r>
              <w:rPr>
                <w:b w:val="0"/>
                <w:i w:val="0"/>
                <w:sz w:val="20"/>
              </w:rPr>
              <w:t>instrumentalness</w:t>
            </w:r>
          </w:p>
        </w:tc>
        <w:tc>
          <w:tcPr>
            <w:tcW w:type="dxa" w:w="1587"/>
          </w:tcPr>
          <w:p>
            <w:pPr>
              <w:keepNext/>
              <w:spacing w:line="240" w:lineRule="auto" w:after="0"/>
              <w:jc w:val="center"/>
            </w:pPr>
            <w:r>
              <w:rPr>
                <w:b w:val="0"/>
                <w:i w:val="0"/>
                <w:sz w:val="20"/>
              </w:rPr>
              <w:t>2</w:t>
            </w:r>
          </w:p>
        </w:tc>
        <w:tc>
          <w:tcPr>
            <w:tcW w:type="dxa" w:w="1587"/>
          </w:tcPr>
          <w:p>
            <w:pPr>
              <w:keepNext/>
              <w:spacing w:line="240" w:lineRule="auto" w:after="0"/>
              <w:jc w:val="center"/>
            </w:pPr>
            <w:r>
              <w:rPr>
                <w:b w:val="0"/>
                <w:i w:val="0"/>
                <w:sz w:val="20"/>
              </w:rPr>
              <w:t>4</w:t>
            </w:r>
          </w:p>
        </w:tc>
        <w:tc>
          <w:tcPr>
            <w:tcW w:type="dxa" w:w="1701"/>
          </w:tcPr>
          <w:p>
            <w:pPr>
              <w:keepNext/>
              <w:spacing w:line="240" w:lineRule="auto" w:after="0"/>
              <w:jc w:val="center"/>
            </w:pPr>
            <w:r>
              <w:rPr>
                <w:b w:val="0"/>
                <w:i w:val="0"/>
                <w:sz w:val="20"/>
              </w:rPr>
              <w:t>8</w:t>
            </w:r>
          </w:p>
        </w:tc>
        <w:tc>
          <w:tcPr>
            <w:tcW w:type="dxa" w:w="1474"/>
          </w:tcPr>
          <w:p>
            <w:pPr>
              <w:keepNext/>
              <w:spacing w:line="240" w:lineRule="auto" w:after="0"/>
              <w:jc w:val="center"/>
            </w:pPr>
            <w:r>
              <w:rPr>
                <w:b w:val="0"/>
                <w:i w:val="0"/>
                <w:sz w:val="20"/>
              </w:rPr>
              <w:t>3</w:t>
            </w:r>
          </w:p>
        </w:tc>
      </w:tr>
      <w:tr>
        <w:trPr>
          <w:cantSplit w:val="true"/>
        </w:trPr>
        <w:tc>
          <w:tcPr>
            <w:tcW w:type="dxa" w:w="2154"/>
          </w:tcPr>
          <w:p>
            <w:pPr>
              <w:keepNext/>
              <w:spacing w:line="240" w:lineRule="auto" w:after="0"/>
              <w:jc w:val="center"/>
            </w:pPr>
            <w:r>
              <w:rPr>
                <w:b w:val="0"/>
                <w:i w:val="0"/>
                <w:sz w:val="20"/>
              </w:rPr>
              <w:t>liveness</w:t>
            </w:r>
          </w:p>
        </w:tc>
        <w:tc>
          <w:tcPr>
            <w:tcW w:type="dxa" w:w="1587"/>
          </w:tcPr>
          <w:p>
            <w:pPr>
              <w:keepNext/>
              <w:spacing w:line="240" w:lineRule="auto" w:after="0"/>
              <w:jc w:val="center"/>
            </w:pPr>
            <w:r>
              <w:rPr>
                <w:b w:val="0"/>
                <w:i w:val="0"/>
                <w:sz w:val="20"/>
              </w:rPr>
              <w:t>8</w:t>
            </w:r>
          </w:p>
        </w:tc>
        <w:tc>
          <w:tcPr>
            <w:tcW w:type="dxa" w:w="1587"/>
          </w:tcPr>
          <w:p>
            <w:pPr>
              <w:keepNext/>
              <w:spacing w:line="240" w:lineRule="auto" w:after="0"/>
              <w:jc w:val="center"/>
            </w:pPr>
            <w:r>
              <w:rPr>
                <w:b w:val="0"/>
                <w:i w:val="0"/>
                <w:sz w:val="20"/>
              </w:rPr>
              <w:t>10</w:t>
            </w:r>
          </w:p>
        </w:tc>
        <w:tc>
          <w:tcPr>
            <w:tcW w:type="dxa" w:w="1701"/>
          </w:tcPr>
          <w:p>
            <w:pPr>
              <w:keepNext/>
              <w:spacing w:line="240" w:lineRule="auto" w:after="0"/>
              <w:jc w:val="center"/>
            </w:pPr>
            <w:r>
              <w:rPr>
                <w:b w:val="0"/>
                <w:i w:val="0"/>
                <w:sz w:val="20"/>
              </w:rPr>
              <w:t>10</w:t>
            </w:r>
          </w:p>
        </w:tc>
        <w:tc>
          <w:tcPr>
            <w:tcW w:type="dxa" w:w="1474"/>
          </w:tcPr>
          <w:p>
            <w:pPr>
              <w:keepNext/>
              <w:spacing w:line="240" w:lineRule="auto" w:after="0"/>
              <w:jc w:val="center"/>
            </w:pPr>
            <w:r>
              <w:rPr>
                <w:b w:val="0"/>
                <w:i w:val="0"/>
                <w:sz w:val="20"/>
              </w:rPr>
              <w:t>10</w:t>
            </w:r>
          </w:p>
        </w:tc>
      </w:tr>
      <w:tr>
        <w:trPr>
          <w:cantSplit w:val="true"/>
        </w:trPr>
        <w:tc>
          <w:tcPr>
            <w:tcW w:type="dxa" w:w="2154"/>
          </w:tcPr>
          <w:p>
            <w:pPr>
              <w:keepNext/>
              <w:spacing w:line="240" w:lineRule="auto" w:after="0"/>
              <w:jc w:val="center"/>
            </w:pPr>
            <w:r>
              <w:rPr>
                <w:b w:val="0"/>
                <w:i w:val="0"/>
                <w:sz w:val="20"/>
              </w:rPr>
              <w:t>valence</w:t>
            </w:r>
          </w:p>
        </w:tc>
        <w:tc>
          <w:tcPr>
            <w:tcW w:type="dxa" w:w="1587"/>
          </w:tcPr>
          <w:p>
            <w:pPr>
              <w:keepNext/>
              <w:spacing w:line="240" w:lineRule="auto" w:after="0"/>
              <w:jc w:val="center"/>
            </w:pPr>
            <w:r>
              <w:rPr>
                <w:b w:val="0"/>
                <w:i w:val="0"/>
                <w:sz w:val="20"/>
              </w:rPr>
              <w:t>4</w:t>
            </w:r>
          </w:p>
        </w:tc>
        <w:tc>
          <w:tcPr>
            <w:tcW w:type="dxa" w:w="1587"/>
          </w:tcPr>
          <w:p>
            <w:pPr>
              <w:keepNext/>
              <w:spacing w:line="240" w:lineRule="auto" w:after="0"/>
              <w:jc w:val="center"/>
            </w:pPr>
            <w:r>
              <w:rPr>
                <w:b w:val="0"/>
                <w:i w:val="0"/>
                <w:sz w:val="20"/>
              </w:rPr>
              <w:t>7</w:t>
            </w:r>
          </w:p>
        </w:tc>
        <w:tc>
          <w:tcPr>
            <w:tcW w:type="dxa" w:w="1701"/>
          </w:tcPr>
          <w:p>
            <w:pPr>
              <w:keepNext/>
              <w:spacing w:line="240" w:lineRule="auto" w:after="0"/>
              <w:jc w:val="center"/>
            </w:pPr>
            <w:r>
              <w:rPr>
                <w:b w:val="0"/>
                <w:i w:val="0"/>
                <w:sz w:val="20"/>
              </w:rPr>
              <w:t>9</w:t>
            </w:r>
          </w:p>
        </w:tc>
        <w:tc>
          <w:tcPr>
            <w:tcW w:type="dxa" w:w="1474"/>
          </w:tcPr>
          <w:p>
            <w:pPr>
              <w:keepNext/>
              <w:spacing w:line="240" w:lineRule="auto" w:after="0"/>
              <w:jc w:val="center"/>
            </w:pPr>
            <w:r>
              <w:rPr>
                <w:b w:val="0"/>
                <w:i w:val="0"/>
                <w:sz w:val="20"/>
              </w:rPr>
              <w:t>6</w:t>
            </w:r>
          </w:p>
        </w:tc>
      </w:tr>
      <w:tr>
        <w:trPr>
          <w:cantSplit w:val="true"/>
        </w:trPr>
        <w:tc>
          <w:tcPr>
            <w:tcW w:type="dxa" w:w="2154"/>
          </w:tcPr>
          <w:p>
            <w:pPr>
              <w:keepNext/>
              <w:spacing w:line="240" w:lineRule="auto" w:after="0"/>
              <w:jc w:val="center"/>
            </w:pPr>
            <w:r>
              <w:rPr>
                <w:b w:val="0"/>
                <w:i w:val="0"/>
                <w:sz w:val="20"/>
              </w:rPr>
              <w:t>tempo</w:t>
            </w:r>
          </w:p>
        </w:tc>
        <w:tc>
          <w:tcPr>
            <w:tcW w:type="dxa" w:w="1587"/>
          </w:tcPr>
          <w:p>
            <w:pPr>
              <w:keepNext/>
              <w:spacing w:line="240" w:lineRule="auto" w:after="0"/>
              <w:jc w:val="center"/>
            </w:pPr>
            <w:r>
              <w:rPr>
                <w:b w:val="0"/>
                <w:i w:val="0"/>
                <w:sz w:val="20"/>
              </w:rPr>
              <w:t>6</w:t>
            </w:r>
          </w:p>
        </w:tc>
        <w:tc>
          <w:tcPr>
            <w:tcW w:type="dxa" w:w="1587"/>
          </w:tcPr>
          <w:p>
            <w:pPr>
              <w:keepNext/>
              <w:spacing w:line="240" w:lineRule="auto" w:after="0"/>
              <w:jc w:val="center"/>
            </w:pPr>
            <w:r>
              <w:rPr>
                <w:b w:val="0"/>
                <w:i w:val="0"/>
                <w:sz w:val="20"/>
              </w:rPr>
              <w:t>8</w:t>
            </w:r>
          </w:p>
        </w:tc>
        <w:tc>
          <w:tcPr>
            <w:tcW w:type="dxa" w:w="1701"/>
          </w:tcPr>
          <w:p>
            <w:pPr>
              <w:keepNext/>
              <w:spacing w:line="240" w:lineRule="auto" w:after="0"/>
              <w:jc w:val="center"/>
            </w:pPr>
            <w:r>
              <w:rPr>
                <w:b w:val="0"/>
                <w:i w:val="0"/>
                <w:sz w:val="20"/>
              </w:rPr>
              <w:t>5</w:t>
            </w:r>
          </w:p>
        </w:tc>
        <w:tc>
          <w:tcPr>
            <w:tcW w:type="dxa" w:w="1474"/>
          </w:tcPr>
          <w:p>
            <w:pPr>
              <w:keepNext/>
              <w:spacing w:line="240" w:lineRule="auto" w:after="0"/>
              <w:jc w:val="center"/>
            </w:pPr>
            <w:r>
              <w:rPr>
                <w:b w:val="0"/>
                <w:i w:val="0"/>
                <w:sz w:val="20"/>
              </w:rPr>
              <w:t>9</w:t>
            </w:r>
          </w:p>
        </w:tc>
      </w:tr>
      <w:tr>
        <w:trPr>
          <w:cantSplit w:val="true"/>
        </w:trPr>
        <w:tc>
          <w:tcPr>
            <w:tcW w:type="dxa" w:w="2154"/>
          </w:tcPr>
          <w:p>
            <w:pPr>
              <w:keepNext/>
              <w:spacing w:line="240" w:lineRule="auto" w:after="0"/>
              <w:jc w:val="center"/>
            </w:pPr>
            <w:r>
              <w:rPr>
                <w:b w:val="0"/>
                <w:i w:val="0"/>
                <w:sz w:val="20"/>
              </w:rPr>
              <w:t>duration_min</w:t>
            </w:r>
          </w:p>
        </w:tc>
        <w:tc>
          <w:tcPr>
            <w:tcW w:type="dxa" w:w="1587"/>
          </w:tcPr>
          <w:p>
            <w:pPr>
              <w:keepNext/>
              <w:spacing w:line="240" w:lineRule="auto" w:after="0"/>
              <w:jc w:val="center"/>
            </w:pPr>
            <w:r>
              <w:rPr>
                <w:b w:val="0"/>
                <w:i w:val="0"/>
                <w:sz w:val="20"/>
              </w:rPr>
              <w:t>10</w:t>
            </w:r>
          </w:p>
        </w:tc>
        <w:tc>
          <w:tcPr>
            <w:tcW w:type="dxa" w:w="1587"/>
          </w:tcPr>
          <w:p>
            <w:pPr>
              <w:keepNext/>
              <w:spacing w:line="240" w:lineRule="auto" w:after="0"/>
              <w:jc w:val="center"/>
            </w:pPr>
            <w:r>
              <w:rPr>
                <w:b w:val="0"/>
                <w:i w:val="0"/>
                <w:sz w:val="20"/>
              </w:rPr>
              <w:t>9</w:t>
            </w:r>
          </w:p>
        </w:tc>
        <w:tc>
          <w:tcPr>
            <w:tcW w:type="dxa" w:w="1701"/>
          </w:tcPr>
          <w:p>
            <w:pPr>
              <w:keepNext/>
              <w:spacing w:line="240" w:lineRule="auto" w:after="0"/>
              <w:jc w:val="center"/>
            </w:pPr>
            <w:r>
              <w:rPr>
                <w:b w:val="0"/>
                <w:i w:val="0"/>
                <w:sz w:val="20"/>
              </w:rPr>
              <w:t>4</w:t>
            </w:r>
          </w:p>
        </w:tc>
        <w:tc>
          <w:tcPr>
            <w:tcW w:type="dxa" w:w="1474"/>
          </w:tcPr>
          <w:p>
            <w:pPr>
              <w:keepNext/>
              <w:spacing w:line="240" w:lineRule="auto" w:after="0"/>
              <w:jc w:val="center"/>
            </w:pPr>
            <w:r>
              <w:rPr>
                <w:b w:val="0"/>
                <w:i w:val="0"/>
                <w:sz w:val="20"/>
              </w:rPr>
              <w:t>7</w:t>
            </w:r>
          </w:p>
        </w:tc>
      </w:tr>
    </w:tbl>
    <w:p>
      <w:pPr>
        <w:spacing w:before="80" w:line="240" w:lineRule="auto"/>
        <w:jc w:val="center"/>
      </w:pPr>
      <w:r>
        <w:rPr>
          <w:sz w:val="20"/>
        </w:rPr>
        <w:t>TABLE XIX: Feature rankings from filter and wrapper methods (1 = most useful)</w:t>
      </w:r>
    </w:p>
    <w:p>
      <w:pPr>
        <w:keepNext/>
        <w:spacing w:after="40" w:line="240" w:lineRule="auto"/>
        <w:jc w:val="center"/>
      </w:pPr>
      <w:r>
        <w:drawing>
          <wp:inline xmlns:a="http://schemas.openxmlformats.org/drawingml/2006/main" xmlns:pic="http://schemas.openxmlformats.org/drawingml/2006/picture">
            <wp:extent cx="5669280" cy="2902252"/>
            <wp:docPr id="24" name="Picture 24"/>
            <wp:cNvGraphicFramePr>
              <a:graphicFrameLocks noChangeAspect="1"/>
            </wp:cNvGraphicFramePr>
            <a:graphic>
              <a:graphicData uri="http://schemas.openxmlformats.org/drawingml/2006/picture">
                <pic:pic>
                  <pic:nvPicPr>
                    <pic:cNvPr id="0" name="fig_08_01_feature_selection_ranks.png"/>
                    <pic:cNvPicPr/>
                  </pic:nvPicPr>
                  <pic:blipFill>
                    <a:blip r:embed="rId58"/>
                    <a:stretch>
                      <a:fillRect/>
                    </a:stretch>
                  </pic:blipFill>
                  <pic:spPr>
                    <a:xfrm>
                      <a:off x="0" y="0"/>
                      <a:ext cx="5669280" cy="2902252"/>
                    </a:xfrm>
                    <a:prstGeom prst="rect"/>
                  </pic:spPr>
                </pic:pic>
              </a:graphicData>
            </a:graphic>
          </wp:inline>
        </w:drawing>
      </w:r>
    </w:p>
    <w:p>
      <w:pPr>
        <w:spacing w:line="240" w:lineRule="auto"/>
        <w:jc w:val="center"/>
      </w:pPr>
      <w:r>
        <w:rPr>
          <w:sz w:val="20"/>
        </w:rPr>
        <w:t>Fig. 24. Feature importance ranks from filter and wrapper methods</w:t>
      </w:r>
    </w:p>
    <w:p>
      <w:pPr>
        <w:pStyle w:val="Heading3"/>
        <w:jc w:val="left"/>
      </w:pPr>
      <w:r>
        <w:t>4.3.5 Lyrics Text Mining</w:t>
      </w:r>
    </w:p>
    <w:p>
      <w:pPr>
        <w:jc w:val="both"/>
      </w:pPr>
      <w:r>
        <w:rPr>
          <w:b w:val="0"/>
          <w:i w:val="0"/>
        </w:rPr>
        <w:t>The Genius dataset holds 5,134,856 texts, of which 3,374,198 are tagged as English and 3,233,212 remain after removing the non-song 'misc' tag. A 5% random sample was streamed from the 9 GB file in chunks; after dropping texts shorter than 20 words it contains 161,401 songs. Section headers such as [Chorus] were removed, the text was lower-cased and tokenised, and Genius page views (a true count, G1 = 59.0) were log-transformed (G1 = 0.66).</w:t>
      </w:r>
    </w:p>
    <w:p>
      <w:pPr>
        <w:jc w:val="both"/>
      </w:pPr>
      <w:r>
        <w:rPr>
          <w:b w:val="0"/>
          <w:i w:val="0"/>
        </w:rPr>
        <w:t>Songs have a median of 243 words and a median type-token ratio of 0.43; the median song repeats 24% of its lines, which is typical of choruses. Rap lyrics are by far the longest (median 412 words), rock lyrics have the highest vocabulary diversity (median TTR 0.46), and R&amp;B lyrics the lowest (TTR 0.36). The most frequent content words are love, time, want, make, say; the top bigrams are love love, want want, hey hey.</w:t>
      </w:r>
    </w:p>
    <w:p>
      <w:pPr>
        <w:jc w:val="both"/>
      </w:pPr>
      <w:r>
        <w:rPr>
          <w:b w:val="0"/>
          <w:i w:val="0"/>
        </w:rPr>
        <w:t>Sentiment was scored on 20,000 songs with VADER and TextBlob. The two agree on the sign for 71.0% of songs and correlate at r = 0.48; VADER spreads scores towards -1 and +1 because long texts accumulate many polar words, whereas TextBlob averages them towards zero. Country is the most positive tag (mean VADER 0.48) and rap the most negative (-0.15).</w:t>
      </w:r>
    </w:p>
    <w:p>
      <w:pPr>
        <w:jc w:val="both"/>
      </w:pPr>
      <w:r>
        <w:rPr>
          <w:b w:val="0"/>
          <w:i w:val="0"/>
        </w:rPr>
        <w:t>Joining lyrics to the audio catalogue by normalised title and artist matched 5.9% of the lyric sample. On the 1,202 matched songs, lyric sentiment and audio valence are only weakly related (VADER r = 0.06, TextBlob r = 0.04): a cheerful-sounding track can carry sad words and vice versa, so the two modalities give complementary information.</w:t>
      </w:r>
    </w:p>
    <w:p>
      <w:pPr>
        <w:jc w:val="both"/>
      </w:pPr>
      <w:r>
        <w:rPr>
          <w:b w:val="0"/>
          <w:i w:val="0"/>
        </w:rPr>
        <w:t>Sentiment scores come from the VADER lexicon [11] and the TextBlob library [39]. Fig. 25 plots lyric sentiment against audio valence and compares the two sentiment tools; Fig. 26 breaks sentiment down by genre tag and decade and shows vocabulary diversity per tag.</w:t>
      </w:r>
    </w:p>
    <w:p>
      <w:pPr>
        <w:keepNext/>
        <w:spacing w:after="40" w:line="240" w:lineRule="auto"/>
        <w:jc w:val="center"/>
      </w:pPr>
      <w:r>
        <w:drawing>
          <wp:inline xmlns:a="http://schemas.openxmlformats.org/drawingml/2006/main" xmlns:pic="http://schemas.openxmlformats.org/drawingml/2006/picture">
            <wp:extent cx="5486400" cy="1924918"/>
            <wp:docPr id="25" name="Picture 25"/>
            <wp:cNvGraphicFramePr>
              <a:graphicFrameLocks noChangeAspect="1"/>
            </wp:cNvGraphicFramePr>
            <a:graphic>
              <a:graphicData uri="http://schemas.openxmlformats.org/drawingml/2006/picture">
                <pic:pic>
                  <pic:nvPicPr>
                    <pic:cNvPr id="0" name="fig_07_01_sentiment_vs_valence.png"/>
                    <pic:cNvPicPr/>
                  </pic:nvPicPr>
                  <pic:blipFill>
                    <a:blip r:embed="rId59"/>
                    <a:stretch>
                      <a:fillRect/>
                    </a:stretch>
                  </pic:blipFill>
                  <pic:spPr>
                    <a:xfrm>
                      <a:off x="0" y="0"/>
                      <a:ext cx="5486400" cy="1924918"/>
                    </a:xfrm>
                    <a:prstGeom prst="rect"/>
                  </pic:spPr>
                </pic:pic>
              </a:graphicData>
            </a:graphic>
          </wp:inline>
        </w:drawing>
      </w:r>
    </w:p>
    <w:p>
      <w:pPr>
        <w:spacing w:line="240" w:lineRule="auto"/>
        <w:jc w:val="center"/>
      </w:pPr>
      <w:r>
        <w:rPr>
          <w:sz w:val="20"/>
        </w:rPr>
        <w:t>Fig. 25. Lyric sentiment versus audio valence, and VADER versus TextBlob score distributions</w:t>
      </w:r>
    </w:p>
    <w:p>
      <w:pPr>
        <w:keepNext/>
        <w:spacing w:after="40" w:line="240" w:lineRule="auto"/>
        <w:jc w:val="center"/>
      </w:pPr>
      <w:r>
        <w:drawing>
          <wp:inline xmlns:a="http://schemas.openxmlformats.org/drawingml/2006/main" xmlns:pic="http://schemas.openxmlformats.org/drawingml/2006/picture">
            <wp:extent cx="5486400" cy="1467379"/>
            <wp:docPr id="26" name="Picture 26"/>
            <wp:cNvGraphicFramePr>
              <a:graphicFrameLocks noChangeAspect="1"/>
            </wp:cNvGraphicFramePr>
            <a:graphic>
              <a:graphicData uri="http://schemas.openxmlformats.org/drawingml/2006/picture">
                <pic:pic>
                  <pic:nvPicPr>
                    <pic:cNvPr id="0" name="fig_07_02_lyrics_by_tag_decade.png"/>
                    <pic:cNvPicPr/>
                  </pic:nvPicPr>
                  <pic:blipFill>
                    <a:blip r:embed="rId60"/>
                    <a:stretch>
                      <a:fillRect/>
                    </a:stretch>
                  </pic:blipFill>
                  <pic:spPr>
                    <a:xfrm>
                      <a:off x="0" y="0"/>
                      <a:ext cx="5486400" cy="1467379"/>
                    </a:xfrm>
                    <a:prstGeom prst="rect"/>
                  </pic:spPr>
                </pic:pic>
              </a:graphicData>
            </a:graphic>
          </wp:inline>
        </w:drawing>
      </w:r>
    </w:p>
    <w:p>
      <w:pPr>
        <w:spacing w:line="240" w:lineRule="auto"/>
        <w:jc w:val="center"/>
      </w:pPr>
      <w:r>
        <w:rPr>
          <w:sz w:val="20"/>
        </w:rPr>
        <w:t>Fig. 26. Lyric sentiment by genre tag and decade, and vocabulary diversity by tag</w:t>
      </w:r>
    </w:p>
    <w:p>
      <w:pPr>
        <w:pStyle w:val="Heading3"/>
        <w:jc w:val="left"/>
      </w:pPr>
      <w:r>
        <w:t>4.3.6 Artist Collaboration Network</w:t>
      </w:r>
    </w:p>
    <w:p>
      <w:pPr>
        <w:jc w:val="both"/>
      </w:pPr>
      <w:r>
        <w:rPr>
          <w:b w:val="0"/>
          <w:i w:val="0"/>
        </w:rPr>
        <w:t>Artists who share a canonical track were linked to form a collaboration graph with 84,132 artists and 235,196 edges, built from 251,382 multi-artist tracks. The graph is very sparse (density 6.6e-05) but 76.3% of artists sit in one giant connected component. Louvain community detection [41] found 189 communities with a high modularity of 0.83, meaning collaborations stay mostly inside scenes. The highest-degree nodes are Johann Sebastian Bach (1066), Traditional (1066), Wolfgang Amadeus Mozart (802), Ludwig van Beethoven (696), Anonymous (664): classical recordings credit the composer together with many performers, and placeholder names such as “Traditional” and “Anonymous” act as hubs. Betweenness (approximated with 1000 sampled sources) is highest for Various Artists, Traditional, Wolfgang Amadeus Mozart, which bridge otherwise separate communities. Fig. 27 shows the largest connected group among the 300 most connected artists; the same subgraph is explorable on the website.</w:t>
      </w:r>
    </w:p>
    <w:p>
      <w:pPr>
        <w:keepNext/>
        <w:spacing w:after="40" w:line="240" w:lineRule="auto"/>
        <w:jc w:val="center"/>
      </w:pPr>
      <w:r>
        <w:drawing>
          <wp:inline xmlns:a="http://schemas.openxmlformats.org/drawingml/2006/main" xmlns:pic="http://schemas.openxmlformats.org/drawingml/2006/picture">
            <wp:extent cx="5303520" cy="4338935"/>
            <wp:docPr id="27" name="Picture 27"/>
            <wp:cNvGraphicFramePr>
              <a:graphicFrameLocks noChangeAspect="1"/>
            </wp:cNvGraphicFramePr>
            <a:graphic>
              <a:graphicData uri="http://schemas.openxmlformats.org/drawingml/2006/picture">
                <pic:pic>
                  <pic:nvPicPr>
                    <pic:cNvPr id="0" name="fig_10_01_collaboration_network.png"/>
                    <pic:cNvPicPr/>
                  </pic:nvPicPr>
                  <pic:blipFill>
                    <a:blip r:embed="rId61"/>
                    <a:stretch>
                      <a:fillRect/>
                    </a:stretch>
                  </pic:blipFill>
                  <pic:spPr>
                    <a:xfrm>
                      <a:off x="0" y="0"/>
                      <a:ext cx="5303520" cy="4338935"/>
                    </a:xfrm>
                    <a:prstGeom prst="rect"/>
                  </pic:spPr>
                </pic:pic>
              </a:graphicData>
            </a:graphic>
          </wp:inline>
        </w:drawing>
      </w:r>
    </w:p>
    <w:p>
      <w:pPr>
        <w:spacing w:line="240" w:lineRule="auto"/>
        <w:jc w:val="center"/>
      </w:pPr>
      <w:r>
        <w:rPr>
          <w:sz w:val="20"/>
        </w:rPr>
        <w:t>Fig. 27. Largest connected component of the 300 most connected artists, coloured by Louvain community</w:t>
      </w:r>
    </w:p>
    <w:p>
      <w:pPr>
        <w:pStyle w:val="Heading3"/>
        <w:jc w:val="left"/>
      </w:pPr>
      <w:r>
        <w:t>4.3.7 Automated EDA Tools</w:t>
      </w:r>
    </w:p>
    <w:p>
      <w:pPr>
        <w:jc w:val="both"/>
      </w:pPr>
      <w:r>
        <w:rPr>
          <w:b w:val="0"/>
          <w:i w:val="0"/>
        </w:rPr>
        <w:t>The three automated EDA tools from the course handout were run on the same random sample of 20,000 canonical tracks. YData-Profiling produced a full HTML report in 4.8 s with 10 automatic alerts, including skewness and high-correlation warnings that agree with Sections 4.2.2 and 4.2.4. Sweetviz compared the 2,582 tracks from the 1990s with the 8,067 from the 2010s in 6.3 s and visibly showed the shift towards higher energy and lower acousticness. D-Tale started an interactive grid server in 4.1 s and can export pandas code for each operation.</w:t>
      </w:r>
    </w:p>
    <w:p>
      <w:pPr>
        <w:jc w:val="both"/>
      </w:pPr>
      <w:r>
        <w:rPr>
          <w:b w:val="0"/>
          <w:i w:val="0"/>
        </w:rPr>
        <w:t>None of the tools knows that a tempo of 0 BPM or a time signature of 0 is impossible, none reports Tukey quartiles or the bias-corrected kurtosis used in the course, and none performs significance tests, dimensionality reduction or time-series decomposition. They are fast first-look tools; the music-specific questions still needed the manual workflow, which is why SonicAtlas embeds the generated reports in its Data Profile page instead of relying on them alone.</w:t>
      </w:r>
    </w:p>
    <w:p>
      <w:pPr>
        <w:jc w:val="both"/>
      </w:pPr>
      <w:r>
        <w:rPr>
          <w:b w:val="0"/>
          <w:i w:val="0"/>
        </w:rPr>
        <w:t>TABLE XX summarises the comparison.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587"/>
        <w:gridCol w:w="1077"/>
        <w:gridCol w:w="1474"/>
        <w:gridCol w:w="2438"/>
        <w:gridCol w:w="2438"/>
      </w:tblGrid>
      <w:tr>
        <w:trPr>
          <w:tblHeader w:val="true"/>
          <w:cantSplit w:val="true"/>
        </w:trPr>
        <w:tc>
          <w:tcPr>
            <w:tcW w:type="dxa" w:w="1587"/>
          </w:tcPr>
          <w:p>
            <w:pPr>
              <w:keepNext/>
              <w:spacing w:line="240" w:lineRule="auto" w:after="0"/>
              <w:jc w:val="center"/>
            </w:pPr>
            <w:r/>
            <w:r>
              <w:rPr>
                <w:b/>
                <w:sz w:val="18"/>
              </w:rPr>
              <w:t>Tool</w:t>
            </w:r>
          </w:p>
        </w:tc>
        <w:tc>
          <w:tcPr>
            <w:tcW w:type="dxa" w:w="1077"/>
          </w:tcPr>
          <w:p>
            <w:pPr>
              <w:keepNext/>
              <w:spacing w:line="240" w:lineRule="auto" w:after="0"/>
              <w:jc w:val="center"/>
            </w:pPr>
            <w:r/>
            <w:r>
              <w:rPr>
                <w:b/>
                <w:sz w:val="18"/>
              </w:rPr>
              <w:t>Runtime (s)</w:t>
            </w:r>
          </w:p>
        </w:tc>
        <w:tc>
          <w:tcPr>
            <w:tcW w:type="dxa" w:w="1474"/>
          </w:tcPr>
          <w:p>
            <w:pPr>
              <w:keepNext/>
              <w:spacing w:line="240" w:lineRule="auto" w:after="0"/>
              <w:jc w:val="center"/>
            </w:pPr>
            <w:r/>
            <w:r>
              <w:rPr>
                <w:b/>
                <w:sz w:val="18"/>
              </w:rPr>
              <w:t>Output</w:t>
            </w:r>
          </w:p>
        </w:tc>
        <w:tc>
          <w:tcPr>
            <w:tcW w:type="dxa" w:w="2438"/>
          </w:tcPr>
          <w:p>
            <w:pPr>
              <w:keepNext/>
              <w:spacing w:line="240" w:lineRule="auto" w:after="0"/>
              <w:jc w:val="center"/>
            </w:pPr>
            <w:r/>
            <w:r>
              <w:rPr>
                <w:b/>
                <w:sz w:val="18"/>
              </w:rPr>
              <w:t>What it found</w:t>
            </w:r>
          </w:p>
        </w:tc>
        <w:tc>
          <w:tcPr>
            <w:tcW w:type="dxa" w:w="2438"/>
          </w:tcPr>
          <w:p>
            <w:pPr>
              <w:keepNext/>
              <w:spacing w:line="240" w:lineRule="auto" w:after="0"/>
              <w:jc w:val="center"/>
            </w:pPr>
            <w:r/>
            <w:r>
              <w:rPr>
                <w:b/>
                <w:sz w:val="18"/>
              </w:rPr>
              <w:t>What it missed</w:t>
            </w:r>
          </w:p>
        </w:tc>
      </w:tr>
      <w:tr>
        <w:trPr>
          <w:cantSplit w:val="true"/>
        </w:trPr>
        <w:tc>
          <w:tcPr>
            <w:tcW w:type="dxa" w:w="1587"/>
          </w:tcPr>
          <w:p>
            <w:pPr>
              <w:keepNext/>
              <w:spacing w:line="240" w:lineRule="auto" w:after="0"/>
              <w:jc w:val="left"/>
            </w:pPr>
            <w:r>
              <w:rPr>
                <w:b w:val="0"/>
                <w:i w:val="0"/>
                <w:sz w:val="18"/>
              </w:rPr>
              <w:t>YData-Profiling</w:t>
            </w:r>
          </w:p>
        </w:tc>
        <w:tc>
          <w:tcPr>
            <w:tcW w:type="dxa" w:w="1077"/>
          </w:tcPr>
          <w:p>
            <w:pPr>
              <w:keepNext/>
              <w:spacing w:line="240" w:lineRule="auto" w:after="0"/>
              <w:jc w:val="center"/>
            </w:pPr>
            <w:r>
              <w:rPr>
                <w:b w:val="0"/>
                <w:i w:val="0"/>
                <w:sz w:val="18"/>
              </w:rPr>
              <w:t>4.8</w:t>
            </w:r>
          </w:p>
        </w:tc>
        <w:tc>
          <w:tcPr>
            <w:tcW w:type="dxa" w:w="1474"/>
          </w:tcPr>
          <w:p>
            <w:pPr>
              <w:keepNext/>
              <w:spacing w:line="240" w:lineRule="auto" w:after="0"/>
              <w:jc w:val="left"/>
            </w:pPr>
            <w:r>
              <w:rPr>
                <w:b w:val="0"/>
                <w:i w:val="0"/>
                <w:sz w:val="18"/>
              </w:rPr>
              <w:t>static HTML report</w:t>
            </w:r>
          </w:p>
        </w:tc>
        <w:tc>
          <w:tcPr>
            <w:tcW w:type="dxa" w:w="2438"/>
          </w:tcPr>
          <w:p>
            <w:pPr>
              <w:keepNext/>
              <w:spacing w:line="240" w:lineRule="auto" w:after="0"/>
              <w:jc w:val="left"/>
            </w:pPr>
            <w:r>
              <w:rPr>
                <w:b w:val="0"/>
                <w:i w:val="0"/>
                <w:sz w:val="18"/>
              </w:rPr>
              <w:t>distributions, missing values, correlations, alerts (skew, zeros, high correlation)</w:t>
            </w:r>
          </w:p>
        </w:tc>
        <w:tc>
          <w:tcPr>
            <w:tcW w:type="dxa" w:w="2438"/>
          </w:tcPr>
          <w:p>
            <w:pPr>
              <w:keepNext/>
              <w:spacing w:line="240" w:lineRule="auto" w:after="0"/>
              <w:jc w:val="left"/>
            </w:pPr>
            <w:r>
              <w:rPr>
                <w:b w:val="0"/>
                <w:i w:val="0"/>
                <w:sz w:val="18"/>
              </w:rPr>
              <w:t>no domain meaning (e.g. tempo = 0 is impossible), no Tukey quartiles or G2, no time trends, no genre comparison</w:t>
            </w:r>
          </w:p>
        </w:tc>
      </w:tr>
      <w:tr>
        <w:trPr>
          <w:cantSplit w:val="true"/>
        </w:trPr>
        <w:tc>
          <w:tcPr>
            <w:tcW w:type="dxa" w:w="1587"/>
          </w:tcPr>
          <w:p>
            <w:pPr>
              <w:keepNext/>
              <w:spacing w:line="240" w:lineRule="auto" w:after="0"/>
              <w:jc w:val="center"/>
            </w:pPr>
            <w:r>
              <w:rPr>
                <w:b w:val="0"/>
                <w:i w:val="0"/>
                <w:sz w:val="18"/>
              </w:rPr>
              <w:t>Sweetviz</w:t>
            </w:r>
          </w:p>
        </w:tc>
        <w:tc>
          <w:tcPr>
            <w:tcW w:type="dxa" w:w="1077"/>
          </w:tcPr>
          <w:p>
            <w:pPr>
              <w:keepNext/>
              <w:spacing w:line="240" w:lineRule="auto" w:after="0"/>
              <w:jc w:val="center"/>
            </w:pPr>
            <w:r>
              <w:rPr>
                <w:b w:val="0"/>
                <w:i w:val="0"/>
                <w:sz w:val="18"/>
              </w:rPr>
              <w:t>6.3</w:t>
            </w:r>
          </w:p>
        </w:tc>
        <w:tc>
          <w:tcPr>
            <w:tcW w:type="dxa" w:w="1474"/>
          </w:tcPr>
          <w:p>
            <w:pPr>
              <w:keepNext/>
              <w:spacing w:line="240" w:lineRule="auto" w:after="0"/>
              <w:jc w:val="left"/>
            </w:pPr>
            <w:r>
              <w:rPr>
                <w:b w:val="0"/>
                <w:i w:val="0"/>
                <w:sz w:val="18"/>
              </w:rPr>
              <w:t>static HTML, two-group comparison</w:t>
            </w:r>
          </w:p>
        </w:tc>
        <w:tc>
          <w:tcPr>
            <w:tcW w:type="dxa" w:w="2438"/>
          </w:tcPr>
          <w:p>
            <w:pPr>
              <w:keepNext/>
              <w:spacing w:line="240" w:lineRule="auto" w:after="0"/>
              <w:jc w:val="left"/>
            </w:pPr>
            <w:r>
              <w:rPr>
                <w:b w:val="0"/>
                <w:i w:val="0"/>
                <w:sz w:val="18"/>
              </w:rPr>
              <w:t>side-by-side 1990s vs 2010s distributions and associations</w:t>
            </w:r>
          </w:p>
        </w:tc>
        <w:tc>
          <w:tcPr>
            <w:tcW w:type="dxa" w:w="2438"/>
          </w:tcPr>
          <w:p>
            <w:pPr>
              <w:keepNext/>
              <w:spacing w:line="240" w:lineRule="auto" w:after="0"/>
              <w:jc w:val="left"/>
            </w:pPr>
            <w:r>
              <w:rPr>
                <w:b w:val="0"/>
                <w:i w:val="0"/>
                <w:sz w:val="18"/>
              </w:rPr>
              <w:t>no statistical test of the difference, no effect sizes, only two groups at a time</w:t>
            </w:r>
          </w:p>
        </w:tc>
      </w:tr>
      <w:tr>
        <w:trPr>
          <w:cantSplit w:val="true"/>
        </w:trPr>
        <w:tc>
          <w:tcPr>
            <w:tcW w:type="dxa" w:w="1587"/>
          </w:tcPr>
          <w:p>
            <w:pPr>
              <w:keepNext/>
              <w:spacing w:line="240" w:lineRule="auto" w:after="0"/>
              <w:jc w:val="center"/>
            </w:pPr>
            <w:r>
              <w:rPr>
                <w:b w:val="0"/>
                <w:i w:val="0"/>
                <w:sz w:val="18"/>
              </w:rPr>
              <w:t>D-Tale</w:t>
            </w:r>
          </w:p>
        </w:tc>
        <w:tc>
          <w:tcPr>
            <w:tcW w:type="dxa" w:w="1077"/>
          </w:tcPr>
          <w:p>
            <w:pPr>
              <w:keepNext/>
              <w:spacing w:line="240" w:lineRule="auto" w:after="0"/>
              <w:jc w:val="center"/>
            </w:pPr>
            <w:r>
              <w:rPr>
                <w:b w:val="0"/>
                <w:i w:val="0"/>
                <w:sz w:val="18"/>
              </w:rPr>
              <w:t>4.1</w:t>
            </w:r>
          </w:p>
        </w:tc>
        <w:tc>
          <w:tcPr>
            <w:tcW w:type="dxa" w:w="1474"/>
          </w:tcPr>
          <w:p>
            <w:pPr>
              <w:keepNext/>
              <w:spacing w:line="240" w:lineRule="auto" w:after="0"/>
              <w:jc w:val="left"/>
            </w:pPr>
            <w:r>
              <w:rPr>
                <w:b w:val="0"/>
                <w:i w:val="0"/>
                <w:sz w:val="18"/>
              </w:rPr>
              <w:t>live server grid in the browser</w:t>
            </w:r>
          </w:p>
        </w:tc>
        <w:tc>
          <w:tcPr>
            <w:tcW w:type="dxa" w:w="2438"/>
          </w:tcPr>
          <w:p>
            <w:pPr>
              <w:keepNext/>
              <w:spacing w:line="240" w:lineRule="auto" w:after="0"/>
              <w:jc w:val="left"/>
            </w:pPr>
            <w:r>
              <w:rPr>
                <w:b w:val="0"/>
                <w:i w:val="0"/>
                <w:sz w:val="18"/>
              </w:rPr>
              <w:t>sortable grid, describe, charts and pandas code export</w:t>
            </w:r>
          </w:p>
        </w:tc>
        <w:tc>
          <w:tcPr>
            <w:tcW w:type="dxa" w:w="2438"/>
          </w:tcPr>
          <w:p>
            <w:pPr>
              <w:keepNext/>
              <w:spacing w:line="240" w:lineRule="auto" w:after="0"/>
              <w:jc w:val="left"/>
            </w:pPr>
            <w:r>
              <w:rPr>
                <w:b w:val="0"/>
                <w:i w:val="0"/>
                <w:sz w:val="18"/>
              </w:rPr>
              <w:t>needs a running Python server, not shareable as a static page, no music-specific views</w:t>
            </w:r>
          </w:p>
        </w:tc>
      </w:tr>
      <w:tr>
        <w:trPr>
          <w:cantSplit w:val="true"/>
        </w:trPr>
        <w:tc>
          <w:tcPr>
            <w:tcW w:type="dxa" w:w="1587"/>
          </w:tcPr>
          <w:p>
            <w:pPr>
              <w:keepNext/>
              <w:spacing w:line="240" w:lineRule="auto" w:after="0"/>
              <w:jc w:val="left"/>
            </w:pPr>
            <w:r>
              <w:rPr>
                <w:b w:val="0"/>
                <w:i w:val="0"/>
                <w:sz w:val="18"/>
              </w:rPr>
              <w:t>Manual EDA (SonicAtlas)</w:t>
            </w:r>
          </w:p>
        </w:tc>
        <w:tc>
          <w:tcPr>
            <w:tcW w:type="dxa" w:w="1077"/>
          </w:tcPr>
          <w:p>
            <w:pPr>
              <w:keepNext/>
              <w:spacing w:line="240" w:lineRule="auto" w:after="0"/>
              <w:jc w:val="left"/>
            </w:pPr>
            <w:r>
              <w:rPr>
                <w:b w:val="0"/>
                <w:i w:val="0"/>
                <w:sz w:val="18"/>
              </w:rPr>
              <w:t>minutes per notebook</w:t>
            </w:r>
          </w:p>
        </w:tc>
        <w:tc>
          <w:tcPr>
            <w:tcW w:type="dxa" w:w="1474"/>
          </w:tcPr>
          <w:p>
            <w:pPr>
              <w:keepNext/>
              <w:spacing w:line="240" w:lineRule="auto" w:after="0"/>
              <w:jc w:val="left"/>
            </w:pPr>
            <w:r>
              <w:rPr>
                <w:b w:val="0"/>
                <w:i w:val="0"/>
                <w:sz w:val="18"/>
              </w:rPr>
              <w:t>notebooks + static website</w:t>
            </w:r>
          </w:p>
        </w:tc>
        <w:tc>
          <w:tcPr>
            <w:tcW w:type="dxa" w:w="2438"/>
          </w:tcPr>
          <w:p>
            <w:pPr>
              <w:keepNext/>
              <w:spacing w:line="240" w:lineRule="auto" w:after="0"/>
              <w:jc w:val="left"/>
            </w:pPr>
            <w:r>
              <w:rPr>
                <w:b w:val="0"/>
                <w:i w:val="0"/>
                <w:sz w:val="18"/>
              </w:rPr>
              <w:t>everything above plus MICE, outlier cases, PCA/t-SNE/LLE, STL, change points, tests, lyrics</w:t>
            </w:r>
          </w:p>
        </w:tc>
        <w:tc>
          <w:tcPr>
            <w:tcW w:type="dxa" w:w="2438"/>
          </w:tcPr>
          <w:p>
            <w:pPr>
              <w:keepNext/>
              <w:spacing w:line="240" w:lineRule="auto" w:after="0"/>
              <w:jc w:val="left"/>
            </w:pPr>
            <w:r>
              <w:rPr>
                <w:b w:val="0"/>
                <w:i w:val="0"/>
                <w:sz w:val="18"/>
              </w:rPr>
              <w:t>takes more effort to build; requires domain knowledge</w:t>
            </w:r>
          </w:p>
        </w:tc>
      </w:tr>
    </w:tbl>
    <w:p>
      <w:pPr>
        <w:spacing w:before="80" w:line="240" w:lineRule="auto"/>
        <w:jc w:val="center"/>
      </w:pPr>
      <w:r>
        <w:rPr>
          <w:sz w:val="20"/>
        </w:rPr>
        <w:t>TABLE XX: Automated EDA tools compared with the manual EDA</w:t>
      </w:r>
    </w:p>
    <w:p>
      <w:pPr>
        <w:pStyle w:val="Heading3"/>
        <w:jc w:val="left"/>
      </w:pPr>
      <w:r>
        <w:t>4.3.8 Evaluation Framework</w:t>
      </w:r>
    </w:p>
    <w:p>
      <w:pPr>
        <w:jc w:val="both"/>
      </w:pPr>
      <w:r>
        <w:rPr>
          <w:b w:val="0"/>
          <w:i w:val="0"/>
        </w:rPr>
        <w:t>Each part of the system is evaluated with an explicit, reproducible criterion (TABLE XXI).</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803"/>
        <w:gridCol w:w="3606"/>
        <w:gridCol w:w="3606"/>
      </w:tblGrid>
      <w:tr>
        <w:trPr>
          <w:tblHeader w:val="true"/>
          <w:cantSplit w:val="true"/>
        </w:trPr>
        <w:tc>
          <w:tcPr>
            <w:tcW w:type="dxa" w:w="1803"/>
          </w:tcPr>
          <w:p>
            <w:pPr>
              <w:keepNext/>
              <w:spacing w:line="240" w:lineRule="auto" w:after="0"/>
              <w:jc w:val="center"/>
            </w:pPr>
            <w:r/>
            <w:r>
              <w:rPr>
                <w:b/>
                <w:sz w:val="20"/>
              </w:rPr>
              <w:t>Component</w:t>
            </w:r>
          </w:p>
        </w:tc>
        <w:tc>
          <w:tcPr>
            <w:tcW w:type="dxa" w:w="3606"/>
          </w:tcPr>
          <w:p>
            <w:pPr>
              <w:keepNext/>
              <w:spacing w:line="240" w:lineRule="auto" w:after="0"/>
              <w:jc w:val="center"/>
            </w:pPr>
            <w:r/>
            <w:r>
              <w:rPr>
                <w:b/>
                <w:sz w:val="20"/>
              </w:rPr>
              <w:t>Criterion</w:t>
            </w:r>
          </w:p>
        </w:tc>
        <w:tc>
          <w:tcPr>
            <w:tcW w:type="dxa" w:w="3606"/>
          </w:tcPr>
          <w:p>
            <w:pPr>
              <w:keepNext/>
              <w:spacing w:line="240" w:lineRule="auto" w:after="0"/>
              <w:jc w:val="center"/>
            </w:pPr>
            <w:r/>
            <w:r>
              <w:rPr>
                <w:b/>
                <w:sz w:val="20"/>
              </w:rPr>
              <w:t>Result</w:t>
            </w:r>
          </w:p>
        </w:tc>
      </w:tr>
      <w:tr>
        <w:trPr>
          <w:cantSplit w:val="true"/>
        </w:trPr>
        <w:tc>
          <w:tcPr>
            <w:tcW w:type="dxa" w:w="1803"/>
          </w:tcPr>
          <w:p>
            <w:pPr>
              <w:keepNext/>
              <w:spacing w:line="240" w:lineRule="auto" w:after="0"/>
              <w:jc w:val="center"/>
            </w:pPr>
            <w:r>
              <w:rPr>
                <w:b w:val="0"/>
                <w:i w:val="0"/>
                <w:sz w:val="20"/>
              </w:rPr>
              <w:t>Data quality</w:t>
            </w:r>
          </w:p>
        </w:tc>
        <w:tc>
          <w:tcPr>
            <w:tcW w:type="dxa" w:w="3606"/>
          </w:tcPr>
          <w:p>
            <w:pPr>
              <w:keepNext/>
              <w:spacing w:line="240" w:lineRule="auto" w:after="0"/>
              <w:jc w:val="left"/>
            </w:pPr>
            <w:r>
              <w:rPr>
                <w:b w:val="0"/>
                <w:i w:val="0"/>
                <w:sz w:val="20"/>
              </w:rPr>
              <w:t>MICE RMSE vs mean imputation on 5% masked values</w:t>
            </w:r>
          </w:p>
        </w:tc>
        <w:tc>
          <w:tcPr>
            <w:tcW w:type="dxa" w:w="3606"/>
          </w:tcPr>
          <w:p>
            <w:pPr>
              <w:keepNext/>
              <w:spacing w:line="240" w:lineRule="auto" w:after="0"/>
              <w:jc w:val="left"/>
            </w:pPr>
            <w:r>
              <w:rPr>
                <w:b w:val="0"/>
                <w:i w:val="0"/>
                <w:sz w:val="20"/>
              </w:rPr>
              <w:t>MICE better for all 3 columns (energy 57.5%)</w:t>
            </w:r>
          </w:p>
        </w:tc>
      </w:tr>
      <w:tr>
        <w:trPr>
          <w:cantSplit w:val="true"/>
        </w:trPr>
        <w:tc>
          <w:tcPr>
            <w:tcW w:type="dxa" w:w="1803"/>
          </w:tcPr>
          <w:p>
            <w:pPr>
              <w:keepNext/>
              <w:spacing w:line="240" w:lineRule="auto" w:after="0"/>
              <w:jc w:val="left"/>
            </w:pPr>
            <w:r>
              <w:rPr>
                <w:b w:val="0"/>
                <w:i w:val="0"/>
                <w:sz w:val="20"/>
              </w:rPr>
              <w:t>Statistics code</w:t>
            </w:r>
          </w:p>
        </w:tc>
        <w:tc>
          <w:tcPr>
            <w:tcW w:type="dxa" w:w="3606"/>
          </w:tcPr>
          <w:p>
            <w:pPr>
              <w:keepNext/>
              <w:spacing w:line="240" w:lineRule="auto" w:after="0"/>
              <w:jc w:val="left"/>
            </w:pPr>
            <w:r>
              <w:rPr>
                <w:b w:val="0"/>
                <w:i w:val="0"/>
                <w:sz w:val="20"/>
              </w:rPr>
              <w:t>unit tests against SciPy and the tutorial data</w:t>
            </w:r>
          </w:p>
        </w:tc>
        <w:tc>
          <w:tcPr>
            <w:tcW w:type="dxa" w:w="3606"/>
          </w:tcPr>
          <w:p>
            <w:pPr>
              <w:keepNext/>
              <w:spacing w:line="240" w:lineRule="auto" w:after="0"/>
              <w:jc w:val="center"/>
            </w:pPr>
            <w:r>
              <w:rPr>
                <w:b w:val="0"/>
                <w:i w:val="0"/>
                <w:sz w:val="20"/>
              </w:rPr>
              <w:t>7/7</w:t>
            </w:r>
          </w:p>
        </w:tc>
      </w:tr>
      <w:tr>
        <w:trPr>
          <w:cantSplit w:val="true"/>
        </w:trPr>
        <w:tc>
          <w:tcPr>
            <w:tcW w:type="dxa" w:w="1803"/>
          </w:tcPr>
          <w:p>
            <w:pPr>
              <w:keepNext/>
              <w:spacing w:line="240" w:lineRule="auto" w:after="0"/>
              <w:jc w:val="center"/>
            </w:pPr>
            <w:r>
              <w:rPr>
                <w:b w:val="0"/>
                <w:i w:val="0"/>
                <w:sz w:val="20"/>
              </w:rPr>
              <w:t>Embeddings</w:t>
            </w:r>
          </w:p>
        </w:tc>
        <w:tc>
          <w:tcPr>
            <w:tcW w:type="dxa" w:w="3606"/>
          </w:tcPr>
          <w:p>
            <w:pPr>
              <w:keepNext/>
              <w:spacing w:line="240" w:lineRule="auto" w:after="0"/>
              <w:jc w:val="left"/>
            </w:pPr>
            <w:r>
              <w:rPr>
                <w:b w:val="0"/>
                <w:i w:val="0"/>
                <w:sz w:val="20"/>
              </w:rPr>
              <w:t>trustworthiness (k = 10), silhouette, runtime</w:t>
            </w:r>
          </w:p>
        </w:tc>
        <w:tc>
          <w:tcPr>
            <w:tcW w:type="dxa" w:w="3606"/>
          </w:tcPr>
          <w:p>
            <w:pPr>
              <w:keepNext/>
              <w:spacing w:line="240" w:lineRule="auto" w:after="0"/>
              <w:jc w:val="left"/>
            </w:pPr>
            <w:r>
              <w:rPr>
                <w:b w:val="0"/>
                <w:i w:val="0"/>
                <w:sz w:val="20"/>
              </w:rPr>
              <w:t>t-SNE 0.976 best</w:t>
            </w:r>
          </w:p>
        </w:tc>
      </w:tr>
      <w:tr>
        <w:trPr>
          <w:cantSplit w:val="true"/>
        </w:trPr>
        <w:tc>
          <w:tcPr>
            <w:tcW w:type="dxa" w:w="1803"/>
          </w:tcPr>
          <w:p>
            <w:pPr>
              <w:keepNext/>
              <w:spacing w:line="240" w:lineRule="auto" w:after="0"/>
              <w:jc w:val="center"/>
            </w:pPr>
            <w:r>
              <w:rPr>
                <w:b w:val="0"/>
                <w:i w:val="0"/>
                <w:sz w:val="20"/>
              </w:rPr>
              <w:t>Clustering</w:t>
            </w:r>
          </w:p>
        </w:tc>
        <w:tc>
          <w:tcPr>
            <w:tcW w:type="dxa" w:w="3606"/>
          </w:tcPr>
          <w:p>
            <w:pPr>
              <w:keepNext/>
              <w:spacing w:line="240" w:lineRule="auto" w:after="0"/>
              <w:jc w:val="left"/>
            </w:pPr>
            <w:r>
              <w:rPr>
                <w:b w:val="0"/>
                <w:i w:val="0"/>
                <w:sz w:val="20"/>
              </w:rPr>
              <w:t>silhouette and elbow over k = 2-10</w:t>
            </w:r>
          </w:p>
        </w:tc>
        <w:tc>
          <w:tcPr>
            <w:tcW w:type="dxa" w:w="3606"/>
          </w:tcPr>
          <w:p>
            <w:pPr>
              <w:keepNext/>
              <w:spacing w:line="240" w:lineRule="auto" w:after="0"/>
              <w:jc w:val="left"/>
            </w:pPr>
            <w:r>
              <w:rPr>
                <w:b w:val="0"/>
                <w:i w:val="0"/>
                <w:sz w:val="20"/>
              </w:rPr>
              <w:t>k = 6 chosen, named clusters</w:t>
            </w:r>
          </w:p>
        </w:tc>
      </w:tr>
      <w:tr>
        <w:trPr>
          <w:cantSplit w:val="true"/>
        </w:trPr>
        <w:tc>
          <w:tcPr>
            <w:tcW w:type="dxa" w:w="1803"/>
          </w:tcPr>
          <w:p>
            <w:pPr>
              <w:keepNext/>
              <w:spacing w:line="240" w:lineRule="auto" w:after="0"/>
              <w:jc w:val="center"/>
            </w:pPr>
            <w:r>
              <w:rPr>
                <w:b w:val="0"/>
                <w:i w:val="0"/>
                <w:sz w:val="20"/>
              </w:rPr>
              <w:t>Forecasting</w:t>
            </w:r>
          </w:p>
        </w:tc>
        <w:tc>
          <w:tcPr>
            <w:tcW w:type="dxa" w:w="3606"/>
          </w:tcPr>
          <w:p>
            <w:pPr>
              <w:keepNext/>
              <w:spacing w:line="240" w:lineRule="auto" w:after="0"/>
              <w:jc w:val="left"/>
            </w:pPr>
            <w:r>
              <w:rPr>
                <w:b w:val="0"/>
                <w:i w:val="0"/>
                <w:sz w:val="20"/>
              </w:rPr>
              <w:t>hold-out MAE vs naive baseline</w:t>
            </w:r>
          </w:p>
        </w:tc>
        <w:tc>
          <w:tcPr>
            <w:tcW w:type="dxa" w:w="3606"/>
          </w:tcPr>
          <w:p>
            <w:pPr>
              <w:keepNext/>
              <w:spacing w:line="240" w:lineRule="auto" w:after="0"/>
              <w:jc w:val="left"/>
            </w:pPr>
            <w:r>
              <w:rPr>
                <w:b w:val="0"/>
                <w:i w:val="0"/>
                <w:sz w:val="20"/>
              </w:rPr>
              <w:t>0.58 vs 0.59 dB</w:t>
            </w:r>
          </w:p>
        </w:tc>
      </w:tr>
      <w:tr>
        <w:trPr>
          <w:cantSplit w:val="true"/>
        </w:trPr>
        <w:tc>
          <w:tcPr>
            <w:tcW w:type="dxa" w:w="1803"/>
          </w:tcPr>
          <w:p>
            <w:pPr>
              <w:keepNext/>
              <w:spacing w:line="240" w:lineRule="auto" w:after="0"/>
              <w:jc w:val="center"/>
            </w:pPr>
            <w:r>
              <w:rPr>
                <w:b w:val="0"/>
                <w:i w:val="0"/>
                <w:sz w:val="20"/>
              </w:rPr>
              <w:t>Tests</w:t>
            </w:r>
          </w:p>
        </w:tc>
        <w:tc>
          <w:tcPr>
            <w:tcW w:type="dxa" w:w="3606"/>
          </w:tcPr>
          <w:p>
            <w:pPr>
              <w:keepNext/>
              <w:spacing w:line="240" w:lineRule="auto" w:after="0"/>
              <w:jc w:val="left"/>
            </w:pPr>
            <w:r>
              <w:rPr>
                <w:b w:val="0"/>
                <w:i w:val="0"/>
                <w:sz w:val="20"/>
              </w:rPr>
              <w:t>p-value plus effect size</w:t>
            </w:r>
          </w:p>
        </w:tc>
        <w:tc>
          <w:tcPr>
            <w:tcW w:type="dxa" w:w="3606"/>
          </w:tcPr>
          <w:p>
            <w:pPr>
              <w:keepNext/>
              <w:spacing w:line="240" w:lineRule="auto" w:after="0"/>
              <w:jc w:val="left"/>
            </w:pPr>
            <w:r>
              <w:rPr>
                <w:b w:val="0"/>
                <w:i w:val="0"/>
                <w:sz w:val="20"/>
              </w:rPr>
              <w:t>eta squared 0.425, V 0.333</w:t>
            </w:r>
          </w:p>
        </w:tc>
      </w:tr>
      <w:tr>
        <w:trPr>
          <w:cantSplit w:val="true"/>
        </w:trPr>
        <w:tc>
          <w:tcPr>
            <w:tcW w:type="dxa" w:w="1803"/>
          </w:tcPr>
          <w:p>
            <w:pPr>
              <w:keepNext/>
              <w:spacing w:line="240" w:lineRule="auto" w:after="0"/>
              <w:jc w:val="center"/>
            </w:pPr>
            <w:r>
              <w:rPr>
                <w:b w:val="0"/>
                <w:i w:val="0"/>
                <w:sz w:val="20"/>
              </w:rPr>
              <w:t>Website</w:t>
            </w:r>
          </w:p>
        </w:tc>
        <w:tc>
          <w:tcPr>
            <w:tcW w:type="dxa" w:w="3606"/>
          </w:tcPr>
          <w:p>
            <w:pPr>
              <w:keepNext/>
              <w:spacing w:line="240" w:lineRule="auto" w:after="0"/>
              <w:jc w:val="left"/>
            </w:pPr>
            <w:r>
              <w:rPr>
                <w:b w:val="0"/>
                <w:i w:val="0"/>
                <w:sz w:val="20"/>
              </w:rPr>
              <w:t>query latency on lite data, Lighthouse, end-to-end tests</w:t>
            </w:r>
          </w:p>
        </w:tc>
        <w:tc>
          <w:tcPr>
            <w:tcW w:type="dxa" w:w="3606"/>
          </w:tcPr>
          <w:p>
            <w:pPr>
              <w:keepNext/>
              <w:spacing w:line="240" w:lineRule="auto" w:after="0"/>
              <w:jc w:val="left"/>
            </w:pPr>
            <w:r>
              <w:rPr>
                <w:b w:val="0"/>
                <w:i w:val="0"/>
                <w:sz w:val="20"/>
              </w:rPr>
              <w:t>65/65 unit and 8/8 end-to-end tests pass; SQL console query 4.7 ms; Lighthouse performance 98-99 and accessibility, best practices and SEO all 100 (four pages)</w:t>
            </w:r>
          </w:p>
        </w:tc>
      </w:tr>
    </w:tbl>
    <w:p>
      <w:pPr>
        <w:spacing w:before="80" w:line="240" w:lineRule="auto"/>
        <w:jc w:val="center"/>
      </w:pPr>
      <w:r>
        <w:rPr>
          <w:sz w:val="20"/>
        </w:rPr>
        <w:t>TABLE XXI: Evaluation framework and results</w:t>
      </w:r>
    </w:p>
    <w:p>
      <w:pPr>
        <w:pStyle w:val="Heading3"/>
        <w:jc w:val="left"/>
      </w:pPr>
      <w:r>
        <w:t>4.3.9 Summary and Method Selection Guide</w:t>
      </w:r>
    </w:p>
    <w:p>
      <w:pPr>
        <w:jc w:val="both"/>
      </w:pPr>
      <w:r>
        <w:rPr>
          <w:b w:val="0"/>
          <w:i w:val="0"/>
        </w:rPr>
        <w:t>TABLE XXII summarises which method answered which question and when a reader should choose it.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141"/>
        <w:gridCol w:w="2592"/>
        <w:gridCol w:w="4282"/>
      </w:tblGrid>
      <w:tr>
        <w:trPr>
          <w:tblHeader w:val="true"/>
          <w:cantSplit w:val="true"/>
        </w:trPr>
        <w:tc>
          <w:tcPr>
            <w:tcW w:type="dxa" w:w="2141"/>
          </w:tcPr>
          <w:p>
            <w:pPr>
              <w:keepNext/>
              <w:spacing w:line="240" w:lineRule="auto" w:after="0"/>
              <w:jc w:val="center"/>
            </w:pPr>
            <w:r/>
            <w:r>
              <w:rPr>
                <w:b/>
                <w:sz w:val="19"/>
              </w:rPr>
              <w:t>Question</w:t>
            </w:r>
          </w:p>
        </w:tc>
        <w:tc>
          <w:tcPr>
            <w:tcW w:type="dxa" w:w="2592"/>
          </w:tcPr>
          <w:p>
            <w:pPr>
              <w:keepNext/>
              <w:spacing w:line="240" w:lineRule="auto" w:after="0"/>
              <w:jc w:val="center"/>
            </w:pPr>
            <w:r/>
            <w:r>
              <w:rPr>
                <w:b/>
                <w:sz w:val="19"/>
              </w:rPr>
              <w:t>Method</w:t>
            </w:r>
          </w:p>
        </w:tc>
        <w:tc>
          <w:tcPr>
            <w:tcW w:type="dxa" w:w="4282"/>
          </w:tcPr>
          <w:p>
            <w:pPr>
              <w:keepNext/>
              <w:spacing w:line="240" w:lineRule="auto" w:after="0"/>
              <w:jc w:val="center"/>
            </w:pPr>
            <w:r/>
            <w:r>
              <w:rPr>
                <w:b/>
                <w:sz w:val="19"/>
              </w:rPr>
              <w:t>When to use it</w:t>
            </w:r>
          </w:p>
        </w:tc>
      </w:tr>
      <w:tr>
        <w:trPr>
          <w:cantSplit w:val="true"/>
        </w:trPr>
        <w:tc>
          <w:tcPr>
            <w:tcW w:type="dxa" w:w="2141"/>
          </w:tcPr>
          <w:p>
            <w:pPr>
              <w:keepNext/>
              <w:spacing w:line="240" w:lineRule="auto" w:after="0"/>
              <w:jc w:val="left"/>
            </w:pPr>
            <w:r>
              <w:rPr>
                <w:b w:val="0"/>
                <w:i w:val="0"/>
                <w:sz w:val="19"/>
              </w:rPr>
              <w:t>Describe one feature</w:t>
            </w:r>
          </w:p>
        </w:tc>
        <w:tc>
          <w:tcPr>
            <w:tcW w:type="dxa" w:w="2592"/>
          </w:tcPr>
          <w:p>
            <w:pPr>
              <w:keepNext/>
              <w:spacing w:line="240" w:lineRule="auto" w:after="0"/>
              <w:jc w:val="left"/>
            </w:pPr>
            <w:r>
              <w:rPr>
                <w:b w:val="0"/>
                <w:i w:val="0"/>
                <w:sz w:val="19"/>
              </w:rPr>
              <w:t>Mean/median, Tukey IQR, G1, G2</w:t>
            </w:r>
          </w:p>
        </w:tc>
        <w:tc>
          <w:tcPr>
            <w:tcW w:type="dxa" w:w="4282"/>
          </w:tcPr>
          <w:p>
            <w:pPr>
              <w:keepNext/>
              <w:spacing w:line="240" w:lineRule="auto" w:after="0"/>
              <w:jc w:val="left"/>
            </w:pPr>
            <w:r>
              <w:rPr>
                <w:b w:val="0"/>
                <w:i w:val="0"/>
                <w:sz w:val="19"/>
              </w:rPr>
              <w:t>Always first; use median and IQR for skewed fields such as speechiness</w:t>
            </w:r>
          </w:p>
        </w:tc>
      </w:tr>
      <w:tr>
        <w:trPr>
          <w:cantSplit w:val="true"/>
        </w:trPr>
        <w:tc>
          <w:tcPr>
            <w:tcW w:type="dxa" w:w="2141"/>
          </w:tcPr>
          <w:p>
            <w:pPr>
              <w:keepNext/>
              <w:spacing w:line="240" w:lineRule="auto" w:after="0"/>
              <w:jc w:val="left"/>
            </w:pPr>
            <w:r>
              <w:rPr>
                <w:b w:val="0"/>
                <w:i w:val="0"/>
                <w:sz w:val="19"/>
              </w:rPr>
              <w:t>Repair impossible values</w:t>
            </w:r>
          </w:p>
        </w:tc>
        <w:tc>
          <w:tcPr>
            <w:tcW w:type="dxa" w:w="2592"/>
          </w:tcPr>
          <w:p>
            <w:pPr>
              <w:keepNext/>
              <w:spacing w:line="240" w:lineRule="auto" w:after="0"/>
              <w:jc w:val="left"/>
            </w:pPr>
            <w:r>
              <w:rPr>
                <w:b w:val="0"/>
                <w:i w:val="0"/>
                <w:sz w:val="19"/>
              </w:rPr>
              <w:t>MICE (IterativeImputer)</w:t>
            </w:r>
          </w:p>
        </w:tc>
        <w:tc>
          <w:tcPr>
            <w:tcW w:type="dxa" w:w="4282"/>
          </w:tcPr>
          <w:p>
            <w:pPr>
              <w:keepNext/>
              <w:spacing w:line="240" w:lineRule="auto" w:after="0"/>
              <w:jc w:val="left"/>
            </w:pPr>
            <w:r>
              <w:rPr>
                <w:b w:val="0"/>
                <w:i w:val="0"/>
                <w:sz w:val="19"/>
              </w:rPr>
              <w:t>When other columns predict the gap; validate by masking</w:t>
            </w:r>
          </w:p>
        </w:tc>
      </w:tr>
      <w:tr>
        <w:trPr>
          <w:cantSplit w:val="true"/>
        </w:trPr>
        <w:tc>
          <w:tcPr>
            <w:tcW w:type="dxa" w:w="2141"/>
          </w:tcPr>
          <w:p>
            <w:pPr>
              <w:keepNext/>
              <w:spacing w:line="240" w:lineRule="auto" w:after="0"/>
              <w:jc w:val="left"/>
            </w:pPr>
            <w:r>
              <w:rPr>
                <w:b w:val="0"/>
                <w:i w:val="0"/>
                <w:sz w:val="19"/>
              </w:rPr>
              <w:t>Find unusual tracks</w:t>
            </w:r>
          </w:p>
        </w:tc>
        <w:tc>
          <w:tcPr>
            <w:tcW w:type="dxa" w:w="2592"/>
          </w:tcPr>
          <w:p>
            <w:pPr>
              <w:keepNext/>
              <w:spacing w:line="240" w:lineRule="auto" w:after="0"/>
              <w:jc w:val="left"/>
            </w:pPr>
            <w:r>
              <w:rPr>
                <w:b w:val="0"/>
                <w:i w:val="0"/>
                <w:sz w:val="19"/>
              </w:rPr>
              <w:t>Tukey fences + Isolation Forest</w:t>
            </w:r>
          </w:p>
        </w:tc>
        <w:tc>
          <w:tcPr>
            <w:tcW w:type="dxa" w:w="4282"/>
          </w:tcPr>
          <w:p>
            <w:pPr>
              <w:keepNext/>
              <w:spacing w:line="240" w:lineRule="auto" w:after="0"/>
              <w:jc w:val="left"/>
            </w:pPr>
            <w:r>
              <w:rPr>
                <w:b w:val="0"/>
                <w:i w:val="0"/>
                <w:sz w:val="19"/>
              </w:rPr>
              <w:t>Fences per feature; Isolation Forest for multivariate oddities</w:t>
            </w:r>
          </w:p>
        </w:tc>
      </w:tr>
      <w:tr>
        <w:trPr>
          <w:cantSplit w:val="true"/>
        </w:trPr>
        <w:tc>
          <w:tcPr>
            <w:tcW w:type="dxa" w:w="2141"/>
          </w:tcPr>
          <w:p>
            <w:pPr>
              <w:keepNext/>
              <w:spacing w:line="240" w:lineRule="auto" w:after="0"/>
              <w:jc w:val="left"/>
            </w:pPr>
            <w:r>
              <w:rPr>
                <w:b w:val="0"/>
                <w:i w:val="0"/>
                <w:sz w:val="19"/>
              </w:rPr>
              <w:t>Relate two features</w:t>
            </w:r>
          </w:p>
        </w:tc>
        <w:tc>
          <w:tcPr>
            <w:tcW w:type="dxa" w:w="2592"/>
          </w:tcPr>
          <w:p>
            <w:pPr>
              <w:keepNext/>
              <w:spacing w:line="240" w:lineRule="auto" w:after="0"/>
              <w:jc w:val="left"/>
            </w:pPr>
            <w:r>
              <w:rPr>
                <w:b w:val="0"/>
                <w:i w:val="0"/>
                <w:sz w:val="19"/>
              </w:rPr>
              <w:t>Pearson / Spearman</w:t>
            </w:r>
          </w:p>
        </w:tc>
        <w:tc>
          <w:tcPr>
            <w:tcW w:type="dxa" w:w="4282"/>
          </w:tcPr>
          <w:p>
            <w:pPr>
              <w:keepNext/>
              <w:spacing w:line="240" w:lineRule="auto" w:after="0"/>
              <w:jc w:val="left"/>
            </w:pPr>
            <w:r>
              <w:rPr>
                <w:b w:val="0"/>
                <w:i w:val="0"/>
                <w:sz w:val="19"/>
              </w:rPr>
              <w:t>Spearman when relationships are monotonic but not linear</w:t>
            </w:r>
          </w:p>
        </w:tc>
      </w:tr>
      <w:tr>
        <w:trPr>
          <w:cantSplit w:val="true"/>
        </w:trPr>
        <w:tc>
          <w:tcPr>
            <w:tcW w:type="dxa" w:w="2141"/>
          </w:tcPr>
          <w:p>
            <w:pPr>
              <w:keepNext/>
              <w:spacing w:line="240" w:lineRule="auto" w:after="0"/>
              <w:jc w:val="left"/>
            </w:pPr>
            <w:r>
              <w:rPr>
                <w:b w:val="0"/>
                <w:i w:val="0"/>
                <w:sz w:val="19"/>
              </w:rPr>
              <w:t>Compare genres visually</w:t>
            </w:r>
          </w:p>
        </w:tc>
        <w:tc>
          <w:tcPr>
            <w:tcW w:type="dxa" w:w="2592"/>
          </w:tcPr>
          <w:p>
            <w:pPr>
              <w:keepNext/>
              <w:spacing w:line="240" w:lineRule="auto" w:after="0"/>
              <w:jc w:val="left"/>
            </w:pPr>
            <w:r>
              <w:rPr>
                <w:b w:val="0"/>
                <w:i w:val="0"/>
                <w:sz w:val="19"/>
              </w:rPr>
              <w:t>Parallel coordinates, radar, Andrews</w:t>
            </w:r>
          </w:p>
        </w:tc>
        <w:tc>
          <w:tcPr>
            <w:tcW w:type="dxa" w:w="4282"/>
          </w:tcPr>
          <w:p>
            <w:pPr>
              <w:keepNext/>
              <w:spacing w:line="240" w:lineRule="auto" w:after="0"/>
              <w:jc w:val="left"/>
            </w:pPr>
            <w:r>
              <w:rPr>
                <w:b w:val="0"/>
                <w:i w:val="0"/>
                <w:sz w:val="19"/>
              </w:rPr>
              <w:t>Use a balanced sample to avoid clutter</w:t>
            </w:r>
          </w:p>
        </w:tc>
      </w:tr>
      <w:tr>
        <w:trPr>
          <w:cantSplit w:val="true"/>
        </w:trPr>
        <w:tc>
          <w:tcPr>
            <w:tcW w:type="dxa" w:w="2141"/>
          </w:tcPr>
          <w:p>
            <w:pPr>
              <w:keepNext/>
              <w:spacing w:line="240" w:lineRule="auto" w:after="0"/>
              <w:jc w:val="left"/>
            </w:pPr>
            <w:r>
              <w:rPr>
                <w:b w:val="0"/>
                <w:i w:val="0"/>
                <w:sz w:val="19"/>
              </w:rPr>
              <w:t>Global structure</w:t>
            </w:r>
          </w:p>
        </w:tc>
        <w:tc>
          <w:tcPr>
            <w:tcW w:type="dxa" w:w="2592"/>
          </w:tcPr>
          <w:p>
            <w:pPr>
              <w:keepNext/>
              <w:spacing w:line="240" w:lineRule="auto" w:after="0"/>
              <w:jc w:val="center"/>
            </w:pPr>
            <w:r>
              <w:rPr>
                <w:b w:val="0"/>
                <w:i w:val="0"/>
                <w:sz w:val="19"/>
              </w:rPr>
              <w:t>PCA / SVD</w:t>
            </w:r>
          </w:p>
        </w:tc>
        <w:tc>
          <w:tcPr>
            <w:tcW w:type="dxa" w:w="4282"/>
          </w:tcPr>
          <w:p>
            <w:pPr>
              <w:keepNext/>
              <w:spacing w:line="240" w:lineRule="auto" w:after="0"/>
              <w:jc w:val="left"/>
            </w:pPr>
            <w:r>
              <w:rPr>
                <w:b w:val="0"/>
                <w:i w:val="0"/>
                <w:sz w:val="19"/>
              </w:rPr>
              <w:t>Fast, interpretable loadings, works on all rows</w:t>
            </w:r>
          </w:p>
        </w:tc>
      </w:tr>
      <w:tr>
        <w:trPr>
          <w:cantSplit w:val="true"/>
        </w:trPr>
        <w:tc>
          <w:tcPr>
            <w:tcW w:type="dxa" w:w="2141"/>
          </w:tcPr>
          <w:p>
            <w:pPr>
              <w:keepNext/>
              <w:spacing w:line="240" w:lineRule="auto" w:after="0"/>
              <w:jc w:val="left"/>
            </w:pPr>
            <w:r>
              <w:rPr>
                <w:b w:val="0"/>
                <w:i w:val="0"/>
                <w:sz w:val="19"/>
              </w:rPr>
              <w:t>Local neighbourhoods</w:t>
            </w:r>
          </w:p>
        </w:tc>
        <w:tc>
          <w:tcPr>
            <w:tcW w:type="dxa" w:w="2592"/>
          </w:tcPr>
          <w:p>
            <w:pPr>
              <w:keepNext/>
              <w:spacing w:line="240" w:lineRule="auto" w:after="0"/>
              <w:jc w:val="center"/>
            </w:pPr>
            <w:r>
              <w:rPr>
                <w:b w:val="0"/>
                <w:i w:val="0"/>
                <w:sz w:val="19"/>
              </w:rPr>
              <w:t>t-SNE / UMAP</w:t>
            </w:r>
          </w:p>
        </w:tc>
        <w:tc>
          <w:tcPr>
            <w:tcW w:type="dxa" w:w="4282"/>
          </w:tcPr>
          <w:p>
            <w:pPr>
              <w:keepNext/>
              <w:spacing w:line="240" w:lineRule="auto" w:after="0"/>
              <w:jc w:val="left"/>
            </w:pPr>
            <w:r>
              <w:rPr>
                <w:b w:val="0"/>
                <w:i w:val="0"/>
                <w:sz w:val="19"/>
              </w:rPr>
              <w:t>Best trustworthiness; distances between far clusters are not meaningful</w:t>
            </w:r>
          </w:p>
        </w:tc>
      </w:tr>
      <w:tr>
        <w:trPr>
          <w:cantSplit w:val="true"/>
        </w:trPr>
        <w:tc>
          <w:tcPr>
            <w:tcW w:type="dxa" w:w="2141"/>
          </w:tcPr>
          <w:p>
            <w:pPr>
              <w:keepNext/>
              <w:spacing w:line="240" w:lineRule="auto" w:after="0"/>
              <w:jc w:val="left"/>
            </w:pPr>
            <w:r>
              <w:rPr>
                <w:b w:val="0"/>
                <w:i w:val="0"/>
                <w:sz w:val="19"/>
              </w:rPr>
              <w:t>Manifold unfolding</w:t>
            </w:r>
          </w:p>
        </w:tc>
        <w:tc>
          <w:tcPr>
            <w:tcW w:type="dxa" w:w="2592"/>
          </w:tcPr>
          <w:p>
            <w:pPr>
              <w:keepNext/>
              <w:spacing w:line="240" w:lineRule="auto" w:after="0"/>
              <w:jc w:val="center"/>
            </w:pPr>
            <w:r>
              <w:rPr>
                <w:b w:val="0"/>
                <w:i w:val="0"/>
                <w:sz w:val="19"/>
              </w:rPr>
              <w:t>LLE</w:t>
            </w:r>
          </w:p>
        </w:tc>
        <w:tc>
          <w:tcPr>
            <w:tcW w:type="dxa" w:w="4282"/>
          </w:tcPr>
          <w:p>
            <w:pPr>
              <w:keepNext/>
              <w:spacing w:line="240" w:lineRule="auto" w:after="0"/>
              <w:jc w:val="left"/>
            </w:pPr>
            <w:r>
              <w:rPr>
                <w:b w:val="0"/>
                <w:i w:val="0"/>
                <w:sz w:val="19"/>
              </w:rPr>
              <w:t>Only for smooth manifolds; weakest here</w:t>
            </w:r>
          </w:p>
        </w:tc>
      </w:tr>
      <w:tr>
        <w:trPr>
          <w:cantSplit w:val="true"/>
        </w:trPr>
        <w:tc>
          <w:tcPr>
            <w:tcW w:type="dxa" w:w="2141"/>
          </w:tcPr>
          <w:p>
            <w:pPr>
              <w:keepNext/>
              <w:spacing w:line="240" w:lineRule="auto" w:after="0"/>
              <w:jc w:val="center"/>
            </w:pPr>
            <w:r>
              <w:rPr>
                <w:b w:val="0"/>
                <w:i w:val="0"/>
                <w:sz w:val="19"/>
              </w:rPr>
              <w:t>Group tracks</w:t>
            </w:r>
          </w:p>
        </w:tc>
        <w:tc>
          <w:tcPr>
            <w:tcW w:type="dxa" w:w="2592"/>
          </w:tcPr>
          <w:p>
            <w:pPr>
              <w:keepNext/>
              <w:spacing w:line="240" w:lineRule="auto" w:after="0"/>
              <w:jc w:val="left"/>
            </w:pPr>
            <w:r>
              <w:rPr>
                <w:b w:val="0"/>
                <w:i w:val="0"/>
                <w:sz w:val="19"/>
              </w:rPr>
              <w:t>KMeans / HDBSCAN</w:t>
            </w:r>
          </w:p>
        </w:tc>
        <w:tc>
          <w:tcPr>
            <w:tcW w:type="dxa" w:w="4282"/>
          </w:tcPr>
          <w:p>
            <w:pPr>
              <w:keepNext/>
              <w:spacing w:line="240" w:lineRule="auto" w:after="0"/>
              <w:jc w:val="left"/>
            </w:pPr>
            <w:r>
              <w:rPr>
                <w:b w:val="0"/>
                <w:i w:val="0"/>
                <w:sz w:val="19"/>
              </w:rPr>
              <w:t>KMeans for nameable groups; HDBSCAN shows density and noise</w:t>
            </w:r>
          </w:p>
        </w:tc>
      </w:tr>
      <w:tr>
        <w:trPr>
          <w:cantSplit w:val="true"/>
        </w:trPr>
        <w:tc>
          <w:tcPr>
            <w:tcW w:type="dxa" w:w="2141"/>
          </w:tcPr>
          <w:p>
            <w:pPr>
              <w:keepNext/>
              <w:spacing w:line="240" w:lineRule="auto" w:after="0"/>
              <w:jc w:val="left"/>
            </w:pPr>
            <w:r>
              <w:rPr>
                <w:b w:val="0"/>
                <w:i w:val="0"/>
                <w:sz w:val="19"/>
              </w:rPr>
              <w:t>Trends over time</w:t>
            </w:r>
          </w:p>
        </w:tc>
        <w:tc>
          <w:tcPr>
            <w:tcW w:type="dxa" w:w="2592"/>
          </w:tcPr>
          <w:p>
            <w:pPr>
              <w:keepNext/>
              <w:spacing w:line="240" w:lineRule="auto" w:after="0"/>
              <w:jc w:val="left"/>
            </w:pPr>
            <w:r>
              <w:rPr>
                <w:b w:val="0"/>
                <w:i w:val="0"/>
                <w:sz w:val="19"/>
              </w:rPr>
              <w:t>Rolling means, STL, PELT, ARIMA</w:t>
            </w:r>
          </w:p>
        </w:tc>
        <w:tc>
          <w:tcPr>
            <w:tcW w:type="dxa" w:w="4282"/>
          </w:tcPr>
          <w:p>
            <w:pPr>
              <w:keepNext/>
              <w:spacing w:line="240" w:lineRule="auto" w:after="0"/>
              <w:jc w:val="left"/>
            </w:pPr>
            <w:r>
              <w:rPr>
                <w:b w:val="0"/>
                <w:i w:val="0"/>
                <w:sz w:val="19"/>
              </w:rPr>
              <w:t>Use canonical releases; check against a naive forecast</w:t>
            </w:r>
          </w:p>
        </w:tc>
      </w:tr>
      <w:tr>
        <w:trPr>
          <w:cantSplit w:val="true"/>
        </w:trPr>
        <w:tc>
          <w:tcPr>
            <w:tcW w:type="dxa" w:w="2141"/>
          </w:tcPr>
          <w:p>
            <w:pPr>
              <w:keepNext/>
              <w:spacing w:line="240" w:lineRule="auto" w:after="0"/>
              <w:jc w:val="left"/>
            </w:pPr>
            <w:r>
              <w:rPr>
                <w:b w:val="0"/>
                <w:i w:val="0"/>
                <w:sz w:val="19"/>
              </w:rPr>
              <w:t>Test differences</w:t>
            </w:r>
          </w:p>
        </w:tc>
        <w:tc>
          <w:tcPr>
            <w:tcW w:type="dxa" w:w="2592"/>
          </w:tcPr>
          <w:p>
            <w:pPr>
              <w:keepNext/>
              <w:spacing w:line="240" w:lineRule="auto" w:after="0"/>
              <w:jc w:val="left"/>
            </w:pPr>
            <w:r>
              <w:rPr>
                <w:b w:val="0"/>
                <w:i w:val="0"/>
                <w:sz w:val="19"/>
              </w:rPr>
              <w:t>ANOVA + Tukey, Kruskal-Wallis, chi-square</w:t>
            </w:r>
          </w:p>
        </w:tc>
        <w:tc>
          <w:tcPr>
            <w:tcW w:type="dxa" w:w="4282"/>
          </w:tcPr>
          <w:p>
            <w:pPr>
              <w:keepNext/>
              <w:spacing w:line="240" w:lineRule="auto" w:after="0"/>
              <w:jc w:val="left"/>
            </w:pPr>
            <w:r>
              <w:rPr>
                <w:b w:val="0"/>
                <w:i w:val="0"/>
                <w:sz w:val="19"/>
              </w:rPr>
              <w:t>Report effect sizes; large n makes tiny effects significant</w:t>
            </w:r>
          </w:p>
        </w:tc>
      </w:tr>
      <w:tr>
        <w:trPr>
          <w:cantSplit w:val="true"/>
        </w:trPr>
        <w:tc>
          <w:tcPr>
            <w:tcW w:type="dxa" w:w="2141"/>
          </w:tcPr>
          <w:p>
            <w:pPr>
              <w:keepNext/>
              <w:spacing w:line="240" w:lineRule="auto" w:after="0"/>
              <w:jc w:val="center"/>
            </w:pPr>
            <w:r>
              <w:rPr>
                <w:b w:val="0"/>
                <w:i w:val="0"/>
                <w:sz w:val="19"/>
              </w:rPr>
              <w:t>Rank features</w:t>
            </w:r>
          </w:p>
        </w:tc>
        <w:tc>
          <w:tcPr>
            <w:tcW w:type="dxa" w:w="2592"/>
          </w:tcPr>
          <w:p>
            <w:pPr>
              <w:keepNext/>
              <w:spacing w:line="240" w:lineRule="auto" w:after="0"/>
              <w:jc w:val="left"/>
            </w:pPr>
            <w:r>
              <w:rPr>
                <w:b w:val="0"/>
                <w:i w:val="0"/>
                <w:sz w:val="19"/>
              </w:rPr>
              <w:t>ANOVA F, MI, RFE</w:t>
            </w:r>
          </w:p>
        </w:tc>
        <w:tc>
          <w:tcPr>
            <w:tcW w:type="dxa" w:w="4282"/>
          </w:tcPr>
          <w:p>
            <w:pPr>
              <w:keepNext/>
              <w:spacing w:line="240" w:lineRule="auto" w:after="0"/>
              <w:jc w:val="left"/>
            </w:pPr>
            <w:r>
              <w:rPr>
                <w:b w:val="0"/>
                <w:i w:val="0"/>
                <w:sz w:val="19"/>
              </w:rPr>
              <w:t>Agreement across methods signals robust features</w:t>
            </w:r>
          </w:p>
        </w:tc>
      </w:tr>
    </w:tbl>
    <w:p>
      <w:pPr>
        <w:spacing w:before="80" w:line="240" w:lineRule="auto"/>
        <w:jc w:val="center"/>
      </w:pPr>
      <w:r>
        <w:rPr>
          <w:sz w:val="20"/>
        </w:rPr>
        <w:t>TABLE XXII: Method selection guide</w:t>
      </w:r>
    </w:p>
    <w:p>
      <w:pPr>
        <w:spacing w:after="0"/>
      </w:pPr>
      <w:r>
        <w:br w:type="page"/>
      </w:r>
    </w:p>
    <w:p>
      <w:pPr>
        <w:pStyle w:val="Heading1"/>
        <w:jc w:val="center"/>
      </w:pPr>
      <w:r>
        <w:t>5. CONCLUSION</w:t>
      </w:r>
    </w:p>
    <w:p>
      <w:pPr>
        <w:jc w:val="both"/>
      </w:pPr>
      <w:r>
        <w:rPr>
          <w:b w:val="0"/>
          <w:i w:val="0"/>
        </w:rPr>
        <w:t>This project set out to understand how the sound of recorded music differs across genres and how it has changed across eras, and to make that understanding explorable by anyone. A reproducible pipeline cleaned 1,204,025 Spotify tracks, repaired 2,777 impossible tempos with validated MICE imputation, marked 90,457 re-issues so they do not distort trends, and flagged 24,547 multivariate outliers instead of deleting them.</w:t>
      </w:r>
    </w:p>
    <w:p>
      <w:pPr>
        <w:jc w:val="both"/>
      </w:pPr>
      <w:r>
        <w:rPr>
          <w:b w:val="0"/>
          <w:i w:val="0"/>
        </w:rPr>
        <w:t>The exploration produced clear, quantified findings. Energy is almost a restatement of loudness (r = 0.82) and the opposite of acousticness (r = -0.80). Over 1959-2020 music became about 7.8 dB louder, more energetic (0.25 to 0.59) and far less acoustic (0.86 to 0.31), with loudness change points in 1989, 1999. Genre explains 42% of the variation in danceability, and acousticness and loudness are the most useful features for telling genres apart.</w:t>
      </w:r>
    </w:p>
    <w:p>
      <w:pPr>
        <w:jc w:val="both"/>
      </w:pPr>
      <w:r>
        <w:rPr>
          <w:b w:val="0"/>
          <w:i w:val="0"/>
        </w:rPr>
        <w:t>The dimensionality-reduction comparison showed that t-SNE keeps local neighbourhoods best (trustworthiness 0.98) while PCA gives the most interpretable global axes, and that genres overlap in every projection. 6 named acoustic clusters (Live recordings, Upbeat danceable pop, Soft acoustic songs, Loud &amp; intense (rock/metal), Quiet acoustic instrumentals, Spoken word &amp; rap) give users a vocabulary for navigating the map. SonicAtlas packages these results in a serverless website where SQL runs inside the browser.</w:t>
      </w:r>
    </w:p>
    <w:p>
      <w:pPr>
        <w:jc w:val="both"/>
      </w:pPr>
      <w:r>
        <w:rPr>
          <w:b w:val="0"/>
          <w:i w:val="0"/>
        </w:rPr>
        <w:t>The work has limitations. Spotify’s descriptors are outputs of proprietary models, not direct measurements; the catalogue over-represents recent releases; the genre and audio tables matched for only 10.7% of genre-labelled tracks, so genre-by-decade questions rest on 9,644 tracks; the lyrics analysis is limited to English songs; and the 2020s contain a single year.</w:t>
      </w:r>
    </w:p>
    <w:p>
      <w:pPr>
        <w:jc w:val="both"/>
      </w:pPr>
      <w:r>
        <w:rPr>
          <w:b w:val="0"/>
          <w:i w:val="0"/>
        </w:rPr>
        <w:t>Future work includes adding newer open audio descriptors (for example from AcousticBrainz-style feature extractors) to replace the closed Spotify features, multilingual lyrics analysis, learned audio embeddings, and user studies that measure how quickly students and researchers answer questions with SonicAtlas compared with notebooks.</w:t>
      </w:r>
    </w:p>
    <w:p>
      <w:pPr>
        <w:spacing w:after="0"/>
      </w:pPr>
      <w:r>
        <w:br w:type="page"/>
      </w:r>
    </w:p>
    <w:p>
      <w:pPr>
        <w:pStyle w:val="Heading1"/>
        <w:jc w:val="center"/>
      </w:pPr>
      <w:r>
        <w:t>6. PROJECT OUTCOME</w:t>
      </w:r>
    </w:p>
    <w:p>
      <w:pPr>
        <w:jc w:val="both"/>
      </w:pPr>
      <w:r>
        <w:rPr>
          <w:b/>
          <w:i w:val="0"/>
        </w:rPr>
        <w:t>(a) Research paper.</w:t>
      </w:r>
      <w:r>
        <w:rPr>
          <w:b w:val="0"/>
          <w:i w:val="0"/>
        </w:rPr>
        <w:t xml:space="preserve"> A six-page paper in the official IEEE conference format, titled “SonicAtlas: An Interactive In-Browser Exploratory Data Analysis Platform for Multi-Dimensional Audio Features and Lyrics of Spotify Tracks Across Genres and Eras”, has been written from the results of this project. Status: prepared for submission. [Paper Link]</w:t>
      </w:r>
    </w:p>
    <w:p>
      <w:pPr>
        <w:jc w:val="both"/>
      </w:pPr>
      <w:r>
        <w:rPr>
          <w:b/>
          <w:i w:val="0"/>
        </w:rPr>
        <w:t>(b) Target conferences.</w:t>
      </w:r>
      <w:r>
        <w:rPr>
          <w:b w:val="0"/>
          <w:i w:val="0"/>
        </w:rPr>
        <w:t xml:space="preserve"> Three suitable venues:</w:t>
      </w:r>
    </w:p>
    <w:p>
      <w:pPr>
        <w:pStyle w:val="ListBullet"/>
        <w:spacing w:after="80"/>
        <w:jc w:val="both"/>
      </w:pPr>
      <w:r>
        <w:rPr>
          <w:b/>
        </w:rPr>
        <w:t xml:space="preserve">IEEE CONECCT 2027 (13th IEEE International Conference on Electronics, Computing and Communication Technologies): </w:t>
      </w:r>
      <w:r>
        <w:rPr>
          <w:b w:val="0"/>
          <w:i w:val="0"/>
        </w:rPr>
        <w:t xml:space="preserve">An IEEE Bangalore Section conference on computing and communication technologies, suitable for an applied data-analytics paper and still open for submissions. Dates: 29-31 July 2027, Bangalore, India; paper submission deadline 15 December 2026. Website: </w:t>
      </w:r>
      <w:hyperlink r:id="rId62">
        <w:r>
          <w:rPr>
            <w:rFonts w:ascii="Times New Roman" w:hAnsi="Times New Roman"/>
            <w:color w:val="0000EE"/>
            <w:u w:val="single"/>
          </w:rPr>
          <w:t xml:space="preserve">https://www.ieee-conecct.org.ieeebangalore.org/</w:t>
        </w:r>
      </w:hyperlink>
    </w:p>
    <w:p>
      <w:pPr>
        <w:pStyle w:val="ListBullet"/>
        <w:spacing w:after="80"/>
        <w:jc w:val="both"/>
      </w:pPr>
      <w:r>
        <w:rPr>
          <w:b/>
        </w:rPr>
        <w:t xml:space="preserve">ISMIR (International Society for Music Information Retrieval Conference): </w:t>
      </w:r>
      <w:r>
        <w:rPr>
          <w:b w:val="0"/>
          <w:i w:val="0"/>
        </w:rPr>
        <w:t xml:space="preserve">The leading venue for music information retrieval research and the closest thematic fit for SonicAtlas, including its late-breaking demo track. Dates: ISMIR 2026 runs 8-12 November 2026 in Abu Dhabi; its deadlines have passed, so the target is the 2027 edition once its call is published. Website: </w:t>
      </w:r>
      <w:hyperlink r:id="rId63">
        <w:r>
          <w:rPr>
            <w:rFonts w:ascii="Times New Roman" w:hAnsi="Times New Roman"/>
            <w:color w:val="0000EE"/>
            <w:u w:val="single"/>
          </w:rPr>
          <w:t xml:space="preserve">https://ismir2026.ismir.net/</w:t>
        </w:r>
      </w:hyperlink>
    </w:p>
    <w:p>
      <w:pPr>
        <w:pStyle w:val="ListBullet"/>
        <w:spacing w:after="80"/>
        <w:jc w:val="both"/>
      </w:pPr>
      <w:r>
        <w:rPr>
          <w:b/>
        </w:rPr>
        <w:t xml:space="preserve">IEEE VIS (IEEE Visualization and Visual Analytics Conference): </w:t>
      </w:r>
      <w:r>
        <w:rPr>
          <w:b w:val="0"/>
          <w:i w:val="0"/>
        </w:rPr>
        <w:t xml:space="preserve">The premier conference on visualization and visual analytics, whose short-paper track suits an interactive in-browser EDA system. Dates: VIS 2026 runs 9-13 November 2026 in Boston; its deadlines have passed, so the target is the VIS 2027 short-paper track once announced. Website: </w:t>
      </w:r>
      <w:hyperlink r:id="rId64">
        <w:r>
          <w:rPr>
            <w:rFonts w:ascii="Times New Roman" w:hAnsi="Times New Roman"/>
            <w:color w:val="0000EE"/>
            <w:u w:val="single"/>
          </w:rPr>
          <w:t xml:space="preserve">https://ieeevis.org/year/2026/welcome/</w:t>
        </w:r>
      </w:hyperlink>
    </w:p>
    <w:p>
      <w:pPr>
        <w:jc w:val="both"/>
      </w:pPr>
      <w:r>
        <w:rPr>
          <w:b/>
          <w:i w:val="0"/>
        </w:rPr>
        <w:t>(c) Software and data.</w:t>
      </w:r>
    </w:p>
    <w:p>
      <w:pPr>
        <w:pStyle w:val="ListBullet"/>
        <w:spacing w:after="80"/>
        <w:jc w:val="both"/>
      </w:pPr>
      <w:r>
        <w:rPr>
          <w:b/>
        </w:rPr>
        <w:t xml:space="preserve">GitHub repository: </w:t>
      </w:r>
      <w:r>
        <w:rPr>
          <w:b w:val="0"/>
          <w:i w:val="0"/>
        </w:rPr>
        <w:t>[GitHub Link]</w:t>
      </w:r>
    </w:p>
    <w:p>
      <w:pPr>
        <w:pStyle w:val="ListBullet"/>
        <w:spacing w:after="80"/>
        <w:jc w:val="both"/>
      </w:pPr>
      <w:r>
        <w:rPr>
          <w:b/>
        </w:rPr>
        <w:t xml:space="preserve">Live website: </w:t>
      </w:r>
      <w:r>
        <w:rPr>
          <w:b w:val="0"/>
          <w:i w:val="0"/>
        </w:rPr>
        <w:t>[Live Website Link]</w:t>
      </w:r>
    </w:p>
    <w:p>
      <w:pPr>
        <w:pStyle w:val="ListBullet"/>
        <w:spacing w:after="80"/>
        <w:jc w:val="both"/>
      </w:pPr>
      <w:r>
        <w:rPr>
          <w:b/>
        </w:rPr>
        <w:t xml:space="preserve">Demo video: </w:t>
      </w:r>
      <w:r>
        <w:rPr>
          <w:b w:val="0"/>
          <w:i w:val="0"/>
        </w:rPr>
        <w:t>[Demo Video Link]</w:t>
      </w:r>
    </w:p>
    <w:p>
      <w:pPr>
        <w:pStyle w:val="ListBullet"/>
        <w:spacing w:after="80"/>
        <w:jc w:val="both"/>
      </w:pPr>
      <w:r>
        <w:rPr>
          <w:b/>
        </w:rPr>
        <w:t xml:space="preserve">Key features: </w:t>
      </w:r>
      <w:r>
        <w:rPr>
          <w:b w:val="0"/>
          <w:i w:val="0"/>
        </w:rPr>
        <w:t>in-browser SQL (DuckDB-WASM), filters and plain-English queries, switchable embedding maps, group comparison with live tests, time-series explorer, shareable URLs.</w:t>
      </w:r>
    </w:p>
    <w:p>
      <w:pPr>
        <w:spacing w:after="0"/>
      </w:pPr>
      <w:r>
        <w:br w:type="page"/>
      </w:r>
    </w:p>
    <w:p>
      <w:pPr>
        <w:pStyle w:val="Heading1"/>
        <w:jc w:val="center"/>
      </w:pPr>
      <w:r>
        <w:t>7. REFERENCES</w:t>
      </w:r>
    </w:p>
    <w:p>
      <w:pPr>
        <w:spacing w:line="276" w:lineRule="auto" w:after="120"/>
        <w:ind w:left="567" w:hanging="567"/>
        <w:jc w:val="left"/>
      </w:pPr>
      <w:r>
        <w:rPr>
          <w:sz w:val="22"/>
        </w:rPr>
        <w:t>[1]</w:t>
        <w:tab/>
        <w:t xml:space="preserve">T. Bertin-Mahieux, D. P. W. Ellis, B. Whitman, P. Lamere, “The Million Song Dataset,” Proc. 12th International Society for Music Information Retrieval Conference (ISMIR 2011), Miami, FL, USA, pp. 591-596, 2011. </w:t>
      </w:r>
      <w:r>
        <w:rPr>
          <w:sz w:val="22"/>
        </w:rPr>
        <w:t xml:space="preserve">Available: </w:t>
      </w:r>
      <w:hyperlink r:id="rId10">
        <w:r>
          <w:rPr>
            <w:rFonts w:ascii="Times New Roman" w:hAnsi="Times New Roman"/>
            <w:color w:val="0000EE"/>
            <w:u w:val="single"/>
            <w:sz w:val="20"/>
          </w:rPr>
          <w:t xml:space="preserve">https://ismir2011.ismir.net/papers/OS6-1.pdf</w:t>
        </w:r>
      </w:hyperlink>
    </w:p>
    <w:p>
      <w:pPr>
        <w:spacing w:line="276" w:lineRule="auto" w:after="120"/>
        <w:ind w:left="567" w:hanging="567"/>
        <w:jc w:val="left"/>
      </w:pPr>
      <w:r>
        <w:rPr>
          <w:sz w:val="22"/>
        </w:rPr>
        <w:t>[2]</w:t>
        <w:tab/>
        <w:t xml:space="preserve">R. Panda, R. Malheiro, R. P. Paiva, “Novel Audio Features for Music Emotion Recognition,” IEEE Transactions on Affective Computing, vol. 11, no. 4, pp. 614-626, 2020, doi: 10.1109/TAFFC.2018.2820691. </w:t>
      </w:r>
      <w:r>
        <w:rPr>
          <w:sz w:val="22"/>
        </w:rPr>
        <w:t xml:space="preserve">Available: </w:t>
      </w:r>
      <w:hyperlink r:id="rId11">
        <w:r>
          <w:rPr>
            <w:rFonts w:ascii="Times New Roman" w:hAnsi="Times New Roman"/>
            <w:color w:val="0000EE"/>
            <w:u w:val="single"/>
            <w:sz w:val="20"/>
          </w:rPr>
          <w:t xml:space="preserve">https://doi.org/10.1109/TAFFC.2018.2820691</w:t>
        </w:r>
      </w:hyperlink>
    </w:p>
    <w:p>
      <w:pPr>
        <w:spacing w:line="276" w:lineRule="auto" w:after="120"/>
        <w:ind w:left="567" w:hanging="567"/>
        <w:jc w:val="left"/>
      </w:pPr>
      <w:r>
        <w:rPr>
          <w:sz w:val="22"/>
        </w:rPr>
        <w:t>[3]</w:t>
        <w:tab/>
        <w:t xml:space="preserve">G. Tzanetakis, P. Cook, “Musical genre classification of audio signals,” IEEE Transactions on Speech and Audio Processing, vol. 10, no. 5, pp. 293-302, Jul. 2002, doi: 10.1109/TSA.2002.800560. </w:t>
      </w:r>
      <w:r>
        <w:rPr>
          <w:sz w:val="22"/>
        </w:rPr>
        <w:t xml:space="preserve">Available: </w:t>
      </w:r>
      <w:hyperlink r:id="rId12">
        <w:r>
          <w:rPr>
            <w:rFonts w:ascii="Times New Roman" w:hAnsi="Times New Roman"/>
            <w:color w:val="0000EE"/>
            <w:u w:val="single"/>
            <w:sz w:val="20"/>
          </w:rPr>
          <w:t xml:space="preserve">https://doi.org/10.1109/TSA.2002.800560</w:t>
        </w:r>
      </w:hyperlink>
    </w:p>
    <w:p>
      <w:pPr>
        <w:spacing w:line="276" w:lineRule="auto" w:after="120"/>
        <w:ind w:left="567" w:hanging="567"/>
        <w:jc w:val="left"/>
      </w:pPr>
      <w:r>
        <w:rPr>
          <w:sz w:val="22"/>
        </w:rPr>
        <w:t>[4]</w:t>
        <w:tab/>
        <w:t xml:space="preserve">K. Choi, G. Fazekas, M. Sandler, K. Cho, “Convolutional recurrent neural networks for music classification,” Proc. 2017 IEEE International Conference on Acoustics, Speech and Signal Processing (ICASSP), New Orleans, LA, USA, pp. 2392-2396, 2017, doi: 10.1109/ICASSP.2017.7952585. </w:t>
      </w:r>
      <w:r>
        <w:rPr>
          <w:sz w:val="22"/>
        </w:rPr>
        <w:t xml:space="preserve">Available: </w:t>
      </w:r>
      <w:hyperlink r:id="rId13">
        <w:r>
          <w:rPr>
            <w:rFonts w:ascii="Times New Roman" w:hAnsi="Times New Roman"/>
            <w:color w:val="0000EE"/>
            <w:u w:val="single"/>
            <w:sz w:val="20"/>
          </w:rPr>
          <w:t xml:space="preserve">https://doi.org/10.1109/ICASSP.2017.7952585</w:t>
        </w:r>
      </w:hyperlink>
    </w:p>
    <w:p>
      <w:pPr>
        <w:spacing w:line="276" w:lineRule="auto" w:after="120"/>
        <w:ind w:left="567" w:hanging="567"/>
        <w:jc w:val="left"/>
      </w:pPr>
      <w:r>
        <w:rPr>
          <w:sz w:val="22"/>
        </w:rPr>
        <w:t>[5]</w:t>
        <w:tab/>
        <w:t xml:space="preserve">B. L. Sturm, “The GTZAN dataset: Its contents, its faults, their effects on evaluation, and its future use,” arXiv preprint arXiv:1306.1461, 2013. </w:t>
      </w:r>
      <w:r>
        <w:rPr>
          <w:sz w:val="22"/>
        </w:rPr>
        <w:t xml:space="preserve">Available: </w:t>
      </w:r>
      <w:hyperlink r:id="rId14">
        <w:r>
          <w:rPr>
            <w:rFonts w:ascii="Times New Roman" w:hAnsi="Times New Roman"/>
            <w:color w:val="0000EE"/>
            <w:u w:val="single"/>
            <w:sz w:val="20"/>
          </w:rPr>
          <w:t xml:space="preserve">https://arxiv.org/abs/1306.1461</w:t>
        </w:r>
      </w:hyperlink>
    </w:p>
    <w:p>
      <w:pPr>
        <w:spacing w:line="276" w:lineRule="auto" w:after="120"/>
        <w:ind w:left="567" w:hanging="567"/>
        <w:jc w:val="left"/>
      </w:pPr>
      <w:r>
        <w:rPr>
          <w:sz w:val="22"/>
        </w:rPr>
        <w:t>[6]</w:t>
        <w:tab/>
        <w:t xml:space="preserve">M. Interiano, K. Kazemi, L. Wang, J. Yang, Z. Yu, N. L. Komarova, “Musical trends and predictability of success in contemporary songs in and out of the top charts,” Royal Society Open Science, vol. 5, no. 5, Art. no. 171274, 2018, doi: 10.1098/rsos.171274. </w:t>
      </w:r>
      <w:r>
        <w:rPr>
          <w:sz w:val="22"/>
        </w:rPr>
        <w:t xml:space="preserve">Available: </w:t>
      </w:r>
      <w:hyperlink r:id="rId15">
        <w:r>
          <w:rPr>
            <w:rFonts w:ascii="Times New Roman" w:hAnsi="Times New Roman"/>
            <w:color w:val="0000EE"/>
            <w:u w:val="single"/>
            <w:sz w:val="20"/>
          </w:rPr>
          <w:t xml:space="preserve">https://doi.org/10.1098/rsos.171274</w:t>
        </w:r>
      </w:hyperlink>
    </w:p>
    <w:p>
      <w:pPr>
        <w:spacing w:line="276" w:lineRule="auto" w:after="120"/>
        <w:ind w:left="567" w:hanging="567"/>
        <w:jc w:val="left"/>
      </w:pPr>
      <w:r>
        <w:rPr>
          <w:sz w:val="22"/>
        </w:rPr>
        <w:t>[7]</w:t>
        <w:tab/>
        <w:t xml:space="preserve">N. Askin, M. Mauskapf, “What Makes Popular Culture Popular? Product Features and Optimal Differentiation in Music,” American Sociological Review, vol. 82, no. 5, pp. 910-944, Oct. 2017, doi: 10.1177/0003122417728662. </w:t>
      </w:r>
      <w:r>
        <w:rPr>
          <w:sz w:val="22"/>
        </w:rPr>
        <w:t xml:space="preserve">Available: </w:t>
      </w:r>
      <w:hyperlink r:id="rId16">
        <w:r>
          <w:rPr>
            <w:rFonts w:ascii="Times New Roman" w:hAnsi="Times New Roman"/>
            <w:color w:val="0000EE"/>
            <w:u w:val="single"/>
            <w:sz w:val="20"/>
          </w:rPr>
          <w:t xml:space="preserve">https://doi.org/10.1177/0003122417728662</w:t>
        </w:r>
      </w:hyperlink>
    </w:p>
    <w:p>
      <w:pPr>
        <w:spacing w:line="276" w:lineRule="auto" w:after="120"/>
        <w:ind w:left="567" w:hanging="567"/>
        <w:jc w:val="left"/>
      </w:pPr>
      <w:r>
        <w:rPr>
          <w:sz w:val="22"/>
        </w:rPr>
        <w:t>[8]</w:t>
        <w:tab/>
        <w:t xml:space="preserve">D. Herremans, D. Martens, K. Sörensen, “Dance Hit Song Prediction,” Journal of New Music Research, vol. 43, no. 3, pp. 291-302, 2014, doi: 10.1080/09298215.2014.881888. </w:t>
      </w:r>
      <w:r>
        <w:rPr>
          <w:sz w:val="22"/>
        </w:rPr>
        <w:t xml:space="preserve">Available: </w:t>
      </w:r>
      <w:hyperlink r:id="rId17">
        <w:r>
          <w:rPr>
            <w:rFonts w:ascii="Times New Roman" w:hAnsi="Times New Roman"/>
            <w:color w:val="0000EE"/>
            <w:u w:val="single"/>
            <w:sz w:val="20"/>
          </w:rPr>
          <w:t xml:space="preserve">https://doi.org/10.1080/09298215.2014.881888</w:t>
        </w:r>
      </w:hyperlink>
    </w:p>
    <w:p>
      <w:pPr>
        <w:spacing w:line="276" w:lineRule="auto" w:after="120"/>
        <w:ind w:left="567" w:hanging="567"/>
        <w:jc w:val="left"/>
      </w:pPr>
      <w:r>
        <w:rPr>
          <w:sz w:val="22"/>
        </w:rPr>
        <w:t>[9]</w:t>
        <w:tab/>
        <w:t xml:space="preserve">J. Serrà, Á. Corral, M. Boguñá, M. Haro, J. Ll. Arcos, “Measuring the Evolution of Contemporary Western Popular Music,” Scientific Reports, vol. 2, Art. no. 521, Jul. 2012, doi: 10.1038/srep00521. </w:t>
      </w:r>
      <w:r>
        <w:rPr>
          <w:sz w:val="22"/>
        </w:rPr>
        <w:t xml:space="preserve">Available: </w:t>
      </w:r>
      <w:hyperlink r:id="rId18">
        <w:r>
          <w:rPr>
            <w:rFonts w:ascii="Times New Roman" w:hAnsi="Times New Roman"/>
            <w:color w:val="0000EE"/>
            <w:u w:val="single"/>
            <w:sz w:val="20"/>
          </w:rPr>
          <w:t xml:space="preserve">https://doi.org/10.1038/srep00521</w:t>
        </w:r>
      </w:hyperlink>
    </w:p>
    <w:p>
      <w:pPr>
        <w:spacing w:line="276" w:lineRule="auto" w:after="120"/>
        <w:ind w:left="567" w:hanging="567"/>
        <w:jc w:val="left"/>
      </w:pPr>
      <w:r>
        <w:rPr>
          <w:sz w:val="22"/>
        </w:rPr>
        <w:t>[10]</w:t>
        <w:tab/>
        <w:t xml:space="preserve">M. Mauch, R. M. MacCallum, M. Levy, A. M. Leroi, “The evolution of popular music: USA 1960-2010,” Royal Society Open Science, vol. 2, no. 5, Art. no. 150081, 2015, doi: 10.1098/rsos.150081. </w:t>
      </w:r>
      <w:r>
        <w:rPr>
          <w:sz w:val="22"/>
        </w:rPr>
        <w:t xml:space="preserve">Available: </w:t>
      </w:r>
      <w:hyperlink r:id="rId19">
        <w:r>
          <w:rPr>
            <w:rFonts w:ascii="Times New Roman" w:hAnsi="Times New Roman"/>
            <w:color w:val="0000EE"/>
            <w:u w:val="single"/>
            <w:sz w:val="20"/>
          </w:rPr>
          <w:t xml:space="preserve">https://doi.org/10.1098/rsos.150081</w:t>
        </w:r>
      </w:hyperlink>
    </w:p>
    <w:p>
      <w:pPr>
        <w:spacing w:line="276" w:lineRule="auto" w:after="120"/>
        <w:ind w:left="567" w:hanging="567"/>
        <w:jc w:val="left"/>
      </w:pPr>
      <w:r>
        <w:rPr>
          <w:sz w:val="22"/>
        </w:rPr>
        <w:t>[11]</w:t>
        <w:tab/>
        <w:t xml:space="preserve">C. Hutto, E. Gilbert, “VADER: A Parsimonious Rule-Based Model for Sentiment Analysis of Social Media Text,” Proc. International AAAI Conference on Web and Social Media (ICWSM), vol. 8, no. 1, pp. 216-225, 2014, doi: 10.1609/icwsm.v8i1.14550. </w:t>
      </w:r>
      <w:r>
        <w:rPr>
          <w:sz w:val="22"/>
        </w:rPr>
        <w:t xml:space="preserve">Available: </w:t>
      </w:r>
      <w:hyperlink r:id="rId20">
        <w:r>
          <w:rPr>
            <w:rFonts w:ascii="Times New Roman" w:hAnsi="Times New Roman"/>
            <w:color w:val="0000EE"/>
            <w:u w:val="single"/>
            <w:sz w:val="20"/>
          </w:rPr>
          <w:t xml:space="preserve">https://doi.org/10.1609/icwsm.v8i1.14550</w:t>
        </w:r>
      </w:hyperlink>
    </w:p>
    <w:p>
      <w:pPr>
        <w:spacing w:line="276" w:lineRule="auto" w:after="120"/>
        <w:ind w:left="567" w:hanging="567"/>
        <w:jc w:val="left"/>
      </w:pPr>
      <w:r>
        <w:rPr>
          <w:sz w:val="22"/>
        </w:rPr>
        <w:t>[12]</w:t>
        <w:tab/>
        <w:t xml:space="preserve">C. O. Brand, A. Acerbi, A. Mesoudi, “Cultural evolution of emotional expression in 50 years of song lyrics,” Evolutionary Human Sciences, vol. 1, Art. no. e11, 2019, doi: 10.1017/ehs.2019.11. </w:t>
      </w:r>
      <w:r>
        <w:rPr>
          <w:sz w:val="22"/>
        </w:rPr>
        <w:t xml:space="preserve">Available: </w:t>
      </w:r>
      <w:hyperlink r:id="rId21">
        <w:r>
          <w:rPr>
            <w:rFonts w:ascii="Times New Roman" w:hAnsi="Times New Roman"/>
            <w:color w:val="0000EE"/>
            <w:u w:val="single"/>
            <w:sz w:val="20"/>
          </w:rPr>
          <w:t xml:space="preserve">https://doi.org/10.1017/ehs.2019.11</w:t>
        </w:r>
      </w:hyperlink>
    </w:p>
    <w:p>
      <w:pPr>
        <w:spacing w:line="276" w:lineRule="auto" w:after="120"/>
        <w:ind w:left="567" w:hanging="567"/>
        <w:jc w:val="left"/>
      </w:pPr>
      <w:r>
        <w:rPr>
          <w:sz w:val="22"/>
        </w:rPr>
        <w:t>[13]</w:t>
        <w:tab/>
        <w:t xml:space="preserve">M. Fell, C. Sporleder, “Lyrics-based Analysis and Classification of Music,” Proc. COLING 2014, the 25th International Conference on Computational Linguistics: Technical Papers, Dublin, Ireland, pp. 620-631, Aug. 2014. </w:t>
      </w:r>
      <w:r>
        <w:rPr>
          <w:sz w:val="22"/>
        </w:rPr>
        <w:t xml:space="preserve">Available: </w:t>
      </w:r>
      <w:hyperlink r:id="rId22">
        <w:r>
          <w:rPr>
            <w:rFonts w:ascii="Times New Roman" w:hAnsi="Times New Roman"/>
            <w:color w:val="0000EE"/>
            <w:u w:val="single"/>
            <w:sz w:val="20"/>
          </w:rPr>
          <w:t xml:space="preserve">https://aclanthology.org/C14-1059/</w:t>
        </w:r>
      </w:hyperlink>
    </w:p>
    <w:p>
      <w:pPr>
        <w:spacing w:line="276" w:lineRule="auto" w:after="120"/>
        <w:ind w:left="567" w:hanging="567"/>
        <w:jc w:val="left"/>
      </w:pPr>
      <w:r>
        <w:rPr>
          <w:sz w:val="22"/>
        </w:rPr>
        <w:t>[14]</w:t>
        <w:tab/>
        <w:t xml:space="preserve">A. van den Oord, S. Dieleman, B. Schrauwen, “Deep content-based music recommendation,” Advances in Neural Information Processing Systems 26 (NIPS 2013), 2013. </w:t>
      </w:r>
      <w:r>
        <w:rPr>
          <w:sz w:val="22"/>
        </w:rPr>
        <w:t xml:space="preserve">Available: </w:t>
      </w:r>
      <w:hyperlink r:id="rId23">
        <w:r>
          <w:rPr>
            <w:rFonts w:ascii="Times New Roman" w:hAnsi="Times New Roman"/>
            <w:color w:val="0000EE"/>
            <w:u w:val="single"/>
            <w:sz w:val="20"/>
          </w:rPr>
          <w:t xml:space="preserve">https://papers.nips.cc/paper_files/paper/2013/hash/b3ba8f1bee1238a2f37603d90b58898d-Abstract.html</w:t>
        </w:r>
      </w:hyperlink>
    </w:p>
    <w:p>
      <w:pPr>
        <w:spacing w:line="276" w:lineRule="auto" w:after="120"/>
        <w:ind w:left="567" w:hanging="567"/>
        <w:jc w:val="left"/>
      </w:pPr>
      <w:r>
        <w:rPr>
          <w:sz w:val="22"/>
        </w:rPr>
        <w:t>[15]</w:t>
        <w:tab/>
        <w:t xml:space="preserve">M. Schedl, H. Zamani, C.-W. Chen, Y. Deldjoo, M. Elahi, “Current challenges and visions in music recommender systems research,” International Journal of Multimedia Information Retrieval, vol. 7, no. 2, pp. 95-116, Jun. 2018, doi: 10.1007/s13735-018-0154-2. </w:t>
      </w:r>
      <w:r>
        <w:rPr>
          <w:sz w:val="22"/>
        </w:rPr>
        <w:t xml:space="preserve">Available: </w:t>
      </w:r>
      <w:hyperlink r:id="rId24">
        <w:r>
          <w:rPr>
            <w:rFonts w:ascii="Times New Roman" w:hAnsi="Times New Roman"/>
            <w:color w:val="0000EE"/>
            <w:u w:val="single"/>
            <w:sz w:val="20"/>
          </w:rPr>
          <w:t xml:space="preserve">https://doi.org/10.1007/s13735-018-0154-2</w:t>
        </w:r>
      </w:hyperlink>
    </w:p>
    <w:p>
      <w:pPr>
        <w:spacing w:line="276" w:lineRule="auto" w:after="120"/>
        <w:ind w:left="567" w:hanging="567"/>
        <w:jc w:val="left"/>
      </w:pPr>
      <w:r>
        <w:rPr>
          <w:sz w:val="22"/>
        </w:rPr>
        <w:t>[16]</w:t>
        <w:tab/>
        <w:t xml:space="preserve">L. van der Maaten, G. Hinton, “Visualizing Data using t-SNE,” Journal of Machine Learning Research, vol. 9, no. 86, pp. 2579-2605, 2008. </w:t>
      </w:r>
      <w:r>
        <w:rPr>
          <w:sz w:val="22"/>
        </w:rPr>
        <w:t xml:space="preserve">Available: </w:t>
      </w:r>
      <w:hyperlink r:id="rId25">
        <w:r>
          <w:rPr>
            <w:rFonts w:ascii="Times New Roman" w:hAnsi="Times New Roman"/>
            <w:color w:val="0000EE"/>
            <w:u w:val="single"/>
            <w:sz w:val="20"/>
          </w:rPr>
          <w:t xml:space="preserve">https://www.jmlr.org/papers/v9/vandermaaten08a.html</w:t>
        </w:r>
      </w:hyperlink>
    </w:p>
    <w:p>
      <w:pPr>
        <w:spacing w:line="276" w:lineRule="auto" w:after="120"/>
        <w:ind w:left="567" w:hanging="567"/>
        <w:jc w:val="left"/>
      </w:pPr>
      <w:r>
        <w:rPr>
          <w:sz w:val="22"/>
        </w:rPr>
        <w:t>[17]</w:t>
        <w:tab/>
        <w:t xml:space="preserve">S. T. Roweis, L. K. Saul, “Nonlinear Dimensionality Reduction by Locally Linear Embedding,” Science, vol. 290, no. 5500, pp. 2323-2326, Dec. 2000, doi: 10.1126/science.290.5500.2323. </w:t>
      </w:r>
      <w:r>
        <w:rPr>
          <w:sz w:val="22"/>
        </w:rPr>
        <w:t xml:space="preserve">Available: </w:t>
      </w:r>
      <w:hyperlink r:id="rId26">
        <w:r>
          <w:rPr>
            <w:rFonts w:ascii="Times New Roman" w:hAnsi="Times New Roman"/>
            <w:color w:val="0000EE"/>
            <w:u w:val="single"/>
            <w:sz w:val="20"/>
          </w:rPr>
          <w:t xml:space="preserve">https://doi.org/10.1126/science.290.5500.2323</w:t>
        </w:r>
      </w:hyperlink>
    </w:p>
    <w:p>
      <w:pPr>
        <w:spacing w:line="276" w:lineRule="auto" w:after="120"/>
        <w:ind w:left="567" w:hanging="567"/>
        <w:jc w:val="left"/>
      </w:pPr>
      <w:r>
        <w:rPr>
          <w:sz w:val="22"/>
        </w:rPr>
        <w:t>[18]</w:t>
        <w:tab/>
        <w:t xml:space="preserve">L. McInnes, J. Healy, J. Melville, “UMAP: Uniform Manifold Approximation and Projection for Dimension Reduction,” arXiv preprint arXiv:1802.03426, 2018. </w:t>
      </w:r>
      <w:r>
        <w:rPr>
          <w:sz w:val="22"/>
        </w:rPr>
        <w:t xml:space="preserve">Available: </w:t>
      </w:r>
      <w:hyperlink r:id="rId27">
        <w:r>
          <w:rPr>
            <w:rFonts w:ascii="Times New Roman" w:hAnsi="Times New Roman"/>
            <w:color w:val="0000EE"/>
            <w:u w:val="single"/>
            <w:sz w:val="20"/>
          </w:rPr>
          <w:t xml:space="preserve">https://arxiv.org/abs/1802.03426</w:t>
        </w:r>
      </w:hyperlink>
    </w:p>
    <w:p>
      <w:pPr>
        <w:spacing w:line="276" w:lineRule="auto" w:after="120"/>
        <w:ind w:left="567" w:hanging="567"/>
        <w:jc w:val="left"/>
      </w:pPr>
      <w:r>
        <w:rPr>
          <w:sz w:val="22"/>
        </w:rPr>
        <w:t>[19]</w:t>
        <w:tab/>
        <w:t xml:space="preserve">I. T. Jolliffe, J. Cadima, “Principal component analysis: a review and recent developments,” Philosophical Transactions of the Royal Society A: Mathematical, Physical and Engineering Sciences, vol. 374, no. 2065, Art. no. 20150202, Apr. 2016, doi: 10.1098/rsta.2015.0202. </w:t>
      </w:r>
      <w:r>
        <w:rPr>
          <w:sz w:val="22"/>
        </w:rPr>
        <w:t xml:space="preserve">Available: </w:t>
      </w:r>
      <w:hyperlink r:id="rId28">
        <w:r>
          <w:rPr>
            <w:rFonts w:ascii="Times New Roman" w:hAnsi="Times New Roman"/>
            <w:color w:val="0000EE"/>
            <w:u w:val="single"/>
            <w:sz w:val="20"/>
          </w:rPr>
          <w:t xml:space="preserve">https://doi.org/10.1098/rsta.2015.0202</w:t>
        </w:r>
      </w:hyperlink>
    </w:p>
    <w:p>
      <w:pPr>
        <w:spacing w:line="276" w:lineRule="auto" w:after="120"/>
        <w:ind w:left="567" w:hanging="567"/>
        <w:jc w:val="left"/>
      </w:pPr>
      <w:r>
        <w:rPr>
          <w:sz w:val="22"/>
        </w:rPr>
        <w:t>[20]</w:t>
        <w:tab/>
        <w:t xml:space="preserve">T. Milo, A. Somech, “Automating Exploratory Data Analysis via Machine Learning: An Overview,” Proc. 2020 ACM SIGMOD International Conference on Management of Data, Portland, OR, USA, pp. 2617-2622, 2020, doi: 10.1145/3318464.3383126. </w:t>
      </w:r>
      <w:r>
        <w:rPr>
          <w:sz w:val="22"/>
        </w:rPr>
        <w:t xml:space="preserve">Available: </w:t>
      </w:r>
      <w:hyperlink r:id="rId29">
        <w:r>
          <w:rPr>
            <w:rFonts w:ascii="Times New Roman" w:hAnsi="Times New Roman"/>
            <w:color w:val="0000EE"/>
            <w:u w:val="single"/>
            <w:sz w:val="20"/>
          </w:rPr>
          <w:t xml:space="preserve">https://doi.org/10.1145/3318464.3383126</w:t>
        </w:r>
      </w:hyperlink>
    </w:p>
    <w:p>
      <w:pPr>
        <w:spacing w:line="276" w:lineRule="auto" w:after="120"/>
        <w:ind w:left="567" w:hanging="567"/>
        <w:jc w:val="left"/>
      </w:pPr>
      <w:r>
        <w:rPr>
          <w:sz w:val="22"/>
        </w:rPr>
        <w:t>[21]</w:t>
        <w:tab/>
        <w:t xml:space="preserve">K. Wongsuphasawat, D. Moritz, A. Anand, J. Mackinlay, B. Howe, J. Heer, “Voyager: Exploratory Analysis via Faceted Browsing of Visualization Recommendations,” IEEE Transactions on Visualization and Computer Graphics, vol. 22, no. 1, pp. 649-658, Jan. 2016, doi: 10.1109/TVCG.2015.2467191. </w:t>
      </w:r>
      <w:r>
        <w:rPr>
          <w:sz w:val="22"/>
        </w:rPr>
        <w:t xml:space="preserve">Available: </w:t>
      </w:r>
      <w:hyperlink r:id="rId30">
        <w:r>
          <w:rPr>
            <w:rFonts w:ascii="Times New Roman" w:hAnsi="Times New Roman"/>
            <w:color w:val="0000EE"/>
            <w:u w:val="single"/>
            <w:sz w:val="20"/>
          </w:rPr>
          <w:t xml:space="preserve">https://doi.org/10.1109/TVCG.2015.2467191</w:t>
        </w:r>
      </w:hyperlink>
    </w:p>
    <w:p>
      <w:pPr>
        <w:spacing w:line="276" w:lineRule="auto" w:after="120"/>
        <w:ind w:left="567" w:hanging="567"/>
        <w:jc w:val="left"/>
      </w:pPr>
      <w:r>
        <w:rPr>
          <w:sz w:val="22"/>
        </w:rPr>
        <w:t>[22]</w:t>
        <w:tab/>
        <w:t xml:space="preserve">M. Raasveldt, H. Mühleisen, “DuckDB: an Embeddable Analytical Database,” Proc. 2019 International Conference on Management of Data (SIGMOD '19), Amsterdam, Netherlands, pp. 1981-1984, 2019, doi: 10.1145/3299869.3320212. </w:t>
      </w:r>
      <w:r>
        <w:rPr>
          <w:sz w:val="22"/>
        </w:rPr>
        <w:t xml:space="preserve">Available: </w:t>
      </w:r>
      <w:hyperlink r:id="rId31">
        <w:r>
          <w:rPr>
            <w:rFonts w:ascii="Times New Roman" w:hAnsi="Times New Roman"/>
            <w:color w:val="0000EE"/>
            <w:u w:val="single"/>
            <w:sz w:val="20"/>
          </w:rPr>
          <w:t xml:space="preserve">https://doi.org/10.1145/3299869.3320212</w:t>
        </w:r>
      </w:hyperlink>
    </w:p>
    <w:p>
      <w:pPr>
        <w:spacing w:line="276" w:lineRule="auto" w:after="120"/>
        <w:ind w:left="567" w:hanging="567"/>
        <w:jc w:val="left"/>
      </w:pPr>
      <w:r>
        <w:rPr>
          <w:sz w:val="22"/>
        </w:rPr>
        <w:t>[23]</w:t>
        <w:tab/>
        <w:t xml:space="preserve">J. Heer, D. Moritz, “Mosaic: An Architecture for Scalable &amp; Interoperable Data Views,” IEEE Transactions on Visualization and Computer Graphics, vol. 30, no. 1, 2024 (early access 2023), doi: 10.1109/TVCG.2023.3327189. </w:t>
      </w:r>
      <w:r>
        <w:rPr>
          <w:sz w:val="22"/>
        </w:rPr>
        <w:t xml:space="preserve">Available: </w:t>
      </w:r>
      <w:hyperlink r:id="rId32">
        <w:r>
          <w:rPr>
            <w:rFonts w:ascii="Times New Roman" w:hAnsi="Times New Roman"/>
            <w:color w:val="0000EE"/>
            <w:u w:val="single"/>
            <w:sz w:val="20"/>
          </w:rPr>
          <w:t xml:space="preserve">https://doi.org/10.1109/TVCG.2023.3327189</w:t>
        </w:r>
      </w:hyperlink>
    </w:p>
    <w:p>
      <w:pPr>
        <w:spacing w:line="276" w:lineRule="auto" w:after="120"/>
        <w:ind w:left="567" w:hanging="567"/>
        <w:jc w:val="left"/>
      </w:pPr>
      <w:r>
        <w:rPr>
          <w:sz w:val="22"/>
        </w:rPr>
        <w:t>[24]</w:t>
        <w:tab/>
        <w:t xml:space="preserve">A. Satyanarayan, D. Moritz, K. Wongsuphasawat, J. Heer, “Vega-Lite: A Grammar of Interactive Graphics,” IEEE Transactions on Visualization and Computer Graphics, vol. 23, no. 1, pp. 341-350, Jan. 2017, doi: 10.1109/TVCG.2016.2599030. </w:t>
      </w:r>
      <w:r>
        <w:rPr>
          <w:sz w:val="22"/>
        </w:rPr>
        <w:t xml:space="preserve">Available: </w:t>
      </w:r>
      <w:hyperlink r:id="rId33">
        <w:r>
          <w:rPr>
            <w:rFonts w:ascii="Times New Roman" w:hAnsi="Times New Roman"/>
            <w:color w:val="0000EE"/>
            <w:u w:val="single"/>
            <w:sz w:val="20"/>
          </w:rPr>
          <w:t xml:space="preserve">https://doi.org/10.1109/TVCG.2016.2599030</w:t>
        </w:r>
      </w:hyperlink>
    </w:p>
    <w:p>
      <w:pPr>
        <w:spacing w:line="276" w:lineRule="auto" w:after="120"/>
        <w:ind w:left="567" w:hanging="567"/>
        <w:jc w:val="left"/>
      </w:pPr>
      <w:r>
        <w:rPr>
          <w:sz w:val="22"/>
        </w:rPr>
        <w:t>[25]</w:t>
        <w:tab/>
        <w:t xml:space="preserve">D. H. da Silva, L. R. da Silva Souza, C. T. Ribeiro, S. H. da Silva Brasileiro, J. R. M. Nardo, A. A. Pereira, A. de O. Andrade, “A Web Application for exploratory data analysis and classification of Parkinson's Disease patients using machine learning models on different datasets,” Software Impacts, vol. 23, Art. no. 100737, Mar. 2025, doi: 10.1016/j.simpa.2024.100737. </w:t>
      </w:r>
      <w:r>
        <w:rPr>
          <w:sz w:val="22"/>
        </w:rPr>
        <w:t xml:space="preserve">Available: </w:t>
      </w:r>
      <w:hyperlink r:id="rId34">
        <w:r>
          <w:rPr>
            <w:rFonts w:ascii="Times New Roman" w:hAnsi="Times New Roman"/>
            <w:color w:val="0000EE"/>
            <w:u w:val="single"/>
            <w:sz w:val="20"/>
          </w:rPr>
          <w:t xml:space="preserve">https://doi.org/10.1016/j.simpa.2024.100737</w:t>
        </w:r>
      </w:hyperlink>
    </w:p>
    <w:p>
      <w:pPr>
        <w:spacing w:line="276" w:lineRule="auto" w:after="120"/>
        <w:ind w:left="567" w:hanging="567"/>
        <w:jc w:val="left"/>
      </w:pPr>
      <w:r>
        <w:rPr>
          <w:sz w:val="22"/>
        </w:rPr>
        <w:t>[26]</w:t>
        <w:tab/>
        <w:t xml:space="preserve">F. Pedregosa, G. Varoquaux, A. Gramfort, V. Michel, B. Thirion, O. Grisel, M. Blondel, P. Prettenhofer, R. Weiss, V. Dubourg, J. Vanderplas, A. Passos, D. Cournapeau, M. Brucher, M. Perrot, É. Duchesnay, “Scikit-learn: Machine Learning in Python,” Journal of Machine Learning Research, vol. 12, no. 85, pp. 2825-2830, 2011. </w:t>
      </w:r>
      <w:r>
        <w:rPr>
          <w:sz w:val="22"/>
        </w:rPr>
        <w:t xml:space="preserve">Available: </w:t>
      </w:r>
      <w:hyperlink r:id="rId65">
        <w:r>
          <w:rPr>
            <w:rFonts w:ascii="Times New Roman" w:hAnsi="Times New Roman"/>
            <w:color w:val="0000EE"/>
            <w:u w:val="single"/>
            <w:sz w:val="20"/>
          </w:rPr>
          <w:t xml:space="preserve">https://jmlr.org/papers/v12/pedregosa11a.html</w:t>
        </w:r>
      </w:hyperlink>
    </w:p>
    <w:p>
      <w:pPr>
        <w:spacing w:line="276" w:lineRule="auto" w:after="120"/>
        <w:ind w:left="567" w:hanging="567"/>
        <w:jc w:val="left"/>
      </w:pPr>
      <w:r>
        <w:rPr>
          <w:sz w:val="22"/>
        </w:rPr>
        <w:t>[27]</w:t>
        <w:tab/>
        <w:t xml:space="preserve">W. McKinney, “Data Structures for Statistical Computing in Python,” Proc. Python in Science Conference (SciPy 2010), pp. 56-61, 2010, doi: 10.25080/Majora-92bf1922-00a. </w:t>
      </w:r>
      <w:r>
        <w:rPr>
          <w:sz w:val="22"/>
        </w:rPr>
        <w:t xml:space="preserve">Available: </w:t>
      </w:r>
      <w:hyperlink r:id="rId66">
        <w:r>
          <w:rPr>
            <w:rFonts w:ascii="Times New Roman" w:hAnsi="Times New Roman"/>
            <w:color w:val="0000EE"/>
            <w:u w:val="single"/>
            <w:sz w:val="20"/>
          </w:rPr>
          <w:t xml:space="preserve">https://doi.org/10.25080/Majora-92bf1922-00a</w:t>
        </w:r>
      </w:hyperlink>
    </w:p>
    <w:p>
      <w:pPr>
        <w:spacing w:line="276" w:lineRule="auto" w:after="120"/>
        <w:ind w:left="567" w:hanging="567"/>
        <w:jc w:val="left"/>
      </w:pPr>
      <w:r>
        <w:rPr>
          <w:sz w:val="22"/>
        </w:rPr>
        <w:t>[28]</w:t>
        <w:tab/>
        <w:t xml:space="preserve">A. Kohn, D. Moritz, M. Raasveldt, H. Mühleisen, T. Neumann, “DuckDB-Wasm: Fast Analytical Processing for the Web,” Proceedings of the VLDB Endowment, vol. 15, no. 12, pp. 3574-3577, Aug. 2022, doi: 10.14778/3554821.3554847. </w:t>
      </w:r>
      <w:r>
        <w:rPr>
          <w:sz w:val="22"/>
        </w:rPr>
        <w:t xml:space="preserve">Available: </w:t>
      </w:r>
      <w:hyperlink r:id="rId67">
        <w:r>
          <w:rPr>
            <w:rFonts w:ascii="Times New Roman" w:hAnsi="Times New Roman"/>
            <w:color w:val="0000EE"/>
            <w:u w:val="single"/>
            <w:sz w:val="20"/>
          </w:rPr>
          <w:t xml:space="preserve">https://doi.org/10.14778/3554821.3554847</w:t>
        </w:r>
      </w:hyperlink>
    </w:p>
    <w:p>
      <w:pPr>
        <w:spacing w:line="276" w:lineRule="auto" w:after="120"/>
        <w:ind w:left="567" w:hanging="567"/>
        <w:jc w:val="left"/>
      </w:pPr>
      <w:r>
        <w:rPr>
          <w:sz w:val="22"/>
        </w:rPr>
        <w:t>[29]</w:t>
        <w:tab/>
        <w:t xml:space="preserve">YData (ydataai), “ydata-profiling (formerly pandas-profiling),” Open-source Python package, GitHub / PyPI (v4.18.4 on PyPI at time of check). </w:t>
      </w:r>
      <w:r>
        <w:rPr>
          <w:sz w:val="22"/>
        </w:rPr>
        <w:t xml:space="preserve">Available: </w:t>
      </w:r>
      <w:hyperlink r:id="rId68">
        <w:r>
          <w:rPr>
            <w:rFonts w:ascii="Times New Roman" w:hAnsi="Times New Roman"/>
            <w:color w:val="0000EE"/>
            <w:u w:val="single"/>
            <w:sz w:val="20"/>
          </w:rPr>
          <w:t xml:space="preserve">https://github.com/ydataai/ydata-profiling</w:t>
        </w:r>
      </w:hyperlink>
    </w:p>
    <w:p>
      <w:pPr>
        <w:spacing w:line="276" w:lineRule="auto" w:after="120"/>
        <w:ind w:left="567" w:hanging="567"/>
        <w:jc w:val="left"/>
      </w:pPr>
      <w:r>
        <w:rPr>
          <w:sz w:val="22"/>
        </w:rPr>
        <w:t>[30]</w:t>
        <w:tab/>
        <w:t xml:space="preserve">F. Bertrand (fbdesignpro), “Sweetviz,” Open-source Python package, GitHub / PyPI (v2.3.3 on PyPI at time of check). </w:t>
      </w:r>
      <w:r>
        <w:rPr>
          <w:sz w:val="22"/>
        </w:rPr>
        <w:t xml:space="preserve">Available: </w:t>
      </w:r>
      <w:hyperlink r:id="rId69">
        <w:r>
          <w:rPr>
            <w:rFonts w:ascii="Times New Roman" w:hAnsi="Times New Roman"/>
            <w:color w:val="0000EE"/>
            <w:u w:val="single"/>
            <w:sz w:val="20"/>
          </w:rPr>
          <w:t xml:space="preserve">https://github.com/fbdesignpro/sweetviz</w:t>
        </w:r>
      </w:hyperlink>
    </w:p>
    <w:p>
      <w:pPr>
        <w:spacing w:line="276" w:lineRule="auto" w:after="120"/>
        <w:ind w:left="567" w:hanging="567"/>
        <w:jc w:val="left"/>
      </w:pPr>
      <w:r>
        <w:rPr>
          <w:sz w:val="22"/>
        </w:rPr>
        <w:t>[31]</w:t>
        <w:tab/>
        <w:t xml:space="preserve">Man Group (man-group), “D-Tale,” Open-source Python package, GitHub / PyPI (v3.22.0 on PyPI at time of check). </w:t>
      </w:r>
      <w:r>
        <w:rPr>
          <w:sz w:val="22"/>
        </w:rPr>
        <w:t xml:space="preserve">Available: </w:t>
      </w:r>
      <w:hyperlink r:id="rId70">
        <w:r>
          <w:rPr>
            <w:rFonts w:ascii="Times New Roman" w:hAnsi="Times New Roman"/>
            <w:color w:val="0000EE"/>
            <w:u w:val="single"/>
            <w:sz w:val="20"/>
          </w:rPr>
          <w:t xml:space="preserve">https://github.com/man-group/dtale</w:t>
        </w:r>
      </w:hyperlink>
    </w:p>
    <w:p>
      <w:pPr>
        <w:spacing w:line="276" w:lineRule="auto" w:after="120"/>
        <w:ind w:left="567" w:hanging="567"/>
        <w:jc w:val="left"/>
      </w:pPr>
      <w:r>
        <w:rPr>
          <w:sz w:val="22"/>
        </w:rPr>
        <w:t>[32]</w:t>
        <w:tab/>
        <w:t xml:space="preserve">C. Truong, L. Oudre, N. Vayatis, “Selective review of offline change point detection methods,” Signal Processing, vol. 167, Art. no. 107299, Feb. 2020, doi: 10.1016/j.sigpro.2019.107299. </w:t>
      </w:r>
      <w:r>
        <w:rPr>
          <w:sz w:val="22"/>
        </w:rPr>
        <w:t xml:space="preserve">Available: </w:t>
      </w:r>
      <w:hyperlink r:id="rId71">
        <w:r>
          <w:rPr>
            <w:rFonts w:ascii="Times New Roman" w:hAnsi="Times New Roman"/>
            <w:color w:val="0000EE"/>
            <w:u w:val="single"/>
            <w:sz w:val="20"/>
          </w:rPr>
          <w:t xml:space="preserve">https://doi.org/10.1016/j.sigpro.2019.107299</w:t>
        </w:r>
      </w:hyperlink>
    </w:p>
    <w:p>
      <w:pPr>
        <w:spacing w:line="276" w:lineRule="auto" w:after="120"/>
        <w:ind w:left="567" w:hanging="567"/>
        <w:jc w:val="left"/>
      </w:pPr>
      <w:r>
        <w:rPr>
          <w:sz w:val="22"/>
        </w:rPr>
        <w:t>[33]</w:t>
        <w:tab/>
        <w:t xml:space="preserve">R. B. Cleveland, W. S. Cleveland, J. E. McRae, I. Terpenning, “STL: A Seasonal-Trend Decomposition Procedure Based on Loess,” Journal of Official Statistics, vol. 6, no. 1, pp. 3-73, 1990. </w:t>
      </w:r>
      <w:r>
        <w:rPr>
          <w:sz w:val="22"/>
        </w:rPr>
        <w:t xml:space="preserve">Available: </w:t>
      </w:r>
      <w:hyperlink r:id="rId72">
        <w:r>
          <w:rPr>
            <w:rFonts w:ascii="Times New Roman" w:hAnsi="Times New Roman"/>
            <w:color w:val="0000EE"/>
            <w:u w:val="single"/>
            <w:sz w:val="20"/>
          </w:rPr>
          <w:t xml:space="preserve">https://www.statsmodels.org/dev/generated/statsmodels.tsa.seasonal.STL.html</w:t>
        </w:r>
      </w:hyperlink>
    </w:p>
    <w:p>
      <w:pPr>
        <w:spacing w:line="276" w:lineRule="auto" w:after="120"/>
        <w:ind w:left="567" w:hanging="567"/>
        <w:jc w:val="left"/>
      </w:pPr>
      <w:r>
        <w:rPr>
          <w:sz w:val="22"/>
        </w:rPr>
        <w:t>[34]</w:t>
        <w:tab/>
        <w:t xml:space="preserve">S. van Buuren, K. Groothuis-Oudshoorn, “mice: Multivariate Imputation by Chained Equations in R,” Journal of Statistical Software, vol. 45, no. 3, 2011, doi: 10.18637/jss.v045.i03. </w:t>
      </w:r>
      <w:r>
        <w:rPr>
          <w:sz w:val="22"/>
        </w:rPr>
        <w:t xml:space="preserve">Available: </w:t>
      </w:r>
      <w:hyperlink r:id="rId73">
        <w:r>
          <w:rPr>
            <w:rFonts w:ascii="Times New Roman" w:hAnsi="Times New Roman"/>
            <w:color w:val="0000EE"/>
            <w:u w:val="single"/>
            <w:sz w:val="20"/>
          </w:rPr>
          <w:t xml:space="preserve">https://doi.org/10.18637/jss.v045.i03</w:t>
        </w:r>
      </w:hyperlink>
    </w:p>
    <w:p>
      <w:pPr>
        <w:spacing w:line="276" w:lineRule="auto" w:after="120"/>
        <w:ind w:left="567" w:hanging="567"/>
        <w:jc w:val="left"/>
      </w:pPr>
      <w:r>
        <w:rPr>
          <w:sz w:val="22"/>
        </w:rPr>
        <w:t>[35]</w:t>
        <w:tab/>
        <w:t xml:space="preserve">F. T. Liu, K. M. Ting, Z.-H. Zhou, “Isolation Forest,” Proc. 2008 Eighth IEEE International Conference on Data Mining (ICDM), Pisa, Italy, pp. 413-422, 2008, doi: 10.1109/ICDM.2008.17. </w:t>
      </w:r>
      <w:r>
        <w:rPr>
          <w:sz w:val="22"/>
        </w:rPr>
        <w:t xml:space="preserve">Available: </w:t>
      </w:r>
      <w:hyperlink r:id="rId74">
        <w:r>
          <w:rPr>
            <w:rFonts w:ascii="Times New Roman" w:hAnsi="Times New Roman"/>
            <w:color w:val="0000EE"/>
            <w:u w:val="single"/>
            <w:sz w:val="20"/>
          </w:rPr>
          <w:t xml:space="preserve">https://doi.org/10.1109/ICDM.2008.17</w:t>
        </w:r>
      </w:hyperlink>
    </w:p>
    <w:p>
      <w:pPr>
        <w:spacing w:line="276" w:lineRule="auto" w:after="120"/>
        <w:ind w:left="567" w:hanging="567"/>
        <w:jc w:val="left"/>
      </w:pPr>
      <w:r>
        <w:rPr>
          <w:sz w:val="22"/>
        </w:rPr>
        <w:t>[36]</w:t>
        <w:tab/>
        <w:t xml:space="preserve">rodolfofigueroa (Kaggle user), “Spotify 1.2M+ Songs,” Kaggle dataset. </w:t>
      </w:r>
      <w:r>
        <w:rPr>
          <w:sz w:val="22"/>
        </w:rPr>
        <w:t xml:space="preserve">Available: </w:t>
      </w:r>
      <w:hyperlink r:id="rId75">
        <w:r>
          <w:rPr>
            <w:rFonts w:ascii="Times New Roman" w:hAnsi="Times New Roman"/>
            <w:color w:val="0000EE"/>
            <w:u w:val="single"/>
            <w:sz w:val="20"/>
          </w:rPr>
          <w:t xml:space="preserve">https://www.kaggle.com/datasets/rodolfofigueroa/spotify-12m-songs</w:t>
        </w:r>
      </w:hyperlink>
    </w:p>
    <w:p>
      <w:pPr>
        <w:spacing w:line="276" w:lineRule="auto" w:after="120"/>
        <w:ind w:left="567" w:hanging="567"/>
        <w:jc w:val="left"/>
      </w:pPr>
      <w:r>
        <w:rPr>
          <w:sz w:val="22"/>
        </w:rPr>
        <w:t>[37]</w:t>
        <w:tab/>
        <w:t xml:space="preserve">maharshipandya (Kaggle user), “Spotify Tracks Dataset,” Kaggle dataset. </w:t>
      </w:r>
      <w:r>
        <w:rPr>
          <w:sz w:val="22"/>
        </w:rPr>
        <w:t xml:space="preserve">Available: </w:t>
      </w:r>
      <w:hyperlink r:id="rId76">
        <w:r>
          <w:rPr>
            <w:rFonts w:ascii="Times New Roman" w:hAnsi="Times New Roman"/>
            <w:color w:val="0000EE"/>
            <w:u w:val="single"/>
            <w:sz w:val="20"/>
          </w:rPr>
          <w:t xml:space="preserve">https://www.kaggle.com/datasets/maharshipandya/-spotify-tracks-dataset</w:t>
        </w:r>
      </w:hyperlink>
    </w:p>
    <w:p>
      <w:pPr>
        <w:spacing w:line="276" w:lineRule="auto" w:after="120"/>
        <w:ind w:left="567" w:hanging="567"/>
        <w:jc w:val="left"/>
      </w:pPr>
      <w:r>
        <w:rPr>
          <w:sz w:val="22"/>
        </w:rPr>
        <w:t>[38]</w:t>
        <w:tab/>
        <w:t xml:space="preserve">carlosgdcj (Kaggle user), “Genius Song Lyrics,” Kaggle dataset. </w:t>
      </w:r>
      <w:r>
        <w:rPr>
          <w:sz w:val="22"/>
        </w:rPr>
        <w:t xml:space="preserve">Available: </w:t>
      </w:r>
      <w:hyperlink r:id="rId77">
        <w:r>
          <w:rPr>
            <w:rFonts w:ascii="Times New Roman" w:hAnsi="Times New Roman"/>
            <w:color w:val="0000EE"/>
            <w:u w:val="single"/>
            <w:sz w:val="20"/>
          </w:rPr>
          <w:t xml:space="preserve">https://www.kaggle.com/datasets/carlosgdcj/genius-song-lyrics-with-language-information</w:t>
        </w:r>
      </w:hyperlink>
    </w:p>
    <w:p>
      <w:pPr>
        <w:spacing w:line="276" w:lineRule="auto" w:after="120"/>
        <w:ind w:left="567" w:hanging="567"/>
        <w:jc w:val="left"/>
      </w:pPr>
      <w:r>
        <w:rPr>
          <w:sz w:val="22"/>
        </w:rPr>
        <w:t>[39]</w:t>
        <w:tab/>
        <w:t xml:space="preserve">S. Loria, “TextBlob: Simplified Text Processing (documentation),” Open-source Python library, docs at textblob.readthedocs.io (v0.20.1 on PyPI at time of check). </w:t>
      </w:r>
      <w:r>
        <w:rPr>
          <w:sz w:val="22"/>
        </w:rPr>
        <w:t xml:space="preserve">Available: </w:t>
      </w:r>
      <w:hyperlink r:id="rId78">
        <w:r>
          <w:rPr>
            <w:rFonts w:ascii="Times New Roman" w:hAnsi="Times New Roman"/>
            <w:color w:val="0000EE"/>
            <w:u w:val="single"/>
            <w:sz w:val="20"/>
          </w:rPr>
          <w:t xml:space="preserve">https://textblob.readthedocs.io/en/dev/</w:t>
        </w:r>
      </w:hyperlink>
    </w:p>
    <w:p>
      <w:pPr>
        <w:spacing w:line="276" w:lineRule="auto" w:after="120"/>
        <w:ind w:left="567" w:hanging="567"/>
        <w:jc w:val="left"/>
      </w:pPr>
      <w:r>
        <w:rPr>
          <w:sz w:val="22"/>
        </w:rPr>
        <w:t>[40]</w:t>
        <w:tab/>
        <w:t xml:space="preserve">A. A. Hagberg, D. A. Schult, P. J. Swart, “Exploring Network Structure, Dynamics, and Function using NetworkX,” Proc. 7th Python in Science Conference (SciPy 2008), Pasadena, CA, USA, pp. 11-15, 2008, doi: 10.25080/TCWV9851. </w:t>
      </w:r>
      <w:r>
        <w:rPr>
          <w:sz w:val="22"/>
        </w:rPr>
        <w:t xml:space="preserve">Available: </w:t>
      </w:r>
      <w:hyperlink r:id="rId79">
        <w:r>
          <w:rPr>
            <w:rFonts w:ascii="Times New Roman" w:hAnsi="Times New Roman"/>
            <w:color w:val="0000EE"/>
            <w:u w:val="single"/>
            <w:sz w:val="20"/>
          </w:rPr>
          <w:t xml:space="preserve">https://doi.org/10.25080/TCWV9851</w:t>
        </w:r>
      </w:hyperlink>
    </w:p>
    <w:p>
      <w:pPr>
        <w:spacing w:line="276" w:lineRule="auto" w:after="120"/>
        <w:ind w:left="567" w:hanging="567"/>
        <w:jc w:val="left"/>
      </w:pPr>
      <w:r>
        <w:rPr>
          <w:sz w:val="22"/>
        </w:rPr>
        <w:t>[41]</w:t>
        <w:tab/>
        <w:t xml:space="preserve">V. D. Blondel, J.-L. Guillaume, R. Lambiotte, E. Lefebvre, “Fast unfolding of communities in large networks,” Journal of Statistical Mechanics: Theory and Experiment, vol. 2008, no. 10, Art. no. P10008, Oct. 2008, doi: 10.1088/1742-5468/2008/10/P10008. </w:t>
      </w:r>
      <w:r>
        <w:rPr>
          <w:sz w:val="22"/>
        </w:rPr>
        <w:t xml:space="preserve">Available: </w:t>
      </w:r>
      <w:hyperlink r:id="rId80">
        <w:r>
          <w:rPr>
            <w:rFonts w:ascii="Times New Roman" w:hAnsi="Times New Roman"/>
            <w:color w:val="0000EE"/>
            <w:u w:val="single"/>
            <w:sz w:val="20"/>
          </w:rPr>
          <w:t xml:space="preserve">https://doi.org/10.1088/1742-5468/2008/10/P10008</w:t>
        </w:r>
      </w:hyperlink>
    </w:p>
    <w:p>
      <w:pPr>
        <w:spacing w:line="276" w:lineRule="auto" w:after="120"/>
        <w:ind w:left="567" w:hanging="567"/>
        <w:jc w:val="left"/>
      </w:pPr>
      <w:r>
        <w:rPr>
          <w:sz w:val="22"/>
        </w:rPr>
        <w:t>[42]</w:t>
        <w:tab/>
        <w:t xml:space="preserve">BACSE301 course faculty, “Automated EDA Tools in Python (YData-Profiling, Sweetviz, D-Tale),” Course handout, Exploratory Data Analysis, Vellore Institute of Technology, 2026. </w:t>
      </w:r>
    </w:p>
    <w:p>
      <w:pPr>
        <w:spacing w:line="276" w:lineRule="auto" w:after="120"/>
        <w:ind w:left="567" w:hanging="567"/>
        <w:jc w:val="left"/>
      </w:pPr>
      <w:r>
        <w:rPr>
          <w:sz w:val="22"/>
        </w:rPr>
        <w:t>[43]</w:t>
        <w:tab/>
        <w:t xml:space="preserve">BACSE301 course faculty, “AI Tools for Every Step of Your Research Journey,” Course handout, Exploratory Data Analysis, Vellore Institute of Technology, 2026. </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60" w:line="276" w:lineRule="auto"/>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60" w:line="276"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smir2011.ismir.net/papers/OS6-1.pdf" TargetMode="External"/><Relationship Id="rId11" Type="http://schemas.openxmlformats.org/officeDocument/2006/relationships/hyperlink" Target="https://doi.org/10.1109/TAFFC.2018.2820691" TargetMode="External"/><Relationship Id="rId12" Type="http://schemas.openxmlformats.org/officeDocument/2006/relationships/hyperlink" Target="https://doi.org/10.1109/TSA.2002.800560" TargetMode="External"/><Relationship Id="rId13" Type="http://schemas.openxmlformats.org/officeDocument/2006/relationships/hyperlink" Target="https://doi.org/10.1109/ICASSP.2017.7952585" TargetMode="External"/><Relationship Id="rId14" Type="http://schemas.openxmlformats.org/officeDocument/2006/relationships/hyperlink" Target="https://arxiv.org/abs/1306.1461" TargetMode="External"/><Relationship Id="rId15" Type="http://schemas.openxmlformats.org/officeDocument/2006/relationships/hyperlink" Target="https://doi.org/10.1098/rsos.171274" TargetMode="External"/><Relationship Id="rId16" Type="http://schemas.openxmlformats.org/officeDocument/2006/relationships/hyperlink" Target="https://doi.org/10.1177/0003122417728662" TargetMode="External"/><Relationship Id="rId17" Type="http://schemas.openxmlformats.org/officeDocument/2006/relationships/hyperlink" Target="https://doi.org/10.1080/09298215.2014.881888" TargetMode="External"/><Relationship Id="rId18" Type="http://schemas.openxmlformats.org/officeDocument/2006/relationships/hyperlink" Target="https://doi.org/10.1038/srep00521" TargetMode="External"/><Relationship Id="rId19" Type="http://schemas.openxmlformats.org/officeDocument/2006/relationships/hyperlink" Target="https://doi.org/10.1098/rsos.150081" TargetMode="External"/><Relationship Id="rId20" Type="http://schemas.openxmlformats.org/officeDocument/2006/relationships/hyperlink" Target="https://doi.org/10.1609/icwsm.v8i1.14550" TargetMode="External"/><Relationship Id="rId21" Type="http://schemas.openxmlformats.org/officeDocument/2006/relationships/hyperlink" Target="https://doi.org/10.1017/ehs.2019.11" TargetMode="External"/><Relationship Id="rId22" Type="http://schemas.openxmlformats.org/officeDocument/2006/relationships/hyperlink" Target="https://aclanthology.org/C14-1059/" TargetMode="External"/><Relationship Id="rId23" Type="http://schemas.openxmlformats.org/officeDocument/2006/relationships/hyperlink" Target="https://papers.nips.cc/paper_files/paper/2013/hash/b3ba8f1bee1238a2f37603d90b58898d-Abstract.html" TargetMode="External"/><Relationship Id="rId24" Type="http://schemas.openxmlformats.org/officeDocument/2006/relationships/hyperlink" Target="https://doi.org/10.1007/s13735-018-0154-2" TargetMode="External"/><Relationship Id="rId25" Type="http://schemas.openxmlformats.org/officeDocument/2006/relationships/hyperlink" Target="https://www.jmlr.org/papers/v9/vandermaaten08a.html" TargetMode="External"/><Relationship Id="rId26" Type="http://schemas.openxmlformats.org/officeDocument/2006/relationships/hyperlink" Target="https://doi.org/10.1126/science.290.5500.2323" TargetMode="External"/><Relationship Id="rId27" Type="http://schemas.openxmlformats.org/officeDocument/2006/relationships/hyperlink" Target="https://arxiv.org/abs/1802.03426" TargetMode="External"/><Relationship Id="rId28" Type="http://schemas.openxmlformats.org/officeDocument/2006/relationships/hyperlink" Target="https://doi.org/10.1098/rsta.2015.0202" TargetMode="External"/><Relationship Id="rId29" Type="http://schemas.openxmlformats.org/officeDocument/2006/relationships/hyperlink" Target="https://doi.org/10.1145/3318464.3383126" TargetMode="External"/><Relationship Id="rId30" Type="http://schemas.openxmlformats.org/officeDocument/2006/relationships/hyperlink" Target="https://doi.org/10.1109/TVCG.2015.2467191" TargetMode="External"/><Relationship Id="rId31" Type="http://schemas.openxmlformats.org/officeDocument/2006/relationships/hyperlink" Target="https://doi.org/10.1145/3299869.3320212" TargetMode="External"/><Relationship Id="rId32" Type="http://schemas.openxmlformats.org/officeDocument/2006/relationships/hyperlink" Target="https://doi.org/10.1109/TVCG.2023.3327189" TargetMode="External"/><Relationship Id="rId33" Type="http://schemas.openxmlformats.org/officeDocument/2006/relationships/hyperlink" Target="https://doi.org/10.1109/TVCG.2016.2599030" TargetMode="External"/><Relationship Id="rId34" Type="http://schemas.openxmlformats.org/officeDocument/2006/relationships/hyperlink" Target="https://doi.org/10.1016/j.simpa.2024.100737" TargetMode="External"/><Relationship Id="rId35" Type="http://schemas.openxmlformats.org/officeDocument/2006/relationships/image" Target="media/image1.png"/><Relationship Id="rId36" Type="http://schemas.openxmlformats.org/officeDocument/2006/relationships/image" Target="media/image2.png"/><Relationship Id="rId37" Type="http://schemas.openxmlformats.org/officeDocument/2006/relationships/image" Target="media/image3.png"/><Relationship Id="rId38" Type="http://schemas.openxmlformats.org/officeDocument/2006/relationships/image" Target="media/image4.png"/><Relationship Id="rId39" Type="http://schemas.openxmlformats.org/officeDocument/2006/relationships/image" Target="media/image5.png"/><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8.png"/><Relationship Id="rId43" Type="http://schemas.openxmlformats.org/officeDocument/2006/relationships/image" Target="media/image9.png"/><Relationship Id="rId44" Type="http://schemas.openxmlformats.org/officeDocument/2006/relationships/image" Target="media/image10.png"/><Relationship Id="rId45" Type="http://schemas.openxmlformats.org/officeDocument/2006/relationships/image" Target="media/image11.png"/><Relationship Id="rId46" Type="http://schemas.openxmlformats.org/officeDocument/2006/relationships/image" Target="media/image12.png"/><Relationship Id="rId47" Type="http://schemas.openxmlformats.org/officeDocument/2006/relationships/image" Target="media/image13.png"/><Relationship Id="rId48" Type="http://schemas.openxmlformats.org/officeDocument/2006/relationships/image" Target="media/image14.png"/><Relationship Id="rId49" Type="http://schemas.openxmlformats.org/officeDocument/2006/relationships/image" Target="media/image15.png"/><Relationship Id="rId50" Type="http://schemas.openxmlformats.org/officeDocument/2006/relationships/image" Target="media/image16.png"/><Relationship Id="rId51" Type="http://schemas.openxmlformats.org/officeDocument/2006/relationships/image" Target="media/image17.png"/><Relationship Id="rId52" Type="http://schemas.openxmlformats.org/officeDocument/2006/relationships/image" Target="media/image18.png"/><Relationship Id="rId53" Type="http://schemas.openxmlformats.org/officeDocument/2006/relationships/image" Target="media/image19.png"/><Relationship Id="rId54" Type="http://schemas.openxmlformats.org/officeDocument/2006/relationships/image" Target="media/image20.png"/><Relationship Id="rId55" Type="http://schemas.openxmlformats.org/officeDocument/2006/relationships/image" Target="media/image21.png"/><Relationship Id="rId56" Type="http://schemas.openxmlformats.org/officeDocument/2006/relationships/image" Target="media/image22.png"/><Relationship Id="rId57" Type="http://schemas.openxmlformats.org/officeDocument/2006/relationships/image" Target="media/image23.png"/><Relationship Id="rId58" Type="http://schemas.openxmlformats.org/officeDocument/2006/relationships/image" Target="media/image24.png"/><Relationship Id="rId59" Type="http://schemas.openxmlformats.org/officeDocument/2006/relationships/image" Target="media/image25.png"/><Relationship Id="rId60" Type="http://schemas.openxmlformats.org/officeDocument/2006/relationships/image" Target="media/image26.png"/><Relationship Id="rId61" Type="http://schemas.openxmlformats.org/officeDocument/2006/relationships/image" Target="media/image27.png"/><Relationship Id="rId62" Type="http://schemas.openxmlformats.org/officeDocument/2006/relationships/hyperlink" Target="https://www.ieee-conecct.org.ieeebangalore.org/" TargetMode="External"/><Relationship Id="rId63" Type="http://schemas.openxmlformats.org/officeDocument/2006/relationships/hyperlink" Target="https://ismir2026.ismir.net/" TargetMode="External"/><Relationship Id="rId64" Type="http://schemas.openxmlformats.org/officeDocument/2006/relationships/hyperlink" Target="https://ieeevis.org/year/2026/welcome/" TargetMode="External"/><Relationship Id="rId65" Type="http://schemas.openxmlformats.org/officeDocument/2006/relationships/hyperlink" Target="https://jmlr.org/papers/v12/pedregosa11a.html" TargetMode="External"/><Relationship Id="rId66" Type="http://schemas.openxmlformats.org/officeDocument/2006/relationships/hyperlink" Target="https://doi.org/10.25080/Majora-92bf1922-00a" TargetMode="External"/><Relationship Id="rId67" Type="http://schemas.openxmlformats.org/officeDocument/2006/relationships/hyperlink" Target="https://doi.org/10.14778/3554821.3554847" TargetMode="External"/><Relationship Id="rId68" Type="http://schemas.openxmlformats.org/officeDocument/2006/relationships/hyperlink" Target="https://github.com/ydataai/ydata-profiling" TargetMode="External"/><Relationship Id="rId69" Type="http://schemas.openxmlformats.org/officeDocument/2006/relationships/hyperlink" Target="https://github.com/fbdesignpro/sweetviz" TargetMode="External"/><Relationship Id="rId70" Type="http://schemas.openxmlformats.org/officeDocument/2006/relationships/hyperlink" Target="https://github.com/man-group/dtale" TargetMode="External"/><Relationship Id="rId71" Type="http://schemas.openxmlformats.org/officeDocument/2006/relationships/hyperlink" Target="https://doi.org/10.1016/j.sigpro.2019.107299" TargetMode="External"/><Relationship Id="rId72" Type="http://schemas.openxmlformats.org/officeDocument/2006/relationships/hyperlink" Target="https://www.statsmodels.org/dev/generated/statsmodels.tsa.seasonal.STL.html" TargetMode="External"/><Relationship Id="rId73" Type="http://schemas.openxmlformats.org/officeDocument/2006/relationships/hyperlink" Target="https://doi.org/10.18637/jss.v045.i03" TargetMode="External"/><Relationship Id="rId74" Type="http://schemas.openxmlformats.org/officeDocument/2006/relationships/hyperlink" Target="https://doi.org/10.1109/ICDM.2008.17" TargetMode="External"/><Relationship Id="rId75" Type="http://schemas.openxmlformats.org/officeDocument/2006/relationships/hyperlink" Target="https://www.kaggle.com/datasets/rodolfofigueroa/spotify-12m-songs" TargetMode="External"/><Relationship Id="rId76" Type="http://schemas.openxmlformats.org/officeDocument/2006/relationships/hyperlink" Target="https://www.kaggle.com/datasets/maharshipandya/-spotify-tracks-dataset" TargetMode="External"/><Relationship Id="rId77" Type="http://schemas.openxmlformats.org/officeDocument/2006/relationships/hyperlink" Target="https://www.kaggle.com/datasets/carlosgdcj/genius-song-lyrics-with-language-information" TargetMode="External"/><Relationship Id="rId78" Type="http://schemas.openxmlformats.org/officeDocument/2006/relationships/hyperlink" Target="https://textblob.readthedocs.io/en/dev/" TargetMode="External"/><Relationship Id="rId79" Type="http://schemas.openxmlformats.org/officeDocument/2006/relationships/hyperlink" Target="https://doi.org/10.25080/TCWV9851" TargetMode="External"/><Relationship Id="rId80" Type="http://schemas.openxmlformats.org/officeDocument/2006/relationships/hyperlink" Target="https://doi.org/10.1088/1742-5468/2008/10/P10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SonicAtlas: An Interactive In-Browser Exploratory Data Analysis Platform for Multi-Dimensional Audio Features and Lyrics of Spotify Tracks Across Genres and Eras</dc:title>
  <dc:subject>BACSE301 EXPLORATORY DATA ANALYSIS - Project Report, Team 05</dc:subject>
  <dc:creator>Sharvesh Prabhu (25BDS0318); Nithin S (25BDS0308)</dc:creator>
  <cp:keywords>EDA, Spotify, audio features, PCA, t-SNE, LLE, DuckDB-WASM</cp:keywords>
  <dc:description>generated by python-docx</dc:description>
  <cp:lastModifiedBy/>
  <cp:revision>1</cp:revision>
  <dcterms:created xsi:type="dcterms:W3CDTF">2013-12-23T23:15:00Z</dcterms:created>
  <dcterms:modified xsi:type="dcterms:W3CDTF">2013-12-23T23:15:00Z</dcterms:modified>
  <cp:category/>
</cp:coreProperties>
</file>