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0E1131"/>
          <w:spacing w:val="20"/>
          <w:sz w:val="30"/>
          <w:szCs w:val="30"/>
        </w:rPr>
        <w:t xml:space="preserve">ACULYZE SOLUTIONS LLP</w:t>
      </w:r>
    </w:p>
    <w:p>
      <w:pPr>
        <w:spacing w:after="500" w:before="100"/>
        <w:jc w:val="center"/>
      </w:pPr>
      <w:r>
        <w:rPr>
          <w:color w:val="1F4E8C"/>
          <w:sz w:val="22"/>
          <w:szCs w:val="22"/>
        </w:rPr>
        <w:t xml:space="preserve">Project: Aculyze-LM (Lead Management System)</w:t>
      </w:r>
    </w:p>
    <w:p>
      <w:pPr>
        <w:pBdr>
          <w:bottom w:val="single" w:color="A06B1A" w:sz="12" w:space="1"/>
        </w:pBdr>
        <w:spacing w:after="500"/>
      </w:pPr>
    </w:p>
    <w:p>
      <w:pPr>
        <w:spacing w:after="200" w:before="300"/>
        <w:jc w:val="center"/>
      </w:pPr>
      <w:r>
        <w:rPr>
          <w:b/>
          <w:bCs/>
          <w:color w:val="0E1131"/>
          <w:sz w:val="44"/>
          <w:szCs w:val="44"/>
        </w:rPr>
        <w:t xml:space="preserve">End-to-End User Flow &amp; User Guide</w:t>
      </w:r>
    </w:p>
    <w:p>
      <w:pPr>
        <w:spacing w:after="900"/>
        <w:jc w:val="center"/>
      </w:pPr>
      <w:r>
        <w:rPr>
          <w:i/>
          <w:iCs/>
          <w:color w:val="555555"/>
          <w:sz w:val="24"/>
          <w:szCs w:val="24"/>
        </w:rPr>
        <w:t xml:space="preserve">How Aculyze-LM is actually used today, from first login to a closed deal</w:t>
      </w:r>
    </w:p>
    <w:p>
      <w:pPr>
        <w:spacing w:after="60" w:before="200"/>
        <w:jc w:val="center"/>
      </w:pPr>
      <w:r>
        <w:rPr>
          <w:b/>
          <w:bCs/>
          <w:color w:val="333333"/>
          <w:sz w:val="22"/>
          <w:szCs w:val="22"/>
        </w:rPr>
        <w:t xml:space="preserve">Prepared for Project Handover</w:t>
      </w:r>
    </w:p>
    <w:p>
      <w:pPr>
        <w:spacing w:after="60"/>
        <w:jc w:val="center"/>
      </w:pPr>
      <w:r>
        <w:rPr>
          <w:color w:val="555555"/>
          <w:sz w:val="20"/>
          <w:szCs w:val="20"/>
        </w:rPr>
        <w:t xml:space="preserve">Document Code: ACZ-LM-DOC-02</w:t>
      </w:r>
    </w:p>
    <w:p>
      <w:pPr>
        <w:spacing w:after="60"/>
        <w:jc w:val="center"/>
      </w:pPr>
      <w:r>
        <w:rPr>
          <w:color w:val="555555"/>
          <w:sz w:val="20"/>
          <w:szCs w:val="20"/>
        </w:rPr>
        <w:t xml:space="preserve">Version: 1.0</w:t>
      </w:r>
    </w:p>
    <w:p>
      <w:pPr>
        <w:spacing w:after="60"/>
        <w:jc w:val="center"/>
      </w:pPr>
      <w:r>
        <w:rPr>
          <w:color w:val="555555"/>
          <w:sz w:val="20"/>
          <w:szCs w:val="20"/>
        </w:rPr>
        <w:t xml:space="preserve">Date: 29 September 2026</w:t>
      </w:r>
    </w:p>
    <w:p>
      <w:pPr>
        <w:spacing w:before="1400"/>
        <w:jc w:val="center"/>
      </w:pPr>
      <w:r>
        <w:rPr>
          <w:i/>
          <w:iCs/>
          <w:color w:val="999999"/>
          <w:sz w:val="18"/>
          <w:szCs w:val="18"/>
        </w:rPr>
        <w:t xml:space="preserve">Classification: Internal — Handover Documentation</w:t>
      </w:r>
    </w:p>
    <w:p>
      <w:r>
        <w:br w:type="page"/>
      </w:r>
    </w:p>
    <w:p>
      <w:pPr>
        <w:pStyle w:val="Heading1"/>
        <w:spacing w:after="180" w:before="360"/>
      </w:pPr>
      <w:r>
        <w:rPr>
          <w:b/>
          <w:bCs/>
          <w:color w:val="0E1131"/>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b/>
          <w:bCs/>
          <w:color w:val="0E1131"/>
          <w:sz w:val="30"/>
          <w:szCs w:val="30"/>
        </w:rPr>
        <w:t xml:space="preserve">1. Purpose</w:t>
      </w:r>
    </w:p>
    <w:p>
      <w:pPr>
        <w:spacing w:after="140" w:line="276"/>
      </w:pPr>
      <w:r>
        <w:rPr>
          <w:color w:val="222222"/>
          <w:sz w:val="21"/>
          <w:szCs w:val="21"/>
        </w:rPr>
        <w:t xml:space="preserve">This guide explains how Aculyze-LM is actually used today, written for someone who has never opened the application. It follows the real user journey — logging in, landing on a dashboard, working the Database and the Pipeline Board day to day, and carrying one company all the way from a first phone call to a won or lost Proposal.</w:t>
      </w:r>
    </w:p>
    <w:p>
      <w:pPr>
        <w:spacing w:after="140" w:line="276"/>
      </w:pPr>
      <w:r>
        <w:rPr>
          <w:color w:val="222222"/>
          <w:sz w:val="21"/>
          <w:szCs w:val="21"/>
        </w:rPr>
        <w:t xml:space="preserve">Every workflow, field, button label, and role restriction described here was verified directly against the current Filament Resource, Page, Policy, and Enum classes in the codebase (see the Handover Report for the full source list), not assumed from typical CRM conventions.</w:t>
      </w:r>
    </w:p>
    <w:p>
      <w:pPr>
        <w:pBdr>
          <w:left w:val="single" w:color="A12B2B" w:sz="18" w:space="8"/>
        </w:pBdr>
        <w:shd w:fill="FDEEEE" w:val="clear"/>
        <w:spacing w:after="160" w:before="100"/>
        <w:ind w:left="200"/>
      </w:pPr>
      <w:r>
        <w:rPr>
          <w:b/>
          <w:bCs/>
          <w:color w:val="A12B2B"/>
          <w:sz w:val="20"/>
          <w:szCs w:val="20"/>
        </w:rPr>
        <w:t xml:space="preserve">Two features exist in the codebase but are not live for end users: </w:t>
      </w:r>
      <w:r>
        <w:rPr>
          <w:color w:val="4a1010"/>
          <w:sz w:val="20"/>
          <w:szCs w:val="20"/>
        </w:rPr>
        <w:t xml:space="preserve">This document describes what a user can actually do in the currently deployed application. Two substantially-built pieces of code are confirmed NOT applied to the production database (see the companion Project Status &amp; Handover Report, Section 4 of the Database document, and docs/PHASE4A3_PRODUCTION_DEPLOYMENT_RUNBOOK.md): (1) a redesigned Pipeline Board with destination-specific Call drag dialogs (separate Appointment Mode/Person Meeting/Location and Lead Opportunity Title fields), and (2) the full multi-version Proposal commercial workflow (Draft → Submit → Approve → PDF → Send → Client Response). Both are described later in this document, clearly separated and labeled "not yet available in production," alongside the simpler behavior that is actually live today.</w:t>
      </w:r>
    </w:p>
    <w:p>
      <w:pPr>
        <w:pStyle w:val="Heading1"/>
        <w:spacing w:after="180" w:before="360"/>
      </w:pPr>
      <w:r>
        <w:rPr>
          <w:b/>
          <w:bCs/>
          <w:color w:val="0E1131"/>
          <w:sz w:val="30"/>
          <w:szCs w:val="30"/>
        </w:rPr>
        <w:t xml:space="preserve">2. User Roles</w:t>
      </w:r>
    </w:p>
    <w:p>
      <w:pPr>
        <w:spacing w:after="140" w:line="276"/>
      </w:pPr>
      <w:r>
        <w:rPr>
          <w:color w:val="222222"/>
          <w:sz w:val="21"/>
          <w:szCs w:val="21"/>
        </w:rPr>
        <w:t xml:space="preserve">Aculyze-LM implements exactly three roles, stored on users.role (App\Enums\UserRole). There is no separate "Super Admin" tier in the code — the Admin tier's UI label was renamed to "Senior Manager," but the underlying stored value and every authorization check are still literally admin.</w:t>
      </w:r>
    </w:p>
    <w:tbl>
      <w:tblPr>
        <w:tblW w:type="pct" w:w="5000"/>
        <w:tblBorders>
          <w:top w:val="single" w:color="BBBBBB" w:sz="4"/>
          <w:left w:val="single" w:color="BBBBBB" w:sz="4"/>
          <w:bottom w:val="single" w:color="BBBBBB" w:sz="4"/>
          <w:right w:val="single" w:color="BBBBBB" w:sz="4"/>
          <w:insideH w:val="single" w:color="DDDDDD" w:sz="4"/>
          <w:insideV w:val="single" w:color="DDDDDD" w:sz="4"/>
        </w:tblBorders>
      </w:tblPr>
      <w:tblGrid>
        <w:gridCol w:w="1987"/>
        <w:gridCol w:w="1987"/>
        <w:gridCol w:w="1987"/>
        <w:gridCol w:w="1987"/>
        <w:gridCol w:w="1987"/>
      </w:tblGrid>
      <w:tr>
        <w:trPr>
          <w:tblHeader/>
        </w:trPr>
        <w:tc>
          <w:tcPr>
            <w:tcW w:type="pct" w:w="1000"/>
            <w:shd w:fill="0E1131" w:val="clear"/>
            <w:tcMar>
              <w:top w:type="dxa" w:w="80"/>
              <w:left w:type="dxa" w:w="100"/>
              <w:bottom w:type="dxa" w:w="80"/>
              <w:right w:type="dxa" w:w="100"/>
            </w:tcMar>
            <w:vAlign w:val="center"/>
          </w:tcPr>
          <w:p>
            <w:r>
              <w:rPr>
                <w:b/>
                <w:bCs/>
                <w:color w:val="FFFFFF"/>
                <w:sz w:val="19"/>
                <w:szCs w:val="19"/>
              </w:rPr>
              <w:t xml:space="preserve">Role (UI label)</w:t>
            </w:r>
          </w:p>
        </w:tc>
        <w:tc>
          <w:tcPr>
            <w:tcW w:type="pct" w:w="1000"/>
            <w:shd w:fill="0E1131" w:val="clear"/>
            <w:tcMar>
              <w:top w:type="dxa" w:w="80"/>
              <w:left w:type="dxa" w:w="100"/>
              <w:bottom w:type="dxa" w:w="80"/>
              <w:right w:type="dxa" w:w="100"/>
            </w:tcMar>
            <w:vAlign w:val="center"/>
          </w:tcPr>
          <w:p>
            <w:r>
              <w:rPr>
                <w:b/>
                <w:bCs/>
                <w:color w:val="FFFFFF"/>
                <w:sz w:val="19"/>
                <w:szCs w:val="19"/>
              </w:rPr>
              <w:t xml:space="preserve">Sees</w:t>
            </w:r>
          </w:p>
        </w:tc>
        <w:tc>
          <w:tcPr>
            <w:tcW w:type="pct" w:w="1000"/>
            <w:shd w:fill="0E1131" w:val="clear"/>
            <w:tcMar>
              <w:top w:type="dxa" w:w="80"/>
              <w:left w:type="dxa" w:w="100"/>
              <w:bottom w:type="dxa" w:w="80"/>
              <w:right w:type="dxa" w:w="100"/>
            </w:tcMar>
            <w:vAlign w:val="center"/>
          </w:tcPr>
          <w:p>
            <w:r>
              <w:rPr>
                <w:b/>
                <w:bCs/>
                <w:color w:val="FFFFFF"/>
                <w:sz w:val="19"/>
                <w:szCs w:val="19"/>
              </w:rPr>
              <w:t xml:space="preserve">Can create/edit</w:t>
            </w:r>
          </w:p>
        </w:tc>
        <w:tc>
          <w:tcPr>
            <w:tcW w:type="pct" w:w="1000"/>
            <w:shd w:fill="0E1131" w:val="clear"/>
            <w:tcMar>
              <w:top w:type="dxa" w:w="80"/>
              <w:left w:type="dxa" w:w="100"/>
              <w:bottom w:type="dxa" w:w="80"/>
              <w:right w:type="dxa" w:w="100"/>
            </w:tcMar>
            <w:vAlign w:val="center"/>
          </w:tcPr>
          <w:p>
            <w:r>
              <w:rPr>
                <w:b/>
                <w:bCs/>
                <w:color w:val="FFFFFF"/>
                <w:sz w:val="19"/>
                <w:szCs w:val="19"/>
              </w:rPr>
              <w:t xml:space="preserve">Can approve/assign</w:t>
            </w:r>
          </w:p>
        </w:tc>
        <w:tc>
          <w:tcPr>
            <w:tcW w:type="pct" w:w="1000"/>
            <w:shd w:fill="0E1131" w:val="clear"/>
            <w:tcMar>
              <w:top w:type="dxa" w:w="80"/>
              <w:left w:type="dxa" w:w="100"/>
              <w:bottom w:type="dxa" w:w="80"/>
              <w:right w:type="dxa" w:w="100"/>
            </w:tcMar>
            <w:vAlign w:val="center"/>
          </w:tcPr>
          <w:p>
            <w:r>
              <w:rPr>
                <w:b/>
                <w:bCs/>
                <w:color w:val="FFFFFF"/>
                <w:sz w:val="19"/>
                <w:szCs w:val="19"/>
              </w:rPr>
              <w:t xml:space="preserve">Cannot access</w:t>
            </w:r>
          </w:p>
        </w:tc>
      </w:tr>
      <w:tr>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Employee</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Only their own records (Prospects, Calls, Follow-Ups, Appointments, Leads, Demos, Proposals they are assigned to)</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Their own records; can log Calls, complete Follow-Ups, record Appointment/Demo outcomes, edit Proposal notes/attachments</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Nothing — cannot Reassign, cannot delete Call Records/Appointments/Leads/Demos/Proposals, cannot approve exports</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Employee Management, Main Dashboard, any other employee's dashboard, another employee's records</w:t>
            </w:r>
          </w:p>
        </w:tc>
      </w:tr>
      <w:tr>
        <w:tc>
          <w:tcPr>
            <w:tcW w:type="pct" w:w="1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Manager</w:t>
            </w:r>
          </w:p>
        </w:tc>
        <w:tc>
          <w:tcPr>
            <w:tcW w:type="pct" w:w="1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Their own records plus their direct reports' (per the reporting hierarchy set on each User's "Reports To" field)</w:t>
            </w:r>
          </w:p>
        </w:tc>
        <w:tc>
          <w:tcPr>
            <w:tcW w:type="pct" w:w="1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Everything an Employee can, across their team</w:t>
            </w:r>
          </w:p>
        </w:tc>
        <w:tc>
          <w:tcPr>
            <w:tcW w:type="pct" w:w="1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Can Reassign Prospects/Appointments/Leads/Demos/Proposals (the assign() action); can approve/deny their team's Export Requests</w:t>
            </w:r>
          </w:p>
        </w:tc>
        <w:tc>
          <w:tcPr>
            <w:tcW w:type="pct" w:w="1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Employee Management (Senior-Manager-only), Main Dashboard, deleting sales history records</w:t>
            </w:r>
          </w:p>
        </w:tc>
      </w:tr>
      <w:tr>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Senior Manager (stored role: admin)</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Every record in the organization</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Everything, organization-wide</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Reassign anything; the only role that can delete Call Records, Leads, Appointments, Proposals, and Users; approves/denies any Export Request</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 (superset of every other tier; not merely a read-only reporting role — AGENTS.md §7)</w:t>
            </w:r>
          </w:p>
        </w:tc>
      </w:tr>
    </w:tbl>
    <w:p>
      <w:pPr>
        <w:pBdr>
          <w:left w:val="single" w:color="A06B1A" w:sz="18" w:space="8"/>
        </w:pBdr>
        <w:shd w:fill="FFF6E5" w:val="clear"/>
        <w:spacing w:after="160" w:before="100"/>
        <w:ind w:left="200"/>
      </w:pPr>
      <w:r>
        <w:rPr>
          <w:b/>
          <w:bCs/>
          <w:i/>
          <w:iCs/>
          <w:color w:val="A06B1A"/>
          <w:sz w:val="20"/>
          <w:szCs w:val="20"/>
        </w:rPr>
        <w:t xml:space="preserve">Needs verification: </w:t>
      </w:r>
      <w:r>
        <w:rPr>
          <w:i/>
          <w:iCs/>
          <w:color w:val="4a3a10"/>
          <w:sz w:val="20"/>
          <w:szCs w:val="20"/>
        </w:rPr>
        <w:t xml:space="preserve">the exact tier-to-tier reporting chain (an Employee's manager_id must point to a Manager; a Manager's must point to a Senior Manager) is enforced on save, but there is no way in the UI to see a company-wide org chart in one place — Employee Management's list is the only place this hierarchy is visible, one row at a time.</w:t>
      </w:r>
    </w:p>
    <w:p>
      <w:pPr>
        <w:spacing w:after="140" w:line="276"/>
      </w:pPr>
      <w:r>
        <w:rPr>
          <w:color w:val="222222"/>
          <w:sz w:val="21"/>
          <w:szCs w:val="21"/>
        </w:rPr>
        <w:t xml:space="preserve">A genuine, minor inconsistency exists in the current code and is worth knowing about: a Manager CAN reassign a Prospect via the dedicated "Reassign" row action, but CANNOT change the same Prospect's "Assigned Employee" field on the ordinary Edit form — that field stays locked to Senior-Manager-only there. Both facts were verified directly in ProspectResource.php and ProspectPolicy.php. See the Project Status &amp; Handover Report's Known Issues section.</w:t>
      </w:r>
    </w:p>
    <w:p>
      <w:pPr>
        <w:pStyle w:val="Heading1"/>
        <w:spacing w:after="180" w:before="360"/>
      </w:pPr>
      <w:r>
        <w:rPr>
          <w:b/>
          <w:bCs/>
          <w:color w:val="0E1131"/>
          <w:sz w:val="30"/>
          <w:szCs w:val="30"/>
        </w:rPr>
        <w:t xml:space="preserve">3. Login and Initial Navigation</w:t>
      </w:r>
    </w:p>
    <w:p>
      <w:pPr>
        <w:spacing w:after="140" w:line="276"/>
      </w:pPr>
      <w:r>
        <w:rPr>
          <w:color w:val="222222"/>
          <w:sz w:val="21"/>
          <w:szCs w:val="21"/>
        </w:rPr>
        <w:t xml:space="preserve">Aculyze-LM is a Filament 3 admin panel — there is no separate public-facing site. A user logs in with their email and password at the panel's login screen; there is no self-registration, no "forgot password" flow confirmed wired to a working mailer (the password_reset_tokens table exists but sending a reset email was not confirmed configured — Needs verification), and no social/SSO login.</w:t>
      </w:r>
    </w:p>
    <w:p>
      <w:pPr>
        <w:spacing w:after="140" w:line="276"/>
      </w:pPr>
      <w:r>
        <w:rPr>
          <w:color w:val="222222"/>
          <w:sz w:val="21"/>
          <w:szCs w:val="21"/>
        </w:rPr>
        <w:t xml:space="preserve">After login, every user lands on "My Dashboard" (route /, the default landing page) — never a blank home screen and never the same page for every role, since My Dashboard always shows the logged-in user's own numbers (AGENTS.md §7).</w:t>
      </w:r>
    </w:p>
    <w:p>
      <w:pPr>
        <w:spacing w:after="140" w:line="276"/>
      </w:pPr>
      <w:r>
        <w:rPr>
          <w:color w:val="222222"/>
          <w:sz w:val="21"/>
          <w:szCs w:val="21"/>
        </w:rPr>
        <w:t xml:space="preserve">The left-hand navigation is grouped as: Pipeline Board (top, sort 0, no group heading) — then a "Sales" group containing Database, Activity Log (Calls), Follow-Ups, Appointments, Leads, Demos, Proposals — then a "Reports" group (Export Requests, admin-only) — then an "Administration" group (Employees, admin-only). "My Export Requests" is reachable but not grouped under Sales.</w:t>
      </w:r>
    </w:p>
    <w:p>
      <w:pPr>
        <w:pStyle w:val="Heading1"/>
        <w:spacing w:after="180" w:before="360"/>
      </w:pPr>
      <w:r>
        <w:rPr>
          <w:b/>
          <w:bCs/>
          <w:color w:val="0E1131"/>
          <w:sz w:val="30"/>
          <w:szCs w:val="30"/>
        </w:rPr>
        <w:t xml:space="preserve">4. Dashboard</w:t>
      </w:r>
    </w:p>
    <w:p>
      <w:pPr>
        <w:spacing w:after="140" w:line="276"/>
      </w:pPr>
      <w:r>
        <w:rPr>
          <w:color w:val="222222"/>
          <w:sz w:val="21"/>
          <w:szCs w:val="21"/>
        </w:rPr>
        <w:t xml:space="preserve">There are three distinct dashboard pages, all built from the same underlying widgets so the numbers can never drift apart between views (AGENTS.md §33):</w:t>
      </w:r>
    </w:p>
    <w:p>
      <w:pPr>
        <w:pStyle w:val="ListParagraph"/>
        <w:numPr>
          <w:ilvl w:val="0"/>
          <w:numId w:val="1"/>
        </w:numPr>
        <w:spacing w:after="80" w:line="264"/>
      </w:pPr>
      <w:r>
        <w:rPr>
          <w:b/>
          <w:bCs/>
          <w:sz w:val="20"/>
          <w:szCs w:val="20"/>
        </w:rPr>
        <w:t xml:space="preserve">My Dashboard: </w:t>
      </w:r>
      <w:r>
        <w:rPr>
          <w:sz w:val="20"/>
          <w:szCs w:val="20"/>
        </w:rPr>
        <w:t xml:space="preserve">every logged-in user's default landing page. Shows only that user's own Greeting, KPI Band, Leads-by-Stage chart, Proposal Outcome chart, and Stale Leads/Stale Proposals tables.</w:t>
      </w:r>
    </w:p>
    <w:p>
      <w:pPr>
        <w:pStyle w:val="ListParagraph"/>
        <w:numPr>
          <w:ilvl w:val="0"/>
          <w:numId w:val="1"/>
        </w:numPr>
        <w:spacing w:after="80" w:line="264"/>
      </w:pPr>
      <w:r>
        <w:rPr>
          <w:b/>
          <w:bCs/>
          <w:sz w:val="20"/>
          <w:szCs w:val="20"/>
        </w:rPr>
        <w:t xml:space="preserve">Main Dashboard: </w:t>
      </w:r>
      <w:r>
        <w:rPr>
          <w:sz w:val="20"/>
          <w:szCs w:val="20"/>
        </w:rPr>
        <w:t xml:space="preserve">Senior-Manager-only (a non-admin hitting its URL directly gets a 403, not just a hidden nav link). Company-wide totals plus a "Pipeline Pulse" widget, Leads-by-Temperature, Leads-Lost-by-Stage, a Conversion Trend chart, and a Growth Trend chart.</w:t>
      </w:r>
    </w:p>
    <w:p>
      <w:pPr>
        <w:pStyle w:val="ListParagraph"/>
        <w:numPr>
          <w:ilvl w:val="0"/>
          <w:numId w:val="1"/>
        </w:numPr>
        <w:spacing w:after="80" w:line="264"/>
      </w:pPr>
      <w:r>
        <w:rPr>
          <w:b/>
          <w:bCs/>
          <w:sz w:val="20"/>
          <w:szCs w:val="20"/>
        </w:rPr>
        <w:t xml:space="preserve">Employee Dashboard: </w:t>
      </w:r>
      <w:r>
        <w:rPr>
          <w:sz w:val="20"/>
          <w:szCs w:val="20"/>
        </w:rPr>
        <w:t xml:space="preserve">one dynamic route per employee (/employee-dashboard/{id}), reachable from Employee Management's "dashboard" row action or by a Manager/Senior Manager drilling into a specific report. Accessible to that employee themselves or an admin — anyone else hitting the URL gets a 403.</w:t>
      </w:r>
    </w:p>
    <w:p>
      <w:pPr>
        <w:pBdr>
          <w:left w:val="single" w:color="A12B2B" w:sz="18" w:space="8"/>
        </w:pBdr>
        <w:shd w:fill="FDEEEE" w:val="clear"/>
        <w:spacing w:after="160" w:before="100"/>
        <w:ind w:left="200"/>
      </w:pPr>
      <w:r>
        <w:rPr>
          <w:b/>
          <w:bCs/>
          <w:color w:val="A12B2B"/>
          <w:sz w:val="20"/>
          <w:szCs w:val="20"/>
        </w:rPr>
        <w:t xml:space="preserve">"Company growth" is not a resolved metric: </w:t>
      </w:r>
      <w:r>
        <w:rPr>
          <w:color w:val="4a1010"/>
          <w:sz w:val="20"/>
          <w:szCs w:val="20"/>
        </w:rPr>
        <w:t xml:space="preserve">The Growth Trend chart on the Main Dashboard is explicitly labeled in its own widget as a provisional Leads/Proposals activity trend over the last 12 weeks — not a revenue-growth calculation. No revenue-growth formula has been confirmed by the business (AGENTS.md §32, Open Business Question 5).</w:t>
      </w:r>
    </w:p>
    <w:p>
      <w:pPr>
        <w:spacing w:after="140" w:line="276"/>
      </w:pPr>
      <w:r>
        <w:rPr>
          <w:color w:val="222222"/>
          <w:sz w:val="21"/>
          <w:szCs w:val="21"/>
        </w:rPr>
        <w:t xml:space="preserve">All three dashboards share one filter form: a Period select (Today/This Week/This Month/This Quarter/All Time, default All Time) plus custom From/Until date pickers that only appear when Period = Custom.</w:t>
      </w:r>
    </w:p>
    <w:p>
      <w:pPr>
        <w:pStyle w:val="Heading1"/>
        <w:spacing w:after="180" w:before="360"/>
      </w:pPr>
      <w:r>
        <w:rPr>
          <w:b/>
          <w:bCs/>
          <w:color w:val="0E1131"/>
          <w:sz w:val="30"/>
          <w:szCs w:val="30"/>
        </w:rPr>
        <w:t xml:space="preserve">5. Lead / Prospect Creation (the "Database" Module)</w:t>
      </w:r>
    </w:p>
    <w:p>
      <w:pPr>
        <w:spacing w:after="140" w:line="276"/>
      </w:pPr>
      <w:r>
        <w:rPr>
          <w:color w:val="222222"/>
          <w:sz w:val="21"/>
          <w:szCs w:val="21"/>
        </w:rPr>
        <w:t xml:space="preserve">Every sales workflow starts in the Database module (Prospect model) — this is the master list of companies/contacts, not a mid-funnel "Leads" list (AGENTS.md §10). "New" opens a form in four sections: Company (Company Name required; Contact Person/Designation/Telephone-or-Mobile/Email/Website/Industry/Source — only Company Name, Website, Industry and Source are hard-required on the standalone form; Telephone and Mobile are not individually required but at least one of the two must be filled), Location (Address/Locality/City/State/Pincode, all required), Ownership (Assigned Employee, defaulting to yourself; locked to Senior-Manager-only if you are not one), and Notes (required).</w:t>
      </w:r>
    </w:p>
    <w:p>
      <w:pPr>
        <w:pBdr>
          <w:left w:val="single" w:color="A06B1A" w:sz="18" w:space="8"/>
        </w:pBdr>
        <w:shd w:fill="FFF6E5" w:val="clear"/>
        <w:spacing w:after="160" w:before="100"/>
        <w:ind w:left="200"/>
      </w:pPr>
      <w:r>
        <w:rPr>
          <w:b/>
          <w:bCs/>
          <w:i/>
          <w:iCs/>
          <w:color w:val="A06B1A"/>
          <w:sz w:val="20"/>
          <w:szCs w:val="20"/>
        </w:rPr>
        <w:t xml:space="preserve">Needs verification: </w:t>
      </w:r>
      <w:r>
        <w:rPr>
          <w:i/>
          <w:iCs/>
          <w:color w:val="4a3a10"/>
          <w:sz w:val="20"/>
          <w:szCs w:val="20"/>
        </w:rPr>
        <w:t xml:space="preserve">a company created inline from the middle of logging a Call (the "+ Create new company…" option inside the Call form's Company selector) is held to a stricter rule: Contact Person, Designation and Email become mandatory there, since a rep is on the phone with the person right now. This is the one place those three fields are actually enforced — the standalone Database Create/Edit form leaves them optional.</w:t>
      </w:r>
    </w:p>
    <w:p>
      <w:pPr>
        <w:spacing w:after="140" w:line="276"/>
      </w:pPr>
      <w:r>
        <w:rPr>
          <w:color w:val="222222"/>
          <w:sz w:val="21"/>
          <w:szCs w:val="21"/>
        </w:rPr>
        <w:t xml:space="preserve">The Database list supports a company-name search, a large set of per-column text/category filters (most columns are hidden by default and can be toggled on — the choice is remembered per user), and a company's View page has seven tabs: Overview, Call Records, Follow-Ups, Appointments, Leads, Demos, and Proposals — each a live mini-table of that company's history.</w:t>
      </w:r>
    </w:p>
    <w:p>
      <w:pPr>
        <w:pStyle w:val="Heading1"/>
        <w:spacing w:after="180" w:before="360"/>
      </w:pPr>
      <w:r>
        <w:rPr>
          <w:b/>
          <w:bCs/>
          <w:color w:val="0E1131"/>
          <w:sz w:val="30"/>
          <w:szCs w:val="30"/>
        </w:rPr>
        <w:t xml:space="preserve">6. Import Process</w:t>
      </w:r>
    </w:p>
    <w:p>
      <w:pPr>
        <w:spacing w:after="140" w:line="276"/>
      </w:pPr>
      <w:r>
        <w:rPr>
          <w:color w:val="222222"/>
          <w:sz w:val="21"/>
          <w:szCs w:val="21"/>
        </w:rPr>
        <w:t xml:space="preserve">"Import from Excel" on the Database list opens a guided, multi-step wizard (upload → confirm header row → map columns → resolve duplicates → summary) open to any logged-in user, not just admins.</w:t>
      </w:r>
    </w:p>
    <w:p>
      <w:pPr>
        <w:pStyle w:val="ListParagraph"/>
        <w:numPr>
          <w:ilvl w:val="0"/>
          <w:numId w:val="1"/>
        </w:numPr>
        <w:spacing w:after="80" w:line="264"/>
      </w:pPr>
      <w:r>
        <w:rPr>
          <w:sz w:val="20"/>
          <w:szCs w:val="20"/>
        </w:rPr>
        <w:t xml:space="preserve">Column mapping is auto-guessed from the spreadsheet's own header text (matching common legacy phrasings like "Contact Number" → Telephone, "Mobile Number" → Mobile), and can be corrected by hand before import runs.</w:t>
      </w:r>
    </w:p>
    <w:p>
      <w:pPr>
        <w:pStyle w:val="ListParagraph"/>
        <w:numPr>
          <w:ilvl w:val="0"/>
          <w:numId w:val="1"/>
        </w:numPr>
        <w:spacing w:after="80" w:line="264"/>
      </w:pPr>
      <w:r>
        <w:rPr>
          <w:sz w:val="20"/>
          <w:szCs w:val="20"/>
        </w:rPr>
        <w:t xml:space="preserve">Any spreadsheet column left unmapped is not discarded — its value is appended into the new Prospect's Notes field, one line per column, so no information from the source sheet is silently lost.</w:t>
      </w:r>
    </w:p>
    <w:p>
      <w:pPr>
        <w:pStyle w:val="ListParagraph"/>
        <w:numPr>
          <w:ilvl w:val="0"/>
          <w:numId w:val="1"/>
        </w:numPr>
        <w:spacing w:after="80" w:line="264"/>
      </w:pPr>
      <w:r>
        <w:rPr>
          <w:sz w:val="20"/>
          <w:szCs w:val="20"/>
        </w:rPr>
        <w:t xml:space="preserve">Rows missing a Company Name mapping are recorded as failed rather than imported blank.</w:t>
      </w:r>
    </w:p>
    <w:p>
      <w:pPr>
        <w:pStyle w:val="ListParagraph"/>
        <w:numPr>
          <w:ilvl w:val="0"/>
          <w:numId w:val="1"/>
        </w:numPr>
        <w:spacing w:after="80" w:line="264"/>
      </w:pPr>
      <w:r>
        <w:rPr>
          <w:sz w:val="20"/>
          <w:szCs w:val="20"/>
        </w:rPr>
        <w:t xml:space="preserve">A non-admin's import always self-assigns every imported row to themselves — an "Assigned Owner" column in the sheet is ignored for them, with an on-screen warning explaining why. An admin's "Assigned Owner" column is matched against employee names, falling back to the importing admin with a warning if no match is found.</w:t>
      </w:r>
    </w:p>
    <w:p>
      <w:pPr>
        <w:pStyle w:val="ListParagraph"/>
        <w:numPr>
          <w:ilvl w:val="0"/>
          <w:numId w:val="1"/>
        </w:numPr>
        <w:spacing w:after="80" w:line="264"/>
      </w:pPr>
      <w:r>
        <w:rPr>
          <w:sz w:val="20"/>
          <w:szCs w:val="20"/>
        </w:rPr>
        <w:t xml:space="preserve">Likely duplicates (matched on company name plus a matching phone or email) are queued for a per-row decision: Update the existing record (merging in only the new, non-blank fields — never overwriting who owns or created it), create as a New record anyway, or Skip it entirely. A one-click "apply to all" shortcut is available.</w:t>
      </w:r>
    </w:p>
    <w:p>
      <w:pPr>
        <w:pStyle w:val="Heading1"/>
        <w:spacing w:after="180" w:before="360"/>
      </w:pPr>
      <w:r>
        <w:rPr>
          <w:b/>
          <w:bCs/>
          <w:color w:val="0E1131"/>
          <w:sz w:val="30"/>
          <w:szCs w:val="30"/>
        </w:rPr>
        <w:t xml:space="preserve">7. Lead Assignment / Ownership</w:t>
      </w:r>
    </w:p>
    <w:p>
      <w:pPr>
        <w:spacing w:after="140" w:line="276"/>
      </w:pPr>
      <w:r>
        <w:rPr>
          <w:color w:val="222222"/>
          <w:sz w:val="21"/>
          <w:szCs w:val="21"/>
        </w:rPr>
        <w:t xml:space="preserve">Every business record separates "who currently owns this" (Assigned Employee) from "who originally created it" (never shown as an editable field, and never changed by reassignment). Reassignment is always a deliberate, separate action — never a side effect of anything else.</w:t>
      </w:r>
    </w:p>
    <w:p>
      <w:pPr>
        <w:pStyle w:val="ListParagraph"/>
        <w:numPr>
          <w:ilvl w:val="0"/>
          <w:numId w:val="1"/>
        </w:numPr>
        <w:spacing w:after="80" w:line="264"/>
      </w:pPr>
      <w:r>
        <w:rPr>
          <w:sz w:val="20"/>
          <w:szCs w:val="20"/>
        </w:rPr>
        <w:t xml:space="preserve">Only a Manager or a Senior Manager can reassign a Prospect, Appointment, Lead, or Demo, via that record's dedicated "Reassign" row action — an Employee cannot hand their own record to someone else (AGENTS.md §11).</w:t>
      </w:r>
    </w:p>
    <w:p>
      <w:pPr>
        <w:pStyle w:val="ListParagraph"/>
        <w:numPr>
          <w:ilvl w:val="0"/>
          <w:numId w:val="1"/>
        </w:numPr>
        <w:spacing w:after="80" w:line="264"/>
      </w:pPr>
      <w:r>
        <w:rPr>
          <w:sz w:val="20"/>
          <w:szCs w:val="20"/>
        </w:rPr>
        <w:t xml:space="preserve">Reassignment never rewrites who made a historical Call — every past Call Record permanently names the person who actually made that call, even after the company changes hands (AGENTS.md §29).</w:t>
      </w:r>
    </w:p>
    <w:p>
      <w:pPr>
        <w:pStyle w:val="Heading1"/>
        <w:spacing w:after="180" w:before="360"/>
      </w:pPr>
      <w:r>
        <w:rPr>
          <w:b/>
          <w:bCs/>
          <w:color w:val="0E1131"/>
          <w:sz w:val="30"/>
          <w:szCs w:val="30"/>
        </w:rPr>
        <w:t xml:space="preserve">8. Calling / Activity Workflow</w:t>
      </w:r>
    </w:p>
    <w:p>
      <w:pPr>
        <w:spacing w:after="140" w:line="276"/>
      </w:pPr>
      <w:r>
        <w:rPr>
          <w:color w:val="222222"/>
          <w:sz w:val="21"/>
          <w:szCs w:val="21"/>
        </w:rPr>
        <w:t xml:space="preserve">A phone call against a Prospect is logged in the Activity Log module (Call Record) — this list IS the activity log; there is no separate activity-log entity (AGENTS.md §12). Logging a call captures: the Company (searchable, with a "+ Create new company…" shortcut if the caller doesn't exist yet in Database), Called At (defaults to now), Outcome (required — see Section 9), and, for most outcomes, Contact Person Spoken To / Designation / Phone Called and Notes.</w:t>
      </w:r>
    </w:p>
    <w:p>
      <w:pPr>
        <w:spacing w:after="140" w:line="276"/>
      </w:pPr>
      <w:r>
        <w:rPr>
          <w:color w:val="222222"/>
          <w:sz w:val="21"/>
          <w:szCs w:val="21"/>
        </w:rPr>
        <w:t xml:space="preserve">A Call Record can also be logged directly from the Pipeline Board via its "+ Log a call" button, using the identical form — there is only one Call-logging code path in the whole application, never two versions that could drift apart.</w:t>
      </w:r>
    </w:p>
    <w:p>
      <w:pPr>
        <w:spacing w:after="140" w:line="276"/>
      </w:pPr>
      <w:r>
        <w:rPr>
          <w:color w:val="222222"/>
          <w:sz w:val="21"/>
          <w:szCs w:val="21"/>
        </w:rPr>
        <w:t xml:space="preserve">Every Call Record is permanent history. It is never deleted as a side effect of anything else, and once created its downstream routing (Section 9) runs exactly once — editing a Call later never re-triggers it.</w:t>
      </w:r>
    </w:p>
    <w:p>
      <w:pPr>
        <w:pStyle w:val="Heading2"/>
        <w:spacing w:after="140" w:before="280"/>
      </w:pPr>
      <w:r>
        <w:rPr>
          <w:b/>
          <w:bCs/>
          <w:color w:val="1F4E8C"/>
          <w:sz w:val="25"/>
          <w:szCs w:val="25"/>
        </w:rPr>
        <w:t xml:space="preserve">8.1 Correcting a mistaken outcome</w:t>
      </w:r>
    </w:p>
    <w:p>
      <w:pPr>
        <w:spacing w:after="140" w:line="276"/>
      </w:pPr>
      <w:r>
        <w:rPr>
          <w:color w:val="222222"/>
          <w:sz w:val="21"/>
          <w:szCs w:val="21"/>
        </w:rPr>
        <w:t xml:space="preserve">If a Call's outcome was logged wrong and nothing has happened downstream from it yet, "Correct Outcome" lets the same person fix it in place (with a required reason) and re-runs routing against the corrected value. Once real downstream history exists (a Follow-Up was completed, an Appointment was worked, etc.), that action disappears and is replaced by "Flag as Incorrect" — which leaves the original record and its downstream chain untouched but visibly marks it wrong for a Senior Manager to review. A Senior Manager can then use "Delete Call &amp; Chain" to remove the whole mistaken chain in one transaction, but only when nothing in that chain has any further business history hanging off it.</w:t>
      </w:r>
    </w:p>
    <w:p>
      <w:pPr>
        <w:pStyle w:val="Heading1"/>
        <w:spacing w:after="180" w:before="360"/>
      </w:pPr>
      <w:r>
        <w:rPr>
          <w:b/>
          <w:bCs/>
          <w:color w:val="0E1131"/>
          <w:sz w:val="30"/>
          <w:szCs w:val="30"/>
        </w:rPr>
        <w:t xml:space="preserve">9. Call Outcomes</w:t>
      </w:r>
    </w:p>
    <w:p>
      <w:pPr>
        <w:spacing w:after="140" w:line="276"/>
      </w:pPr>
      <w:r>
        <w:rPr>
          <w:color w:val="222222"/>
          <w:sz w:val="21"/>
          <w:szCs w:val="21"/>
        </w:rPr>
        <w:t xml:space="preserve">There are exactly ten possible outcomes (App\Enums\CallOutcome), and each one has a fixed, centrally-defined routing rule — what it automatically creates, if anything:</w:t>
      </w:r>
    </w:p>
    <w:tbl>
      <w:tblPr>
        <w:tblW w:type="pct" w:w="5000"/>
        <w:tblBorders>
          <w:top w:val="single" w:color="BBBBBB" w:sz="4"/>
          <w:left w:val="single" w:color="BBBBBB" w:sz="4"/>
          <w:bottom w:val="single" w:color="BBBBBB" w:sz="4"/>
          <w:right w:val="single" w:color="BBBBBB" w:sz="4"/>
          <w:insideH w:val="single" w:color="DDDDDD" w:sz="4"/>
          <w:insideV w:val="single" w:color="DDDDDD" w:sz="4"/>
        </w:tblBorders>
      </w:tblPr>
      <w:tblGrid>
        <w:gridCol w:w="3478"/>
        <w:gridCol w:w="6458"/>
      </w:tblGrid>
      <w:tr>
        <w:trPr>
          <w:tblHeader/>
        </w:trPr>
        <w:tc>
          <w:tcPr>
            <w:tcW w:type="pct" w:w="1750"/>
            <w:shd w:fill="0E1131" w:val="clear"/>
            <w:tcMar>
              <w:top w:type="dxa" w:w="80"/>
              <w:left w:type="dxa" w:w="100"/>
              <w:bottom w:type="dxa" w:w="80"/>
              <w:right w:type="dxa" w:w="100"/>
            </w:tcMar>
            <w:vAlign w:val="center"/>
          </w:tcPr>
          <w:p>
            <w:r>
              <w:rPr>
                <w:b/>
                <w:bCs/>
                <w:color w:val="FFFFFF"/>
                <w:sz w:val="19"/>
                <w:szCs w:val="19"/>
              </w:rPr>
              <w:t xml:space="preserve">Outcome (label)</w:t>
            </w:r>
          </w:p>
        </w:tc>
        <w:tc>
          <w:tcPr>
            <w:tcW w:type="pct" w:w="3250"/>
            <w:shd w:fill="0E1131" w:val="clear"/>
            <w:tcMar>
              <w:top w:type="dxa" w:w="80"/>
              <w:left w:type="dxa" w:w="100"/>
              <w:bottom w:type="dxa" w:w="80"/>
              <w:right w:type="dxa" w:w="100"/>
            </w:tcMar>
            <w:vAlign w:val="center"/>
          </w:tcPr>
          <w:p>
            <w:r>
              <w:rPr>
                <w:b/>
                <w:bCs/>
                <w:color w:val="FFFFFF"/>
                <w:sz w:val="19"/>
                <w:szCs w:val="19"/>
              </w:rPr>
              <w:t xml:space="preserve">What it automatically creates</w:t>
            </w:r>
          </w:p>
        </w:tc>
      </w:tr>
      <w:tr>
        <w:tc>
          <w:tcPr>
            <w:tcW w:type="pct" w:w="1750"/>
            <w:tcMar>
              <w:top w:type="dxa" w:w="60"/>
              <w:left w:type="dxa" w:w="100"/>
              <w:bottom w:type="dxa" w:w="60"/>
              <w:right w:type="dxa" w:w="100"/>
            </w:tcMar>
            <w:vAlign w:val="center"/>
          </w:tcPr>
          <w:p>
            <w:r>
              <w:rPr>
                <w:b w:val="false"/>
                <w:bCs w:val="false"/>
                <w:i w:val="false"/>
                <w:iCs w:val="false"/>
                <w:color w:val="222222"/>
                <w:sz w:val="19"/>
                <w:szCs w:val="19"/>
              </w:rPr>
              <w:t xml:space="preserve">No Answer</w:t>
            </w:r>
          </w:p>
        </w:tc>
        <w:tc>
          <w:tcPr>
            <w:tcW w:type="pct" w:w="3250"/>
            <w:tcMar>
              <w:top w:type="dxa" w:w="60"/>
              <w:left w:type="dxa" w:w="100"/>
              <w:bottom w:type="dxa" w:w="60"/>
              <w:right w:type="dxa" w:w="100"/>
            </w:tcMar>
            <w:vAlign w:val="center"/>
          </w:tcPr>
          <w:p>
            <w:r>
              <w:rPr>
                <w:b w:val="false"/>
                <w:bCs w:val="false"/>
                <w:i w:val="false"/>
                <w:iCs w:val="false"/>
                <w:color w:val="222222"/>
                <w:sz w:val="19"/>
                <w:szCs w:val="19"/>
              </w:rPr>
              <w:t xml:space="preserve">Nothing — stays a Call Record only. Notes not required.</w:t>
            </w:r>
          </w:p>
        </w:tc>
      </w:tr>
      <w:tr>
        <w:tc>
          <w:tcPr>
            <w:tcW w:type="pct" w:w="17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Switched Off</w:t>
            </w:r>
          </w:p>
        </w:tc>
        <w:tc>
          <w:tcPr>
            <w:tcW w:type="pct" w:w="32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Nothing. Notes not required.</w:t>
            </w:r>
          </w:p>
        </w:tc>
      </w:tr>
      <w:tr>
        <w:tc>
          <w:tcPr>
            <w:tcW w:type="pct" w:w="1750"/>
            <w:tcMar>
              <w:top w:type="dxa" w:w="60"/>
              <w:left w:type="dxa" w:w="100"/>
              <w:bottom w:type="dxa" w:w="60"/>
              <w:right w:type="dxa" w:w="100"/>
            </w:tcMar>
            <w:vAlign w:val="center"/>
          </w:tcPr>
          <w:p>
            <w:r>
              <w:rPr>
                <w:b w:val="false"/>
                <w:bCs w:val="false"/>
                <w:i w:val="false"/>
                <w:iCs w:val="false"/>
                <w:color w:val="222222"/>
                <w:sz w:val="19"/>
                <w:szCs w:val="19"/>
              </w:rPr>
              <w:t xml:space="preserve">Not Reachable</w:t>
            </w:r>
          </w:p>
        </w:tc>
        <w:tc>
          <w:tcPr>
            <w:tcW w:type="pct" w:w="3250"/>
            <w:tcMar>
              <w:top w:type="dxa" w:w="60"/>
              <w:left w:type="dxa" w:w="100"/>
              <w:bottom w:type="dxa" w:w="60"/>
              <w:right w:type="dxa" w:w="100"/>
            </w:tcMar>
            <w:vAlign w:val="center"/>
          </w:tcPr>
          <w:p>
            <w:r>
              <w:rPr>
                <w:b w:val="false"/>
                <w:bCs w:val="false"/>
                <w:i w:val="false"/>
                <w:iCs w:val="false"/>
                <w:color w:val="222222"/>
                <w:sz w:val="19"/>
                <w:szCs w:val="19"/>
              </w:rPr>
              <w:t xml:space="preserve">Nothing. Notes not required.</w:t>
            </w:r>
          </w:p>
        </w:tc>
      </w:tr>
      <w:tr>
        <w:tc>
          <w:tcPr>
            <w:tcW w:type="pct" w:w="17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Callback Requested</w:t>
            </w:r>
          </w:p>
        </w:tc>
        <w:tc>
          <w:tcPr>
            <w:tcW w:type="pct" w:w="32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A Follow-Up (Pending).</w:t>
            </w:r>
          </w:p>
        </w:tc>
      </w:tr>
      <w:tr>
        <w:tc>
          <w:tcPr>
            <w:tcW w:type="pct" w:w="1750"/>
            <w:tcMar>
              <w:top w:type="dxa" w:w="60"/>
              <w:left w:type="dxa" w:w="100"/>
              <w:bottom w:type="dxa" w:w="60"/>
              <w:right w:type="dxa" w:w="100"/>
            </w:tcMar>
            <w:vAlign w:val="center"/>
          </w:tcPr>
          <w:p>
            <w:r>
              <w:rPr>
                <w:b w:val="false"/>
                <w:bCs w:val="false"/>
                <w:i w:val="false"/>
                <w:iCs w:val="false"/>
                <w:color w:val="222222"/>
                <w:sz w:val="19"/>
                <w:szCs w:val="19"/>
              </w:rPr>
              <w:t xml:space="preserve">Concerned Person Not Available</w:t>
            </w:r>
          </w:p>
        </w:tc>
        <w:tc>
          <w:tcPr>
            <w:tcW w:type="pct" w:w="3250"/>
            <w:tcMar>
              <w:top w:type="dxa" w:w="60"/>
              <w:left w:type="dxa" w:w="100"/>
              <w:bottom w:type="dxa" w:w="60"/>
              <w:right w:type="dxa" w:w="100"/>
            </w:tcMar>
            <w:vAlign w:val="center"/>
          </w:tcPr>
          <w:p>
            <w:r>
              <w:rPr>
                <w:b w:val="false"/>
                <w:bCs w:val="false"/>
                <w:i w:val="false"/>
                <w:iCs w:val="false"/>
                <w:color w:val="222222"/>
                <w:sz w:val="19"/>
                <w:szCs w:val="19"/>
              </w:rPr>
              <w:t xml:space="preserve">A Follow-Up, only if a Follow-Up date/time was actually given.</w:t>
            </w:r>
          </w:p>
        </w:tc>
      </w:tr>
      <w:tr>
        <w:tc>
          <w:tcPr>
            <w:tcW w:type="pct" w:w="17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Profile Requested</w:t>
            </w:r>
          </w:p>
        </w:tc>
        <w:tc>
          <w:tcPr>
            <w:tcW w:type="pct" w:w="32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A Follow-Up, only if a date/time was given; also captures Profile Sent status/mode/date.</w:t>
            </w:r>
          </w:p>
        </w:tc>
      </w:tr>
      <w:tr>
        <w:tc>
          <w:tcPr>
            <w:tcW w:type="pct" w:w="1750"/>
            <w:tcMar>
              <w:top w:type="dxa" w:w="60"/>
              <w:left w:type="dxa" w:w="100"/>
              <w:bottom w:type="dxa" w:w="60"/>
              <w:right w:type="dxa" w:w="100"/>
            </w:tcMar>
            <w:vAlign w:val="center"/>
          </w:tcPr>
          <w:p>
            <w:r>
              <w:rPr>
                <w:b w:val="false"/>
                <w:bCs w:val="false"/>
                <w:i w:val="false"/>
                <w:iCs w:val="false"/>
                <w:color w:val="222222"/>
                <w:sz w:val="19"/>
                <w:szCs w:val="19"/>
              </w:rPr>
              <w:t xml:space="preserve">Appointment Set</w:t>
            </w:r>
          </w:p>
        </w:tc>
        <w:tc>
          <w:tcPr>
            <w:tcW w:type="pct" w:w="3250"/>
            <w:tcMar>
              <w:top w:type="dxa" w:w="60"/>
              <w:left w:type="dxa" w:w="100"/>
              <w:bottom w:type="dxa" w:w="60"/>
              <w:right w:type="dxa" w:w="100"/>
            </w:tcMar>
            <w:vAlign w:val="center"/>
          </w:tcPr>
          <w:p>
            <w:r>
              <w:rPr>
                <w:b w:val="false"/>
                <w:bCs w:val="false"/>
                <w:i w:val="false"/>
                <w:iCs w:val="false"/>
                <w:color w:val="222222"/>
                <w:sz w:val="19"/>
                <w:szCs w:val="19"/>
              </w:rPr>
              <w:t xml:space="preserve">An Appointment (scheduled).</w:t>
            </w:r>
          </w:p>
        </w:tc>
      </w:tr>
      <w:tr>
        <w:tc>
          <w:tcPr>
            <w:tcW w:type="pct" w:w="17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No Current Requirement</w:t>
            </w:r>
          </w:p>
        </w:tc>
        <w:tc>
          <w:tcPr>
            <w:tcW w:type="pct" w:w="32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Nothing further (a deliberate dead end for this call).</w:t>
            </w:r>
          </w:p>
        </w:tc>
      </w:tr>
      <w:tr>
        <w:tc>
          <w:tcPr>
            <w:tcW w:type="pct" w:w="1750"/>
            <w:tcMar>
              <w:top w:type="dxa" w:w="60"/>
              <w:left w:type="dxa" w:w="100"/>
              <w:bottom w:type="dxa" w:w="60"/>
              <w:right w:type="dxa" w:w="100"/>
            </w:tcMar>
            <w:vAlign w:val="center"/>
          </w:tcPr>
          <w:p>
            <w:r>
              <w:rPr>
                <w:b w:val="false"/>
                <w:bCs w:val="false"/>
                <w:i w:val="false"/>
                <w:iCs w:val="false"/>
                <w:color w:val="222222"/>
                <w:sz w:val="19"/>
                <w:szCs w:val="19"/>
              </w:rPr>
              <w:t xml:space="preserve">Requirement Identified</w:t>
            </w:r>
          </w:p>
        </w:tc>
        <w:tc>
          <w:tcPr>
            <w:tcW w:type="pct" w:w="3250"/>
            <w:tcMar>
              <w:top w:type="dxa" w:w="60"/>
              <w:left w:type="dxa" w:w="100"/>
              <w:bottom w:type="dxa" w:w="60"/>
              <w:right w:type="dxa" w:w="100"/>
            </w:tcMar>
            <w:vAlign w:val="center"/>
          </w:tcPr>
          <w:p>
            <w:r>
              <w:rPr>
                <w:b w:val="false"/>
                <w:bCs w:val="false"/>
                <w:i w:val="false"/>
                <w:iCs w:val="false"/>
                <w:color w:val="222222"/>
                <w:sz w:val="19"/>
                <w:szCs w:val="19"/>
              </w:rPr>
              <w:t xml:space="preserve">A Lead (the qualified-opportunity record).</w:t>
            </w:r>
          </w:p>
        </w:tc>
      </w:tr>
      <w:tr>
        <w:tc>
          <w:tcPr>
            <w:tcW w:type="pct" w:w="17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Others</w:t>
            </w:r>
          </w:p>
        </w:tc>
        <w:tc>
          <w:tcPr>
            <w:tcW w:type="pct" w:w="32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Whatever the caller explicitly picks from a "Next Action" field: No Further Action, Create Follow-Up, Create Appointment, or Create Lead.</w:t>
            </w:r>
          </w:p>
        </w:tc>
      </w:tr>
    </w:tbl>
    <w:p>
      <w:pPr>
        <w:pBdr>
          <w:left w:val="single" w:color="A06B1A" w:sz="18" w:space="8"/>
        </w:pBdr>
        <w:shd w:fill="FFF6E5" w:val="clear"/>
        <w:spacing w:after="160" w:before="100"/>
        <w:ind w:left="200"/>
      </w:pPr>
      <w:r>
        <w:rPr>
          <w:b/>
          <w:bCs/>
          <w:i/>
          <w:iCs/>
          <w:color w:val="A06B1A"/>
          <w:sz w:val="20"/>
          <w:szCs w:val="20"/>
        </w:rPr>
        <w:t xml:space="preserve">Needs verification: </w:t>
      </w:r>
      <w:r>
        <w:rPr>
          <w:i/>
          <w:iCs/>
          <w:color w:val="4a3a10"/>
          <w:sz w:val="20"/>
          <w:szCs w:val="20"/>
        </w:rPr>
        <w:t xml:space="preserve">these outcome labels and routing rules were read directly from app/Enums/CallOutcome.php and app/Services/CallRoutingService.php — they are the single source of truth used everywhere a call is logged, including on the Pipeline Board.</w:t>
      </w:r>
    </w:p>
    <w:p>
      <w:pPr>
        <w:pStyle w:val="Heading1"/>
        <w:spacing w:after="180" w:before="360"/>
      </w:pPr>
      <w:r>
        <w:rPr>
          <w:b/>
          <w:bCs/>
          <w:color w:val="0E1131"/>
          <w:sz w:val="30"/>
          <w:szCs w:val="30"/>
        </w:rPr>
        <w:t xml:space="preserve">10. Follow-Up Workflow</w:t>
      </w:r>
    </w:p>
    <w:p>
      <w:pPr>
        <w:spacing w:after="140" w:line="276"/>
      </w:pPr>
      <w:r>
        <w:rPr>
          <w:color w:val="222222"/>
          <w:sz w:val="21"/>
          <w:szCs w:val="21"/>
        </w:rPr>
        <w:t xml:space="preserve">Most Follow-Ups appear automatically from the call outcomes above, but a Follow-Up can also be created directly. Each one records a Company, a scheduled date/time, a Contact Mode, a Reason, optional Notes, and a Status (Pending/Completed/Cancelled/Rescheduled).</w:t>
      </w:r>
    </w:p>
    <w:p>
      <w:pPr>
        <w:pStyle w:val="ListParagraph"/>
        <w:numPr>
          <w:ilvl w:val="0"/>
          <w:numId w:val="1"/>
        </w:numPr>
        <w:spacing w:after="80" w:line="264"/>
      </w:pPr>
      <w:r>
        <w:rPr>
          <w:sz w:val="20"/>
          <w:szCs w:val="20"/>
        </w:rPr>
        <w:t xml:space="preserve">Completing a Follow-Up ("Completed" action) always logs a brand-new, real Call Record through the exact same routing pipeline as any other call — it is never just a status flip with no real activity behind it.</w:t>
      </w:r>
    </w:p>
    <w:p>
      <w:pPr>
        <w:pStyle w:val="ListParagraph"/>
        <w:numPr>
          <w:ilvl w:val="0"/>
          <w:numId w:val="1"/>
        </w:numPr>
        <w:spacing w:after="80" w:line="264"/>
      </w:pPr>
      <w:r>
        <w:rPr>
          <w:sz w:val="20"/>
          <w:szCs w:val="20"/>
        </w:rPr>
        <w:t xml:space="preserve">A Follow-Up can also directly "Schedule Demo" against an existing, non-Lost Lead for the same company.</w:t>
      </w:r>
    </w:p>
    <w:p>
      <w:pPr>
        <w:pStyle w:val="ListParagraph"/>
        <w:numPr>
          <w:ilvl w:val="0"/>
          <w:numId w:val="1"/>
        </w:numPr>
        <w:spacing w:after="80" w:line="264"/>
      </w:pPr>
      <w:r>
        <w:rPr>
          <w:sz w:val="20"/>
          <w:szCs w:val="20"/>
        </w:rPr>
        <w:t xml:space="preserve">"Close" archives a Follow-Up as Cancelled with a required note explaining why — described on-screen as archived, not deleted; its history is retained.</w:t>
      </w:r>
    </w:p>
    <w:p>
      <w:pPr>
        <w:pStyle w:val="Heading1"/>
        <w:spacing w:after="180" w:before="360"/>
      </w:pPr>
      <w:r>
        <w:rPr>
          <w:b/>
          <w:bCs/>
          <w:color w:val="0E1131"/>
          <w:sz w:val="30"/>
          <w:szCs w:val="30"/>
        </w:rPr>
        <w:t xml:space="preserve">11. Rescheduling and Completion</w:t>
      </w:r>
    </w:p>
    <w:p>
      <w:pPr>
        <w:spacing w:after="140" w:line="276"/>
      </w:pPr>
      <w:r>
        <w:rPr>
          <w:color w:val="222222"/>
          <w:sz w:val="21"/>
          <w:szCs w:val="21"/>
        </w:rPr>
        <w:t xml:space="preserve">Once a Follow-Up, Appointment, or Demo has its date/time set, that field locks — it cannot be changed by a plain edit. The only way to move it is the dedicated "Reschedule" action (a new date/time, plus an optional reason), which creates a brand-new row linked back to the original and marks the original Rescheduled — so the full reschedule history is always preserved, never overwritten in place.</w:t>
      </w:r>
    </w:p>
    <w:p>
      <w:pPr>
        <w:pStyle w:val="Heading1"/>
        <w:spacing w:after="180" w:before="360"/>
      </w:pPr>
      <w:r>
        <w:rPr>
          <w:b/>
          <w:bCs/>
          <w:color w:val="0E1131"/>
          <w:sz w:val="30"/>
          <w:szCs w:val="30"/>
        </w:rPr>
        <w:t xml:space="preserve">12. Appointment Workflow (the "Appointment Call Sheet")</w:t>
      </w:r>
    </w:p>
    <w:p>
      <w:pPr>
        <w:spacing w:after="140" w:line="276"/>
      </w:pPr>
      <w:r>
        <w:rPr>
          <w:color w:val="222222"/>
          <w:sz w:val="21"/>
          <w:szCs w:val="21"/>
        </w:rPr>
        <w:t xml:space="preserve">An Appointment starts life as Scheduled. The only way to record a real business conclusion is the "Record Outcome" action — direct editing of its stage is deliberately locked once the record exists (helper text on the form literally says "Read-only — use Record Outcome to change this Appointment's business state").</w:t>
      </w:r>
    </w:p>
    <w:p>
      <w:pPr>
        <w:spacing w:after="140" w:line="276"/>
      </w:pPr>
      <w:r>
        <w:rPr>
          <w:color w:val="222222"/>
          <w:sz w:val="21"/>
          <w:szCs w:val="21"/>
        </w:rPr>
        <w:t xml:space="preserve">Record Outcome offers exactly six outcomes: Follow-Up Required (creates a Follow-Up), Requirement Identified (creates/advances a Lead — the only outcome that does, per what the report calls the "approved Master BA rule"), Another Appointment Required (creates a repeat Appointment), Demo Required (requires picking an existing Lead for the same company, then schedules a Demo), Proposal Required (same Lead requirement, starts a Proposal), or No Current Requirement (ends here). "Mark Lost" is a separate, always-available action with a required reason.</w:t>
      </w:r>
    </w:p>
    <w:p>
      <w:pPr>
        <w:pBdr>
          <w:left w:val="single" w:color="A06B1A" w:sz="18" w:space="8"/>
        </w:pBdr>
        <w:shd w:fill="FFF6E5" w:val="clear"/>
        <w:spacing w:after="160" w:before="100"/>
        <w:ind w:left="200"/>
      </w:pPr>
      <w:r>
        <w:rPr>
          <w:b/>
          <w:bCs/>
          <w:i/>
          <w:iCs/>
          <w:color w:val="A06B1A"/>
          <w:sz w:val="20"/>
          <w:szCs w:val="20"/>
        </w:rPr>
        <w:t xml:space="preserve">Needs verification: </w:t>
      </w:r>
      <w:r>
        <w:rPr>
          <w:i/>
          <w:iCs/>
          <w:color w:val="4a3a10"/>
          <w:sz w:val="20"/>
          <w:szCs w:val="20"/>
        </w:rPr>
        <w:t xml:space="preserve">the AppointmentStage names and order (Appointment Made → Visit Conducted → Discussion Completed → Succeeded/Not Succeeded) are explicitly documented in the code itself as provisional, not yet confirmed by the business (AGENTS.md §61, Question 1).</w:t>
      </w:r>
    </w:p>
    <w:p>
      <w:pPr>
        <w:pStyle w:val="Heading1"/>
        <w:spacing w:after="180" w:before="360"/>
      </w:pPr>
      <w:r>
        <w:rPr>
          <w:b/>
          <w:bCs/>
          <w:color w:val="0E1131"/>
          <w:sz w:val="30"/>
          <w:szCs w:val="30"/>
        </w:rPr>
        <w:t xml:space="preserve">13. Demo Workflow</w:t>
      </w:r>
    </w:p>
    <w:p>
      <w:pPr>
        <w:spacing w:after="140" w:line="276"/>
      </w:pPr>
      <w:r>
        <w:rPr>
          <w:color w:val="222222"/>
          <w:sz w:val="21"/>
          <w:szCs w:val="21"/>
        </w:rPr>
        <w:t xml:space="preserve">There is no blank "Create Demo" form anywhere in the application — a Demo is only ever created by scheduling one from an existing Lead (via the Lead's own "Schedule Demo" action, or an Appointment/Follow-Up/Proposal outcome that leads to one). A Demo records a Mode (On-Site or Online — On-Site requires a Location, Online requires a Meeting Link), optional Attendees/Product-Service/Purpose, and starts Scheduled.</w:t>
      </w:r>
    </w:p>
    <w:p>
      <w:pPr>
        <w:spacing w:after="140" w:line="276"/>
      </w:pPr>
      <w:r>
        <w:rPr>
          <w:color w:val="222222"/>
          <w:sz w:val="21"/>
          <w:szCs w:val="21"/>
        </w:rPr>
        <w:t xml:space="preserve">"Record Outcome" is the only way to conclude a Demo, with eight possible outcomes. Some outcomes have one fixed, deterministic next step the system enforces automatically (e.g. "Another Demo Required" always schedules a repeat Demo, "More Time / Discussion" always creates a Follow-Up); others (Interested &amp; OK, Correction Needed, Other) require the user to explicitly choose the next action from a restricted list — the system will never let a contradictory choice through for an outcome that already has one fixed answer.</w:t>
      </w:r>
    </w:p>
    <w:p>
      <w:pPr>
        <w:pStyle w:val="Heading1"/>
        <w:spacing w:after="180" w:before="360"/>
      </w:pPr>
      <w:r>
        <w:rPr>
          <w:b/>
          <w:bCs/>
          <w:color w:val="0E1131"/>
          <w:sz w:val="30"/>
          <w:szCs w:val="30"/>
        </w:rPr>
        <w:t xml:space="preserve">14. Pipeline Board</w:t>
      </w:r>
    </w:p>
    <w:p>
      <w:pPr>
        <w:spacing w:after="140" w:line="276"/>
      </w:pPr>
      <w:r>
        <w:rPr>
          <w:color w:val="222222"/>
          <w:sz w:val="21"/>
          <w:szCs w:val="21"/>
        </w:rPr>
        <w:t xml:space="preserve">The Pipeline Board is the main visual working surface — a Kanban-style page with exactly six lanes, always in this order: Calls | Follow-ups | Appointments | Leads | Demo | Proposal. Each lane is a single flat list of cards (never a stack of nested per-stage boxes); a card's own stage/status shows as a small badge on the card itself. A board-wide Period filter (Today/Week/Month/Quarter/All Time) narrows every lane at once, each by its own most meaningful date.</w:t>
      </w:r>
    </w:p>
    <w:p>
      <w:pPr>
        <w:pStyle w:val="Heading2"/>
        <w:spacing w:after="140" w:before="280"/>
      </w:pPr>
      <w:r>
        <w:rPr>
          <w:b/>
          <w:bCs/>
          <w:color w:val="1F4E8C"/>
          <w:sz w:val="25"/>
          <w:szCs w:val="25"/>
        </w:rPr>
        <w:t xml:space="preserve">14.1 Moving a card within its own lane</w:t>
      </w:r>
    </w:p>
    <w:p>
      <w:pPr>
        <w:spacing w:after="140" w:line="276"/>
      </w:pPr>
      <w:r>
        <w:rPr>
          <w:color w:val="222222"/>
          <w:sz w:val="21"/>
          <w:szCs w:val="21"/>
        </w:rPr>
        <w:t xml:space="preserve">Dragging a card to a new position inside its own lane opens a "Move to" picker showing only the destinations that are currently valid for that specific record (a Lost Lead can only move to Lost; an Appointment can never be dragged straight to Succeeded — that always requires "Record Outcome" instead, since a real outcome needs specifics a drag alone can't capture). If there is only one valid destination, the picker is skipped and the move applies directly. A Proposal card's same-lane drag is always refused outright — a Proposal's Stage and Outcome are exclusively decided by the Proposal's own workflow, never by dragging its card.</w:t>
      </w:r>
    </w:p>
    <w:p>
      <w:pPr>
        <w:pStyle w:val="Heading2"/>
        <w:spacing w:after="140" w:before="280"/>
      </w:pPr>
      <w:r>
        <w:rPr>
          <w:b/>
          <w:bCs/>
          <w:color w:val="1F4E8C"/>
          <w:sz w:val="25"/>
          <w:szCs w:val="25"/>
        </w:rPr>
        <w:t xml:space="preserve">14.2 Moving a card to a different lane (cross-lane)</w:t>
      </w:r>
    </w:p>
    <w:p>
      <w:pPr>
        <w:spacing w:after="140" w:line="276"/>
      </w:pPr>
      <w:r>
        <w:rPr>
          <w:color w:val="222222"/>
          <w:sz w:val="21"/>
          <w:szCs w:val="21"/>
        </w:rPr>
        <w:t xml:space="preserve">Dragging a card into a different lane creates a brand-new linked record in that destination lane, always starting at that destination's one fixed starting point (e.g. a new Appointment always starts at Appointment Made, never at a later stage). A confirmation dialog collects only the specific fields that destination genuinely needs, pre-filling anything already known from the source card. Cancelling, or any failure during the move, leaves the original card completely unchanged and creates nothing partial.</w:t>
      </w:r>
    </w:p>
    <w:p>
      <w:pPr>
        <w:pStyle w:val="ListParagraph"/>
        <w:numPr>
          <w:ilvl w:val="0"/>
          <w:numId w:val="1"/>
        </w:numPr>
        <w:spacing w:after="80" w:line="264"/>
      </w:pPr>
      <w:r>
        <w:rPr>
          <w:b/>
          <w:bCs/>
          <w:sz w:val="20"/>
          <w:szCs w:val="20"/>
        </w:rPr>
        <w:t xml:space="preserve">A Call card: </w:t>
      </w:r>
      <w:r>
        <w:rPr>
          <w:sz w:val="20"/>
          <w:szCs w:val="20"/>
        </w:rPr>
        <w:t xml:space="preserve">is the one card that never creates a lane destination directly — dragging it logs a brand-new real Call Record for the same company (through the identical Call-logging pipeline as "Log a Call"), and it is the outcome chosen in that dialog that decides what (if anything) is created next. The original dragged Call Record itself is never changed.</w:t>
      </w:r>
    </w:p>
    <w:p>
      <w:pPr>
        <w:pStyle w:val="ListParagraph"/>
        <w:numPr>
          <w:ilvl w:val="0"/>
          <w:numId w:val="1"/>
        </w:numPr>
        <w:spacing w:after="80" w:line="264"/>
      </w:pPr>
      <w:r>
        <w:rPr>
          <w:b/>
          <w:bCs/>
          <w:sz w:val="20"/>
          <w:szCs w:val="20"/>
        </w:rPr>
        <w:t xml:space="preserve">A Proposal card: </w:t>
      </w:r>
      <w:r>
        <w:rPr>
          <w:sz w:val="20"/>
          <w:szCs w:val="20"/>
        </w:rPr>
        <w:t xml:space="preserve">can never be the starting point of a cross-lane drag, and the only approved way a new Proposal is created from the board at all is dragging a qualifying Lead into the Proposal lane.</w:t>
      </w:r>
    </w:p>
    <w:p>
      <w:pPr>
        <w:pStyle w:val="ListParagraph"/>
        <w:numPr>
          <w:ilvl w:val="0"/>
          <w:numId w:val="1"/>
        </w:numPr>
        <w:spacing w:after="80" w:line="264"/>
      </w:pPr>
      <w:r>
        <w:rPr>
          <w:b/>
          <w:bCs/>
          <w:sz w:val="20"/>
          <w:szCs w:val="20"/>
        </w:rPr>
        <w:t xml:space="preserve">A Demo card: </w:t>
      </w:r>
      <w:r>
        <w:rPr>
          <w:sz w:val="20"/>
          <w:szCs w:val="20"/>
        </w:rPr>
        <w:t xml:space="preserve">is only ever a destination (from a Lead), never a source — its own outcome-driven moves happen only through the Demo's own "Record Outcome" action.</w:t>
      </w:r>
    </w:p>
    <w:p>
      <w:pPr>
        <w:pStyle w:val="ListParagraph"/>
        <w:numPr>
          <w:ilvl w:val="0"/>
          <w:numId w:val="1"/>
        </w:numPr>
        <w:spacing w:after="80" w:line="264"/>
      </w:pPr>
      <w:r>
        <w:rPr>
          <w:b/>
          <w:bCs/>
          <w:sz w:val="20"/>
          <w:szCs w:val="20"/>
        </w:rPr>
        <w:t xml:space="preserve">An Appointment or Follow-up card: </w:t>
      </w:r>
      <w:r>
        <w:rPr>
          <w:sz w:val="20"/>
          <w:szCs w:val="20"/>
        </w:rPr>
        <w:t xml:space="preserve">cannot be dragged straight into Demo or Proposal, because both need a specific existing Lead attached that the card itself doesn't carry — the approved path is that record's own "Record Outcome" action, which asks for the Lead explicitly.</w:t>
      </w:r>
    </w:p>
    <w:p>
      <w:pPr>
        <w:pStyle w:val="Heading2"/>
        <w:spacing w:after="140" w:before="280"/>
      </w:pPr>
      <w:r>
        <w:rPr>
          <w:b/>
          <w:bCs/>
          <w:color w:val="1F4E8C"/>
          <w:sz w:val="25"/>
          <w:szCs w:val="25"/>
        </w:rPr>
        <w:t xml:space="preserve">14.3 Card content and role restrictions</w:t>
      </w:r>
    </w:p>
    <w:p>
      <w:pPr>
        <w:spacing w:after="140" w:line="276"/>
      </w:pPr>
      <w:r>
        <w:rPr>
          <w:color w:val="222222"/>
          <w:sz w:val="21"/>
          <w:szCs w:val="21"/>
        </w:rPr>
        <w:t xml:space="preserve">Every card shows its Assigned Employee, and (where the underlying record supports it) an Overdue badge computed from the record's own existing "is this overdue" logic — Lead and Proposal cards never show an Overdue badge, since neither one is ever considered "overdue" merely because time has passed (Sections 23/27 of the companion Database document). Right-clicking a card opens a "History" view showing that one record's own lineage — what created it and what it later created — never a fabricated change-by-change timeline. Board authorization is inherited automatically from each module's own visibility rules (the same Manager/Senior-Manager/Employee scoping described in Section 2) — there is no separate, board-specific permission system to keep in sync.</w:t>
      </w:r>
    </w:p>
    <w:p>
      <w:pPr>
        <w:pBdr>
          <w:left w:val="single" w:color="A12B2B" w:sz="18" w:space="8"/>
        </w:pBdr>
        <w:shd w:fill="FDEEEE" w:val="clear"/>
        <w:spacing w:after="160" w:before="100"/>
        <w:ind w:left="200"/>
      </w:pPr>
      <w:r>
        <w:rPr>
          <w:b/>
          <w:bCs/>
          <w:color w:val="A12B2B"/>
          <w:sz w:val="20"/>
          <w:szCs w:val="20"/>
        </w:rPr>
        <w:t xml:space="preserve">Redesigned Pipeline Board (V2) is built but not yet live: </w:t>
      </w:r>
      <w:r>
        <w:rPr>
          <w:color w:val="4a1010"/>
          <w:sz w:val="20"/>
          <w:szCs w:val="20"/>
        </w:rPr>
        <w:t xml:space="preserve">The current codebase also contains a considerably richer version of the Calls-lane cross-drag dialogs — separate, purpose-built forms for Call→Follow-Up, Call→Appointment (with its own Mode/Person Meeting/Location fields), and Call→Lead (with an Opportunity Title field) — plus corresponding Appointment.mode/person_meeting/location and Lead.opportunity_title columns. This redesign is fully coded and covered in the companion Database document, but the migrations that add its columns are confirmed NOT applied to production. What is described above (Sections 14.1–14.3) is the simpler, currently-live behavior: a single generic "Log a Call" dialog is used for every Calls-lane cross-drag today, without the destination-specific Mode/Person Meeting/Location/Opportunity Title fields.</w:t>
      </w:r>
    </w:p>
    <w:p>
      <w:pPr>
        <w:pStyle w:val="Heading1"/>
        <w:spacing w:after="180" w:before="360"/>
      </w:pPr>
      <w:r>
        <w:rPr>
          <w:b/>
          <w:bCs/>
          <w:color w:val="0E1131"/>
          <w:sz w:val="30"/>
          <w:szCs w:val="30"/>
        </w:rPr>
        <w:t xml:space="preserve">15. Proposal Lifecycle</w:t>
      </w:r>
    </w:p>
    <w:p>
      <w:pPr>
        <w:pStyle w:val="Heading2"/>
        <w:spacing w:after="140" w:before="280"/>
      </w:pPr>
      <w:r>
        <w:rPr>
          <w:b/>
          <w:bCs/>
          <w:color w:val="1F4E8C"/>
          <w:sz w:val="25"/>
          <w:szCs w:val="25"/>
        </w:rPr>
        <w:t xml:space="preserve">15.1 What is live in production today</w:t>
      </w:r>
    </w:p>
    <w:p>
      <w:pPr>
        <w:spacing w:after="140" w:line="276"/>
      </w:pPr>
      <w:r>
        <w:rPr>
          <w:color w:val="222222"/>
          <w:sz w:val="21"/>
          <w:szCs w:val="21"/>
        </w:rPr>
        <w:t xml:space="preserve">A Proposal can be created only from a qualifying Lead (one already marked ready — Validated stage, or Proposal Required status — with meaningful Notes/Remarks already on it), via that Lead's "Create Proposal" action, or by dragging a qualifying Lead into the Pipeline Board's Proposal lane. Exactly one Proposal per Lead is allowed, enforced at the database level, not just by convention.</w:t>
      </w:r>
    </w:p>
    <w:p>
      <w:pPr>
        <w:spacing w:after="140" w:line="276"/>
      </w:pPr>
      <w:r>
        <w:rPr>
          <w:color w:val="222222"/>
          <w:sz w:val="21"/>
          <w:szCs w:val="21"/>
        </w:rPr>
        <w:t xml:space="preserve">As actually used today, a Proposal is a single flat record: its Stage (Being Prepared → Sent → Customer Accepted/Customer Rejected — names and order explicitly provisional per the code's own documentation) and its Outcome (Won / Hold / Lost, or blank while still in progress) are edited directly on the ordinary Proposal Edit form, and a Value figure and file attachments (required once Stage = Sent) are recorded alongside them. Notes become mandatory the moment Outcome is set to Won or Lost.</w:t>
      </w:r>
    </w:p>
    <w:p>
      <w:pPr>
        <w:spacing w:after="140" w:line="276"/>
      </w:pPr>
      <w:r>
        <w:rPr>
          <w:color w:val="222222"/>
          <w:sz w:val="21"/>
          <w:szCs w:val="21"/>
        </w:rPr>
        <w:t xml:space="preserve">The "Continue" action lets the assigned person route a still-open Proposal forward without changing its final Outcome: Follow-Up Required, Demo Required, or Requirement Clarification Required — while a Proposal is on Hold, only Follow-Up Required is offered, since Hold is described in the code as "not a final decision, just a pause."</w:t>
      </w:r>
    </w:p>
    <w:p>
      <w:pPr>
        <w:pStyle w:val="Heading2"/>
        <w:spacing w:after="140" w:before="280"/>
      </w:pPr>
      <w:r>
        <w:rPr>
          <w:b/>
          <w:bCs/>
          <w:color w:val="1F4E8C"/>
          <w:sz w:val="25"/>
          <w:szCs w:val="25"/>
        </w:rPr>
        <w:t xml:space="preserve">15.2 The multi-version commercial workflow — built, not yet live</w:t>
      </w:r>
    </w:p>
    <w:p>
      <w:pPr>
        <w:pBdr>
          <w:left w:val="single" w:color="A12B2B" w:sz="18" w:space="8"/>
        </w:pBdr>
        <w:shd w:fill="FDEEEE" w:val="clear"/>
        <w:spacing w:after="160" w:before="100"/>
        <w:ind w:left="200"/>
      </w:pPr>
      <w:r>
        <w:rPr>
          <w:b/>
          <w:bCs/>
          <w:color w:val="A12B2B"/>
          <w:sz w:val="20"/>
          <w:szCs w:val="20"/>
        </w:rPr>
        <w:t xml:space="preserve">Not available to end users in production today: </w:t>
      </w:r>
      <w:r>
        <w:rPr>
          <w:color w:val="4a1010"/>
          <w:sz w:val="20"/>
          <w:szCs w:val="20"/>
        </w:rPr>
        <w:t xml:space="preserve">The codebase contains an extensive, fully implemented "Commercial Version" system layered on top of the Proposal record above (draft line-item pricing with exact decimal tax/discount math, a formal Submit → Manager/Senior-Manager Approve or Return-for-Revision cycle with self-approval explicitly blocked, PDF generation and correction, a controlled Release-for-Sending step, manual send recording with full send history, and a structured client-response record — Accepted / Revision Requested / More Time / Rejected / Other — that on Accepted automatically sets the Proposal to Won and creates a placeholder billing hand-off row). Every part of this was verified directly in the code (ManageCommercialVersion.php, ViewCommercialVersion.php, and the Proposal*Service classes) and is described here for completeness, but the project's own deployment runbook confirms none of its supporting database schema has been applied to production. A user opening the application today does not see a "Commercial Version," a Submit/Approve workflow, a generated PDF, a Send History tab, or a structured client-response form — only the flat Stage/Outcome/Value/attachment fields described in 15.1.</w:t>
      </w:r>
    </w:p>
    <w:p>
      <w:pPr>
        <w:spacing w:after="140" w:line="276"/>
      </w:pPr>
      <w:r>
        <w:rPr>
          <w:color w:val="222222"/>
          <w:sz w:val="21"/>
          <w:szCs w:val="21"/>
        </w:rPr>
        <w:t xml:space="preserve">For completeness, the built (not-yet-live) version lifecycle is: Draft (the only editable state; a Draft is created automatically the instant a Proposal itself is created) → Submitted (locked, awaiting approval) → Approved (a Senior Manager who did not submit it themselves — self-approval is blocked outright) or Returned for Revision (creates a fresh Draft) → Sent (once a manual send is recorded against a Released, current PDF). A later commercial change never edits a Sent/Approved Version in place — it always creates an entirely new, higher-numbered Version instead.</w:t>
      </w:r>
    </w:p>
    <w:p>
      <w:pPr>
        <w:pStyle w:val="Heading1"/>
        <w:spacing w:after="180" w:before="360"/>
      </w:pPr>
      <w:r>
        <w:rPr>
          <w:b/>
          <w:bCs/>
          <w:color w:val="0E1131"/>
          <w:sz w:val="30"/>
          <w:szCs w:val="30"/>
        </w:rPr>
        <w:t xml:space="preserve">16. Notifications / Reminders</w:t>
      </w:r>
    </w:p>
    <w:p>
      <w:pPr>
        <w:pBdr>
          <w:left w:val="single" w:color="A12B2B" w:sz="18" w:space="8"/>
        </w:pBdr>
        <w:shd w:fill="FDEEEE" w:val="clear"/>
        <w:spacing w:after="160" w:before="100"/>
        <w:ind w:left="200"/>
      </w:pPr>
      <w:r>
        <w:rPr>
          <w:b/>
          <w:bCs/>
          <w:color w:val="A12B2B"/>
          <w:sz w:val="20"/>
          <w:szCs w:val="20"/>
        </w:rPr>
        <w:t xml:space="preserve">Not implemented: </w:t>
      </w:r>
      <w:r>
        <w:rPr>
          <w:color w:val="4a1010"/>
          <w:sz w:val="20"/>
          <w:szCs w:val="20"/>
        </w:rPr>
        <w:t xml:space="preserve">No notification, reminder, or scheduled-alert system exists anywhere in the current codebase. There are no queued jobs and no scheduled console tasks beyond Laravel's own default "inspire" command (confirmed by inspecting routes/console.php and the jobs table's actual usage), and the project's own README explicitly lists this as an open item. A Follow-Up, Appointment, or Demo coming due, or a Lead/Proposal going stale, is surfaced only by a user actively opening the relevant list/dashboard and looking — there is no push, email, or in-app alert that proactively tells anyone.</w:t>
      </w:r>
    </w:p>
    <w:p>
      <w:pPr>
        <w:pStyle w:val="Heading1"/>
        <w:spacing w:after="180" w:before="360"/>
      </w:pPr>
      <w:r>
        <w:rPr>
          <w:b/>
          <w:bCs/>
          <w:color w:val="0E1131"/>
          <w:sz w:val="30"/>
          <w:szCs w:val="30"/>
        </w:rPr>
        <w:t xml:space="preserve">17. History / Audit Trail</w:t>
      </w:r>
    </w:p>
    <w:p>
      <w:pPr>
        <w:spacing w:after="140" w:line="276"/>
      </w:pPr>
      <w:r>
        <w:rPr>
          <w:color w:val="222222"/>
          <w:sz w:val="21"/>
          <w:szCs w:val="21"/>
        </w:rPr>
        <w:t xml:space="preserve">Two different things both answer to "history" in this application, and they should not be confused:</w:t>
      </w:r>
    </w:p>
    <w:p>
      <w:pPr>
        <w:pStyle w:val="ListParagraph"/>
        <w:numPr>
          <w:ilvl w:val="0"/>
          <w:numId w:val="1"/>
        </w:numPr>
        <w:spacing w:after="80" w:line="264"/>
      </w:pPr>
      <w:r>
        <w:rPr>
          <w:b/>
          <w:bCs/>
          <w:sz w:val="20"/>
          <w:szCs w:val="20"/>
        </w:rPr>
        <w:t xml:space="preserve">The Call Record list (Activity Log): </w:t>
      </w:r>
      <w:r>
        <w:rPr>
          <w:sz w:val="20"/>
          <w:szCs w:val="20"/>
        </w:rPr>
        <w:t xml:space="preserve">is the day-to-day, user-visible activity history — every call ever made, permanent and never deleted as a side effect of anything else (AGENTS.md §12/§51).</w:t>
      </w:r>
    </w:p>
    <w:p>
      <w:pPr>
        <w:pStyle w:val="ListParagraph"/>
        <w:numPr>
          <w:ilvl w:val="0"/>
          <w:numId w:val="1"/>
        </w:numPr>
        <w:spacing w:after="80" w:line="264"/>
      </w:pPr>
      <w:r>
        <w:rPr>
          <w:b/>
          <w:bCs/>
          <w:sz w:val="20"/>
          <w:szCs w:val="20"/>
        </w:rPr>
        <w:t xml:space="preserve">The audit_events table: </w:t>
      </w:r>
      <w:r>
        <w:rPr>
          <w:sz w:val="20"/>
          <w:szCs w:val="20"/>
        </w:rPr>
        <w:t xml:space="preserve">is a separate, lower-level record of sensitive actions (role changes, manager changes, call-outcome corrections, organization creation, and similar) written automatically by the application's own AuditLogger. Every one of these events is genuinely recorded in the database.</w:t>
      </w:r>
    </w:p>
    <w:p>
      <w:pPr>
        <w:pBdr>
          <w:left w:val="single" w:color="A12B2B" w:sz="18" w:space="8"/>
        </w:pBdr>
        <w:shd w:fill="FDEEEE" w:val="clear"/>
        <w:spacing w:after="160" w:before="100"/>
        <w:ind w:left="200"/>
      </w:pPr>
      <w:r>
        <w:rPr>
          <w:b/>
          <w:bCs/>
          <w:color w:val="A12B2B"/>
          <w:sz w:val="20"/>
          <w:szCs w:val="20"/>
        </w:rPr>
        <w:t xml:space="preserve">No in-app viewer for the audit trail: </w:t>
      </w:r>
      <w:r>
        <w:rPr>
          <w:color w:val="4a1010"/>
          <w:sz w:val="20"/>
          <w:szCs w:val="20"/>
        </w:rPr>
        <w:t xml:space="preserve">There is no Filament Resource or Page anywhere in the codebase that lists, searches, or displays audit_events — confirmed by searching the entire app/Filament directory. Reviewing this audit trail today requires direct database access; no user, including a Senior Manager, can browse it from within the application.</w:t>
      </w:r>
    </w:p>
    <w:p>
      <w:pPr>
        <w:pStyle w:val="Heading1"/>
        <w:spacing w:after="180" w:before="360"/>
      </w:pPr>
      <w:r>
        <w:rPr>
          <w:b/>
          <w:bCs/>
          <w:color w:val="0E1131"/>
          <w:sz w:val="30"/>
          <w:szCs w:val="30"/>
        </w:rPr>
        <w:t xml:space="preserve">18. Search / Filters</w:t>
      </w:r>
    </w:p>
    <w:p>
      <w:pPr>
        <w:spacing w:after="140" w:line="276"/>
      </w:pPr>
      <w:r>
        <w:rPr>
          <w:color w:val="222222"/>
          <w:sz w:val="21"/>
          <w:szCs w:val="21"/>
        </w:rPr>
        <w:t xml:space="preserve">Every list in the application supports its own set of column-specific filters (text-contains, category selects, date ranges, and Ternary "Lost only / Active only / All" filters where relevant), plus a global search (the header search bar) that can jump straight to a matching Prospect's View page. Most Database columns are hidden by default and can be toggled on per user — that choice is remembered in the database (prospect_table_column_preferences), not just in the browser, so it survives across devices and sessions for that user.</w:t>
      </w:r>
    </w:p>
    <w:p>
      <w:pPr>
        <w:pStyle w:val="Heading1"/>
        <w:spacing w:after="180" w:before="360"/>
      </w:pPr>
      <w:r>
        <w:rPr>
          <w:b/>
          <w:bCs/>
          <w:color w:val="0E1131"/>
          <w:sz w:val="30"/>
          <w:szCs w:val="30"/>
        </w:rPr>
        <w:t xml:space="preserve">19. Settings</w:t>
      </w:r>
    </w:p>
    <w:p>
      <w:pPr>
        <w:spacing w:after="140" w:line="276"/>
      </w:pPr>
      <w:r>
        <w:rPr>
          <w:color w:val="222222"/>
          <w:sz w:val="21"/>
          <w:szCs w:val="21"/>
        </w:rPr>
        <w:t xml:space="preserve">There is no dedicated, general-purpose Settings screen. The closest equivalent is a small per-organization settings JSON column (organizations.settings) that today only stores a set of module enable/disable flags — there is no UI screen surfaced in the codebase for an end user to change these; changing them would currently require direct database access. There is no user-facing preferences page beyond the per-user Database column-toggle choice described in Section 18 and each user's own avatar/profile fields on Employee Management.</w:t>
      </w:r>
    </w:p>
    <w:p>
      <w:pPr>
        <w:pStyle w:val="Heading1"/>
        <w:spacing w:after="180" w:before="360"/>
      </w:pPr>
      <w:r>
        <w:rPr>
          <w:b/>
          <w:bCs/>
          <w:color w:val="0E1131"/>
          <w:sz w:val="30"/>
          <w:szCs w:val="30"/>
        </w:rPr>
        <w:t xml:space="preserve">20. Organization / Tenant Behavior</w:t>
      </w:r>
    </w:p>
    <w:p>
      <w:pPr>
        <w:spacing w:after="140" w:line="276"/>
      </w:pPr>
      <w:r>
        <w:rPr>
          <w:color w:val="222222"/>
          <w:sz w:val="21"/>
          <w:szCs w:val="21"/>
        </w:rPr>
        <w:t xml:space="preserve">Aculyze-LM is built to hold more than one organization's data side by side in the same database, fully isolated from each other — but only one organization (Aculyze Solutions LLP) exists in this deployment today. A user only ever sees their own organization's data; the application refuses to run an organization-scoped query at all if no tenant context has been explicitly established first, rather than risk showing unscoped rows (AGENTS.md §6).</w:t>
      </w:r>
    </w:p>
    <w:p>
      <w:pPr>
        <w:pStyle w:val="Heading1"/>
        <w:spacing w:after="180" w:before="360"/>
      </w:pPr>
      <w:r>
        <w:rPr>
          <w:b/>
          <w:bCs/>
          <w:color w:val="0E1131"/>
          <w:sz w:val="30"/>
          <w:szCs w:val="30"/>
        </w:rPr>
        <w:t xml:space="preserve">21. Role-Based Visibility</w:t>
      </w:r>
    </w:p>
    <w:p>
      <w:pPr>
        <w:spacing w:after="140" w:line="276"/>
      </w:pPr>
      <w:r>
        <w:rPr>
          <w:color w:val="222222"/>
          <w:sz w:val="21"/>
          <w:szCs w:val="21"/>
        </w:rPr>
        <w:t xml:space="preserve">Every list, dashboard, and record page in the application applies the same three-tier visibility rule described in Section 2 (Employee: own only; Manager: own + direct reports'; Senior Manager: everyone in the organization). This is enforced in the underlying code itself — never only by hiding a navigation link or a button — so changing a URL or guessing a record ID cannot expose another employee's data; the result is a 403, not a leaked page (AGENTS.md §39).</w:t>
      </w:r>
    </w:p>
    <w:p>
      <w:r>
        <w:br w:type="page"/>
      </w:r>
    </w:p>
    <w:p>
      <w:pPr>
        <w:pStyle w:val="Heading1"/>
        <w:spacing w:after="180" w:before="360"/>
      </w:pPr>
      <w:r>
        <w:rPr>
          <w:b/>
          <w:bCs/>
          <w:color w:val="0E1131"/>
          <w:sz w:val="30"/>
          <w:szCs w:val="30"/>
        </w:rPr>
        <w:t xml:space="preserve">22. Complete End-to-End Example</w:t>
      </w:r>
    </w:p>
    <w:p>
      <w:pPr>
        <w:spacing w:after="140" w:line="276"/>
      </w:pPr>
      <w:r>
        <w:rPr>
          <w:color w:val="222222"/>
          <w:sz w:val="21"/>
          <w:szCs w:val="21"/>
        </w:rPr>
        <w:t xml:space="preserve">A single company, "Acme Textiles," carried from first contact through to a won deal, naming the exact screen and action at every step:</w:t>
      </w:r>
    </w:p>
    <w:p>
      <w:pPr>
        <w:pStyle w:val="ListParagraph"/>
        <w:numPr>
          <w:ilvl w:val="0"/>
          <w:numId w:val="1"/>
        </w:numPr>
        <w:spacing w:after="80" w:line="264"/>
      </w:pPr>
      <w:r>
        <w:rPr>
          <w:sz w:val="20"/>
          <w:szCs w:val="20"/>
        </w:rPr>
        <w:t xml:space="preserve">1. An Employee adds Acme Textiles to the Database (New Prospect), or it arrives via an Excel import — either way it now has an Assigned Employee.</w:t>
      </w:r>
    </w:p>
    <w:p>
      <w:pPr>
        <w:pStyle w:val="ListParagraph"/>
        <w:numPr>
          <w:ilvl w:val="0"/>
          <w:numId w:val="1"/>
        </w:numPr>
        <w:spacing w:after="80" w:line="264"/>
      </w:pPr>
      <w:r>
        <w:rPr>
          <w:sz w:val="20"/>
          <w:szCs w:val="20"/>
        </w:rPr>
        <w:t xml:space="preserve">2. The Employee logs a first Call against Acme Textiles from the Activity Log (or the Pipeline Board's "+ Log a call"), picks the outcome Requirement Identified, and fills in Notes — a Lead is created automatically.</w:t>
      </w:r>
    </w:p>
    <w:p>
      <w:pPr>
        <w:pStyle w:val="ListParagraph"/>
        <w:numPr>
          <w:ilvl w:val="0"/>
          <w:numId w:val="1"/>
        </w:numPr>
        <w:spacing w:after="80" w:line="264"/>
      </w:pPr>
      <w:r>
        <w:rPr>
          <w:sz w:val="20"/>
          <w:szCs w:val="20"/>
        </w:rPr>
        <w:t xml:space="preserve">3. On the Lead (Requirement Collection stage), the Employee adds Requirement Details and uses "Update Status" as the conversation progresses (e.g. to Requirement Confirmed), then eventually to a state that makes it eligible for a Proposal (Validated stage, with Notes/Remarks now mandatory and present).</w:t>
      </w:r>
    </w:p>
    <w:p>
      <w:pPr>
        <w:pStyle w:val="ListParagraph"/>
        <w:numPr>
          <w:ilvl w:val="0"/>
          <w:numId w:val="1"/>
        </w:numPr>
        <w:spacing w:after="80" w:line="264"/>
      </w:pPr>
      <w:r>
        <w:rPr>
          <w:sz w:val="20"/>
          <w:szCs w:val="20"/>
        </w:rPr>
        <w:t xml:space="preserve">4. Optionally, the Employee uses "Schedule Demo" on the Lead first; the Demo is later concluded via "Record Outcome" → Proposal Required, which is one of the ways a Proposal becomes reachable.</w:t>
      </w:r>
    </w:p>
    <w:p>
      <w:pPr>
        <w:pStyle w:val="ListParagraph"/>
        <w:numPr>
          <w:ilvl w:val="0"/>
          <w:numId w:val="1"/>
        </w:numPr>
        <w:spacing w:after="80" w:line="264"/>
      </w:pPr>
      <w:r>
        <w:rPr>
          <w:sz w:val="20"/>
          <w:szCs w:val="20"/>
        </w:rPr>
        <w:t xml:space="preserve">5. From the qualifying Lead, "Create Proposal" opens the new Proposal at Being Prepared. The Employee (or a Manager) fills in Value and prepares attachments.</w:t>
      </w:r>
    </w:p>
    <w:p>
      <w:pPr>
        <w:pStyle w:val="ListParagraph"/>
        <w:numPr>
          <w:ilvl w:val="0"/>
          <w:numId w:val="1"/>
        </w:numPr>
        <w:spacing w:after="80" w:line="264"/>
      </w:pPr>
      <w:r>
        <w:rPr>
          <w:sz w:val="20"/>
          <w:szCs w:val="20"/>
        </w:rPr>
        <w:t xml:space="preserve">6. Once ready, an attachment is uploaded and the Proposal's Stage is set to Sent (an attachment is mandatory once Sent is chosen).</w:t>
      </w:r>
    </w:p>
    <w:p>
      <w:pPr>
        <w:pStyle w:val="ListParagraph"/>
        <w:numPr>
          <w:ilvl w:val="0"/>
          <w:numId w:val="1"/>
        </w:numPr>
        <w:spacing w:after="80" w:line="264"/>
      </w:pPr>
      <w:r>
        <w:rPr>
          <w:sz w:val="20"/>
          <w:szCs w:val="20"/>
        </w:rPr>
        <w:t xml:space="preserve">7. The customer responds positively. Someone with access sets the Proposal's Outcome to Won and fills in the required Notes explaining the decision — the deal is now closed-won.</w:t>
      </w:r>
    </w:p>
    <w:p>
      <w:pPr>
        <w:pBdr>
          <w:left w:val="single" w:color="A06B1A" w:sz="18" w:space="8"/>
        </w:pBdr>
        <w:shd w:fill="FFF6E5" w:val="clear"/>
        <w:spacing w:after="160" w:before="100"/>
        <w:ind w:left="200"/>
      </w:pPr>
      <w:r>
        <w:rPr>
          <w:b/>
          <w:bCs/>
          <w:i/>
          <w:iCs/>
          <w:color w:val="A06B1A"/>
          <w:sz w:val="20"/>
          <w:szCs w:val="20"/>
        </w:rPr>
        <w:t xml:space="preserve">Needs verification: </w:t>
      </w:r>
      <w:r>
        <w:rPr>
          <w:i/>
          <w:iCs/>
          <w:color w:val="4a3a10"/>
          <w:sz w:val="20"/>
          <w:szCs w:val="20"/>
        </w:rPr>
        <w:t xml:space="preserve">this walk-through describes the Proposal step using what is actually live in production today (Section 15.1) — direct Stage/Outcome/Value editing. See Section 15.2 for the built-but-not-yet-deployed multi-version Submit/Approve/PDF/Send workflow that would sit in place of steps 5–7 once that layer is deployed.</w:t>
      </w:r>
    </w:p>
    <w:p>
      <w:pPr>
        <w:pStyle w:val="Heading1"/>
        <w:spacing w:after="180" w:before="360"/>
      </w:pPr>
      <w:r>
        <w:rPr>
          <w:b/>
          <w:bCs/>
          <w:color w:val="0E1131"/>
          <w:sz w:val="30"/>
          <w:szCs w:val="30"/>
        </w:rPr>
        <w:t xml:space="preserve">23. Exception / Alternate Flows</w:t>
      </w:r>
    </w:p>
    <w:p>
      <w:pPr>
        <w:spacing w:after="140" w:line="276"/>
      </w:pPr>
      <w:r>
        <w:rPr>
          <w:color w:val="222222"/>
          <w:sz w:val="21"/>
          <w:szCs w:val="21"/>
        </w:rPr>
        <w:t xml:space="preserve">Every alternate outcome described below is fully implemented and available today, not a hypothetical:</w:t>
      </w:r>
    </w:p>
    <w:p>
      <w:pPr>
        <w:pStyle w:val="ListParagraph"/>
        <w:numPr>
          <w:ilvl w:val="0"/>
          <w:numId w:val="1"/>
        </w:numPr>
        <w:spacing w:after="80" w:line="264"/>
      </w:pPr>
      <w:r>
        <w:rPr>
          <w:sz w:val="20"/>
          <w:szCs w:val="20"/>
        </w:rPr>
        <w:t xml:space="preserve">No Answer / Switched Off / Not Reachable — the Call Record is simply logged with no downstream record at all; the Prospect can be called again at any time.</w:t>
      </w:r>
    </w:p>
    <w:p>
      <w:pPr>
        <w:pStyle w:val="ListParagraph"/>
        <w:numPr>
          <w:ilvl w:val="0"/>
          <w:numId w:val="1"/>
        </w:numPr>
        <w:spacing w:after="80" w:line="264"/>
      </w:pPr>
      <w:r>
        <w:rPr>
          <w:sz w:val="20"/>
          <w:szCs w:val="20"/>
        </w:rPr>
        <w:t xml:space="preserve">Follow-Up not reached again — a Follow-Up stays Pending indefinitely, or is Rescheduled (creating a fresh Pending row) as many times as needed.</w:t>
      </w:r>
    </w:p>
    <w:p>
      <w:pPr>
        <w:pStyle w:val="ListParagraph"/>
        <w:numPr>
          <w:ilvl w:val="0"/>
          <w:numId w:val="1"/>
        </w:numPr>
        <w:spacing w:after="80" w:line="264"/>
      </w:pPr>
      <w:r>
        <w:rPr>
          <w:sz w:val="20"/>
          <w:szCs w:val="20"/>
        </w:rPr>
        <w:t xml:space="preserve">Demo Not Interested (No Progression) — the pursuit ends at the Demo; no further record is created.</w:t>
      </w:r>
    </w:p>
    <w:p>
      <w:pPr>
        <w:pStyle w:val="ListParagraph"/>
        <w:numPr>
          <w:ilvl w:val="0"/>
          <w:numId w:val="1"/>
        </w:numPr>
        <w:spacing w:after="80" w:line="264"/>
      </w:pPr>
      <w:r>
        <w:rPr>
          <w:sz w:val="20"/>
          <w:szCs w:val="20"/>
        </w:rPr>
        <w:t xml:space="preserve">Demo Correction Needed — loops back to another Demo rather than progressing.</w:t>
      </w:r>
    </w:p>
    <w:p>
      <w:pPr>
        <w:pStyle w:val="ListParagraph"/>
        <w:numPr>
          <w:ilvl w:val="0"/>
          <w:numId w:val="1"/>
        </w:numPr>
        <w:spacing w:after="80" w:line="264"/>
      </w:pPr>
      <w:r>
        <w:rPr>
          <w:sz w:val="20"/>
          <w:szCs w:val="20"/>
        </w:rPr>
        <w:t xml:space="preserve">Proposal Revision (built-not-live layer) — a client response of Revision Requested creates a fresh Draft Version and resets the Proposal back to Being Prepared.</w:t>
      </w:r>
    </w:p>
    <w:p>
      <w:pPr>
        <w:pStyle w:val="ListParagraph"/>
        <w:numPr>
          <w:ilvl w:val="0"/>
          <w:numId w:val="1"/>
        </w:numPr>
        <w:spacing w:after="80" w:line="264"/>
      </w:pPr>
      <w:r>
        <w:rPr>
          <w:sz w:val="20"/>
          <w:szCs w:val="20"/>
        </w:rPr>
        <w:t xml:space="preserve">Proposal Rejected — Outcome is set to Lost, with a mandatory Notes explanation.</w:t>
      </w:r>
    </w:p>
    <w:p>
      <w:pPr>
        <w:pStyle w:val="ListParagraph"/>
        <w:numPr>
          <w:ilvl w:val="0"/>
          <w:numId w:val="1"/>
        </w:numPr>
        <w:spacing w:after="80" w:line="264"/>
      </w:pPr>
      <w:r>
        <w:rPr>
          <w:sz w:val="20"/>
          <w:szCs w:val="20"/>
        </w:rPr>
        <w:t xml:space="preserve">Proposal on Hold — stays open and can only be continued via Follow-Up Required until it moves to a real Won/Lost outcome.</w:t>
      </w:r>
    </w:p>
    <w:p>
      <w:pPr>
        <w:pStyle w:val="ListParagraph"/>
        <w:numPr>
          <w:ilvl w:val="0"/>
          <w:numId w:val="1"/>
        </w:numPr>
        <w:spacing w:after="80" w:line="264"/>
      </w:pPr>
      <w:r>
        <w:rPr>
          <w:sz w:val="20"/>
          <w:szCs w:val="20"/>
        </w:rPr>
        <w:t xml:space="preserve">Reassignment mid-pipeline — a Manager or Senior Manager can move a Prospect, Appointment, Lead, or Demo to a different employee at any point without losing any history — every past Call Record still names whoever actually made that call.</w:t>
      </w:r>
    </w:p>
    <w:p>
      <w:pPr>
        <w:pStyle w:val="ListParagraph"/>
        <w:numPr>
          <w:ilvl w:val="0"/>
          <w:numId w:val="1"/>
        </w:numPr>
        <w:spacing w:after="80" w:line="264"/>
      </w:pPr>
      <w:r>
        <w:rPr>
          <w:sz w:val="20"/>
          <w:szCs w:val="20"/>
        </w:rPr>
        <w:t xml:space="preserve">Lost at any stage — Appointments, Leads, Demos, and Proposals each support their own explicit "Mark Lost"/rejection path with a required reason, independent of the outcome-routing rules above.</w:t>
      </w:r>
    </w:p>
    <w:p>
      <w:pPr>
        <w:pStyle w:val="Heading1"/>
        <w:spacing w:after="180" w:before="360"/>
      </w:pPr>
      <w:r>
        <w:rPr>
          <w:b/>
          <w:bCs/>
          <w:color w:val="0E1131"/>
          <w:sz w:val="30"/>
          <w:szCs w:val="30"/>
        </w:rPr>
        <w:t xml:space="preserve">24. End-to-End Flow Diagram</w:t>
      </w:r>
    </w:p>
    <w:p>
      <w:pPr>
        <w:spacing w:after="140" w:line="276"/>
      </w:pPr>
      <w:r>
        <w:rPr>
          <w:color w:val="222222"/>
          <w:sz w:val="21"/>
          <w:szCs w:val="21"/>
        </w:rPr>
        <w:t xml:space="preserve">The flowchart below traces the primary path (blue/green) and the fully-implemented alternate/exception outcomes (red) described in this document, ending at the two final states, Won and Lost.</w:t>
      </w:r>
    </w:p>
    <w:p>
      <w:pPr>
        <w:spacing w:after="60" w:before="160"/>
        <w:jc w:val="center"/>
      </w:pPr>
      <w:r>
        <w:drawing>
          <wp:inline distT="0" distB="0" distL="0" distR="0">
            <wp:extent cx="59055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581275"/>
                    </a:xfrm>
                    <a:prstGeom prst="rect">
                      <a:avLst/>
                    </a:prstGeom>
                  </pic:spPr>
                </pic:pic>
              </a:graphicData>
            </a:graphic>
          </wp:inline>
        </w:drawing>
      </w:r>
    </w:p>
    <w:p>
      <w:pPr>
        <w:spacing w:after="260" w:before="80"/>
        <w:jc w:val="center"/>
      </w:pPr>
      <w:r>
        <w:rPr>
          <w:i/>
          <w:iCs/>
          <w:color w:val="555555"/>
          <w:sz w:val="18"/>
          <w:szCs w:val="18"/>
        </w:rPr>
        <w:t xml:space="preserve">Figure 1. Aculyze-LM end-to-end sales lifecycle, reflecting production behavior as of 29 September 2026.</w:t>
      </w:r>
    </w:p>
    <w:p>
      <w:pPr>
        <w:pBdr>
          <w:left w:val="single" w:color="A06B1A" w:sz="18" w:space="8"/>
        </w:pBdr>
        <w:shd w:fill="FFF6E5" w:val="clear"/>
        <w:spacing w:after="160" w:before="100"/>
        <w:ind w:left="200"/>
      </w:pPr>
      <w:r>
        <w:rPr>
          <w:b/>
          <w:bCs/>
          <w:i/>
          <w:iCs/>
          <w:color w:val="A06B1A"/>
          <w:sz w:val="20"/>
          <w:szCs w:val="20"/>
        </w:rPr>
        <w:t xml:space="preserve">Needs verification: </w:t>
      </w:r>
      <w:r>
        <w:rPr>
          <w:i/>
          <w:iCs/>
          <w:color w:val="4a3a10"/>
          <w:sz w:val="20"/>
          <w:szCs w:val="20"/>
        </w:rPr>
        <w:t xml:space="preserve">screenshots of the live application are not included in this document. Producing accurate ones would require a running instance seeded with realistic, non-confidential sample data, which was outside the scope of this documentation set; the field names, labels, and behaviors described throughout this guide were instead verified directly against the current Filament Resource/Page source code.</w:t>
      </w:r>
    </w:p>
    <w:sectPr>
      <w:headerReference w:type="default" r:id="rId6"/>
      <w:footerReference w:type="default" r:id="rId7"/>
      <w:pgSz w:w="12240" w:h="15840" w:orient="portrait"/>
      <w:pgMar w:top="1080" w:right="1152" w:bottom="1080" w:left="1152"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color w:val="888888"/>
        <w:sz w:val="16"/>
        <w:szCs w:val="16"/>
      </w:rPr>
      <w:t xml:space="preserve">Aculyze Solutions LLP — Internal Handover Documentation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888888"/>
        <w:sz w:val="16"/>
        <w:szCs w:val="16"/>
      </w:rPr>
      <w:t xml:space="preserve">Aculyze-LM — End-to-End User Flow &amp;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71db0f6120a846d77ead51fa61b0be74a090b20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End-to-End User Flow &amp; User Guide</dc:title>
  <dc:creator>Aculyze Solutions LLP</dc:creator>
  <cp:lastModifiedBy>Un-named</cp:lastModifiedBy>
  <cp:revision>1</cp:revision>
  <dcterms:created xsi:type="dcterms:W3CDTF">2026-09-29T12:28:34.131Z</dcterms:created>
  <dcterms:modified xsi:type="dcterms:W3CDTF">2026-09-29T12:28:34.132Z</dcterms:modified>
</cp:coreProperties>
</file>

<file path=docProps/custom.xml><?xml version="1.0" encoding="utf-8"?>
<Properties xmlns="http://schemas.openxmlformats.org/officeDocument/2006/custom-properties" xmlns:vt="http://schemas.openxmlformats.org/officeDocument/2006/docPropsVTypes"/>
</file>