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line="276" w:lineRule="auto"/>
        <w:jc w:val="center"/>
      </w:pPr>
      <w:r>
        <w:rPr>
          <w:rFonts w:ascii="Times New Roman" w:hAnsi="Times New Roman"/>
          <w:b/>
          <w:color w:val="000000"/>
          <w:sz w:val="36"/>
        </w:rPr>
        <w:t>AI-Enabled Real-Time Network Traffic Anomaly Detection</w:t>
        <w:br/>
        <w:t>System for Threat Identification in Enterprise and IoT</w:t>
        <w:br/>
        <w:t>Infrastructure</w:t>
      </w:r>
    </w:p>
    <w:tbl>
      <w:tblPr>
        <w:tblW w:type="auto" w:w="0"/>
        <w:jc w:val="center"/>
        <w:tblLayout w:type="fixed"/>
        <w:tblLook w:firstColumn="1" w:firstRow="1" w:lastColumn="0" w:lastRow="0" w:noHBand="0" w:noVBand="1" w:val="04A0"/>
      </w:tblPr>
      <w:tblGrid>
        <w:gridCol w:w="3355"/>
        <w:gridCol w:w="3355"/>
        <w:gridCol w:w="3355"/>
      </w:tblGrid>
      <w:tr>
        <w:tc>
          <w:tcPr>
            <w:tcW w:type="dxa" w:w="3355"/>
            <w:tcMar>
              <w:top w:w="40" w:type="dxa"/>
              <w:bottom w:w="40" w:type="dxa"/>
              <w:left w:w="40" w:type="dxa"/>
              <w:right w:w="40" w:type="dxa"/>
            </w:tcMar>
          </w:tcPr>
          <w:p>
            <w:pPr>
              <w:spacing w:after="40" w:line="252" w:lineRule="auto"/>
              <w:jc w:val="center"/>
            </w:pPr>
            <w:r>
              <w:rPr>
                <w:rFonts w:ascii="Times New Roman" w:hAnsi="Times New Roman"/>
                <w:b/>
                <w:color w:val="000000"/>
                <w:sz w:val="20"/>
              </w:rPr>
              <w:t>Prem Sangeeth V</w:t>
              <w:br/>
            </w:r>
            <w:r>
              <w:rPr>
                <w:rFonts w:ascii="Times New Roman" w:hAnsi="Times New Roman"/>
                <w:i/>
                <w:color w:val="000000"/>
                <w:sz w:val="18"/>
              </w:rPr>
              <w:t>Assistant Professor,</w:t>
              <w:br/>
            </w:r>
            <w:r>
              <w:rPr>
                <w:rFonts w:ascii="Times New Roman" w:hAnsi="Times New Roman"/>
                <w:i/>
                <w:color w:val="000000"/>
                <w:sz w:val="18"/>
              </w:rPr>
              <w:t>Department of Electronics and</w:t>
              <w:br/>
            </w:r>
            <w:r>
              <w:rPr>
                <w:rFonts w:ascii="Times New Roman" w:hAnsi="Times New Roman"/>
                <w:i/>
                <w:color w:val="000000"/>
                <w:sz w:val="18"/>
              </w:rPr>
              <w:t>Communication Engineering ,</w:t>
              <w:br/>
            </w:r>
            <w:r>
              <w:rPr>
                <w:rFonts w:ascii="Times New Roman" w:hAnsi="Times New Roman"/>
                <w:i/>
                <w:color w:val="000000"/>
                <w:sz w:val="18"/>
              </w:rPr>
              <w:t>Chennai Institute of Technology,</w:t>
              <w:br/>
            </w:r>
            <w:r>
              <w:rPr>
                <w:rFonts w:ascii="Times New Roman" w:hAnsi="Times New Roman"/>
                <w:i/>
                <w:color w:val="000000"/>
                <w:sz w:val="18"/>
              </w:rPr>
              <w:t>Chennai, India.</w:t>
              <w:br/>
            </w:r>
            <w:r>
              <w:rPr>
                <w:rFonts w:ascii="Times New Roman" w:hAnsi="Times New Roman"/>
                <w:i w:val="0"/>
                <w:color w:val="000000"/>
                <w:sz w:val="17"/>
              </w:rPr>
              <w:t>premsangeethv@citchennai.net</w:t>
            </w:r>
          </w:p>
        </w:tc>
        <w:tc>
          <w:tcPr>
            <w:tcW w:type="dxa" w:w="3355"/>
            <w:tcMar>
              <w:top w:w="40" w:type="dxa"/>
              <w:bottom w:w="40" w:type="dxa"/>
              <w:left w:w="40" w:type="dxa"/>
              <w:right w:w="40" w:type="dxa"/>
            </w:tcMar>
          </w:tcPr>
          <w:p>
            <w:pPr>
              <w:spacing w:after="40" w:line="252" w:lineRule="auto"/>
              <w:jc w:val="center"/>
            </w:pPr>
            <w:r>
              <w:rPr>
                <w:rFonts w:ascii="Times New Roman" w:hAnsi="Times New Roman"/>
                <w:b/>
                <w:color w:val="000000"/>
                <w:sz w:val="20"/>
              </w:rPr>
              <w:t>Nithin S</w:t>
              <w:br/>
            </w:r>
            <w:r>
              <w:rPr>
                <w:rFonts w:ascii="Times New Roman" w:hAnsi="Times New Roman"/>
                <w:i/>
                <w:color w:val="000000"/>
                <w:sz w:val="18"/>
              </w:rPr>
              <w:t>Undergraduate Researcher</w:t>
              <w:br/>
            </w:r>
            <w:r>
              <w:rPr>
                <w:rFonts w:ascii="Times New Roman" w:hAnsi="Times New Roman"/>
                <w:i/>
                <w:color w:val="000000"/>
                <w:sz w:val="18"/>
              </w:rPr>
              <w:t>Department of Electronics &amp; Communication</w:t>
              <w:br/>
            </w:r>
            <w:r>
              <w:rPr>
                <w:rFonts w:ascii="Times New Roman" w:hAnsi="Times New Roman"/>
                <w:i/>
                <w:color w:val="000000"/>
                <w:sz w:val="18"/>
              </w:rPr>
              <w:t>Engineering</w:t>
              <w:br/>
            </w:r>
            <w:r>
              <w:rPr>
                <w:rFonts w:ascii="Times New Roman" w:hAnsi="Times New Roman"/>
                <w:i/>
                <w:color w:val="000000"/>
                <w:sz w:val="18"/>
              </w:rPr>
              <w:t>Chennai Institute of Technology,</w:t>
              <w:br/>
            </w:r>
            <w:r>
              <w:rPr>
                <w:rFonts w:ascii="Times New Roman" w:hAnsi="Times New Roman"/>
                <w:i/>
                <w:color w:val="000000"/>
                <w:sz w:val="18"/>
              </w:rPr>
              <w:t>Chennai, India.</w:t>
              <w:br/>
            </w:r>
            <w:r>
              <w:rPr>
                <w:rFonts w:ascii="Times New Roman" w:hAnsi="Times New Roman"/>
                <w:i w:val="0"/>
                <w:color w:val="000000"/>
                <w:sz w:val="17"/>
              </w:rPr>
              <w:t>nithinselvaraju.cse2024@citchennai.net</w:t>
            </w:r>
          </w:p>
        </w:tc>
        <w:tc>
          <w:tcPr>
            <w:tcW w:type="dxa" w:w="3355"/>
            <w:tcMar>
              <w:top w:w="40" w:type="dxa"/>
              <w:bottom w:w="40" w:type="dxa"/>
              <w:left w:w="40" w:type="dxa"/>
              <w:right w:w="40" w:type="dxa"/>
            </w:tcMar>
          </w:tcPr>
          <w:p>
            <w:pPr>
              <w:spacing w:after="40" w:line="252" w:lineRule="auto"/>
              <w:jc w:val="center"/>
            </w:pPr>
            <w:r>
              <w:rPr>
                <w:rFonts w:ascii="Times New Roman" w:hAnsi="Times New Roman"/>
                <w:b/>
                <w:color w:val="000000"/>
                <w:sz w:val="20"/>
              </w:rPr>
              <w:t>Varun Sai S</w:t>
              <w:br/>
            </w:r>
            <w:r>
              <w:rPr>
                <w:rFonts w:ascii="Times New Roman" w:hAnsi="Times New Roman"/>
                <w:i/>
                <w:color w:val="000000"/>
                <w:sz w:val="18"/>
              </w:rPr>
              <w:t>Undergraduate Researcher</w:t>
              <w:br/>
            </w:r>
            <w:r>
              <w:rPr>
                <w:rFonts w:ascii="Times New Roman" w:hAnsi="Times New Roman"/>
                <w:i/>
                <w:color w:val="000000"/>
                <w:sz w:val="18"/>
              </w:rPr>
              <w:t>Department of Electronics &amp; Communication</w:t>
              <w:br/>
            </w:r>
            <w:r>
              <w:rPr>
                <w:rFonts w:ascii="Times New Roman" w:hAnsi="Times New Roman"/>
                <w:i/>
                <w:color w:val="000000"/>
                <w:sz w:val="18"/>
              </w:rPr>
              <w:t>Engineering</w:t>
              <w:br/>
            </w:r>
            <w:r>
              <w:rPr>
                <w:rFonts w:ascii="Times New Roman" w:hAnsi="Times New Roman"/>
                <w:i/>
                <w:color w:val="000000"/>
                <w:sz w:val="18"/>
              </w:rPr>
              <w:t>Chennai Institute of Technology,</w:t>
              <w:br/>
            </w:r>
            <w:r>
              <w:rPr>
                <w:rFonts w:ascii="Times New Roman" w:hAnsi="Times New Roman"/>
                <w:i/>
                <w:color w:val="000000"/>
                <w:sz w:val="18"/>
              </w:rPr>
              <w:t>Chennai, India.</w:t>
              <w:br/>
            </w:r>
            <w:r>
              <w:rPr>
                <w:rFonts w:ascii="Times New Roman" w:hAnsi="Times New Roman"/>
                <w:i w:val="0"/>
                <w:color w:val="000000"/>
                <w:sz w:val="17"/>
              </w:rPr>
              <w:t>svarunsai.ece2024@citchennai.net</w:t>
            </w:r>
          </w:p>
        </w:tc>
      </w:tr>
    </w:tbl>
    <w:p>
      <w:pPr>
        <w:spacing w:before="120" w:after="40"/>
      </w:pPr>
    </w:p>
    <w:p>
      <w:pPr>
        <w:spacing w:before="80" w:after="60"/>
        <w:jc w:val="left"/>
      </w:pPr>
      <w:r>
        <w:rPr>
          <w:rFonts w:ascii="Times New Roman" w:hAnsi="Times New Roman"/>
          <w:b/>
          <w:color w:val="000000"/>
          <w:sz w:val="20"/>
        </w:rPr>
        <w:t>Abstract</w:t>
      </w:r>
    </w:p>
    <w:p>
      <w:pPr>
        <w:spacing w:after="120" w:line="252" w:lineRule="auto"/>
        <w:jc w:val="both"/>
      </w:pPr>
      <w:r>
        <w:rPr>
          <w:rFonts w:ascii="Times New Roman" w:hAnsi="Times New Roman"/>
          <w:b/>
          <w:color w:val="000000"/>
          <w:sz w:val="18"/>
        </w:rPr>
        <w:t>High-capacity enterprise backbones and distributed IoT environments cannot tolerate blind spots in traffic visibility. Yet, boundary defense teams routinely struggle against stealthy volumetric spikes, probing scans, and unauthorized tunneling that slip past legacy inspection pipelines. Static signatures and fixed threshold alerts no longer hold up; they trigger alert fatigue through excessive false alarms while missing novel adversarial tactics. We address this operational failure by designing a multi-tier learning pipeline that unites unsupervised tree partitioning (Isolation Forest), cluster-based space quantization (K-Means), and supervised ensemble verification (Random Forest), supported by attention-derived feature representations. Tested against 148,517 network connections from the benchmark NSL-KDD dataset across 41 flow attributes, the architecture demonstrates a 96.6% detection precision, flagging 8,089 attack events while conceding merely 283 false positives out of 9,711 legitimate transactions. With individual flow classification completing in under 2 milliseconds, the framework offers Security Operations Center (SOC) personnel real-time triage capability alongside grounded metric attributions.</w:t>
      </w:r>
    </w:p>
    <w:p>
      <w:pPr>
        <w:spacing w:after="240" w:line="252" w:lineRule="auto"/>
        <w:jc w:val="both"/>
      </w:pPr>
      <w:r>
        <w:rPr>
          <w:rFonts w:ascii="Times New Roman" w:hAnsi="Times New Roman"/>
          <w:b/>
          <w:i/>
          <w:color w:val="000000"/>
          <w:sz w:val="18"/>
        </w:rPr>
        <w:t xml:space="preserve">Index Terms - </w:t>
      </w:r>
      <w:r>
        <w:rPr>
          <w:rFonts w:ascii="Times New Roman" w:hAnsi="Times New Roman"/>
          <w:i/>
          <w:color w:val="000000"/>
          <w:sz w:val="18"/>
        </w:rPr>
        <w:t>Network anomaly detection, Cyber-physical security, Isolation Forest, Random Forest, NSL-KDD benchmark, Threat triage, Explainable AI.</w:t>
      </w:r>
    </w:p>
    <w:p>
      <w:pPr>
        <w:sectPr>
          <w:pgSz w:w="12240" w:h="15840"/>
          <w:pgMar w:top="1080" w:right="1080" w:bottom="1080" w:left="1080" w:header="720" w:footer="720" w:gutter="0"/>
          <w:cols w:space="720"/>
          <w:docGrid w:linePitch="360"/>
        </w:sectPr>
      </w:pPr>
    </w:p>
    <w:p>
      <w:pPr>
        <w:spacing w:before="200" w:after="60"/>
        <w:jc w:val="left"/>
      </w:pPr>
      <w:r>
        <w:rPr>
          <w:rFonts w:ascii="Times New Roman" w:hAnsi="Times New Roman"/>
          <w:b/>
          <w:color w:val="000000"/>
          <w:sz w:val="20"/>
        </w:rPr>
        <w:t>I. INTRODUCTION</w:t>
      </w:r>
    </w:p>
    <w:p>
      <w:pPr>
        <w:spacing w:after="90" w:line="252" w:lineRule="auto"/>
        <w:jc w:val="both"/>
      </w:pPr>
      <w:r>
        <w:rPr>
          <w:rFonts w:ascii="Times New Roman" w:hAnsi="Times New Roman"/>
          <w:color w:val="000000"/>
          <w:sz w:val="19"/>
        </w:rPr>
        <w:t>Edge networks and cyber-physical grids face persistent hostility. Automated bots, coordinated denial-of-service swarms, and reconnaissance probes probe perimeter interfaces continuously. In high-stakes settings—such as smart substations and automated distribution backbones—an unnoticed intrusion risks equipment destruction, data loss, and abrupt outages [1]. Defending these conduits is not trivial. High link utilization combined with packet fragmentation creates a noisy telemetry landscape where dangerous incursions hide behind benign operational variance.</w:t>
      </w:r>
    </w:p>
    <w:p>
      <w:pPr>
        <w:spacing w:after="90" w:line="252" w:lineRule="auto"/>
        <w:jc w:val="both"/>
      </w:pPr>
      <w:r>
        <w:rPr>
          <w:rFonts w:ascii="Times New Roman" w:hAnsi="Times New Roman"/>
          <w:color w:val="000000"/>
          <w:sz w:val="19"/>
        </w:rPr>
        <w:t>Network flow health dictates perimeter survival. Unchecked volumetric flooding (e.g., TCP SYN surges) consumes connection tables and starves ingress buffers. Simultaneously, horizontal port sweeps scout internal address space to discover unpatched services. Traditional network security has long leaned on pattern-matching software such as Snort or Zeek. These rule sets remain fast, but they break down when confronting zero-day payloads, polymorphic signatures, or intentionally throttled scans [2]. When attackers alter payload byte distributions or throttle their transmission rates, signature engines pass the traffic unnoticed. Raising fixed rate alerts is equally flawed; it swamps analysts with false warnings during ordinary workload peaks. Security operators urgently need adaptive analytical systems that derive legitimate operational baselines dynamically while exposing deviations without manual signature updates.</w:t>
      </w:r>
    </w:p>
    <w:p>
      <w:pPr>
        <w:spacing w:after="90" w:line="252" w:lineRule="auto"/>
        <w:jc w:val="both"/>
      </w:pPr>
      <w:r>
        <w:rPr>
          <w:rFonts w:ascii="Times New Roman" w:hAnsi="Times New Roman"/>
          <w:color w:val="000000"/>
          <w:sz w:val="19"/>
        </w:rPr>
        <w:t>We resolve this dilemma through a tiered detection strategy. Rather than depending on a single classifier, our architecture pairs unsupervised anomaly isolation with supervised decision ensembles. By tracking forty-one descriptive flow attributes—spanning handshake timings, packet entropy, and destination-host service reuse—the system uncovers both known adversarial patterns and zero-day deviations at line speed.</w:t>
      </w:r>
    </w:p>
    <w:p>
      <w:pPr>
        <w:spacing w:before="200" w:after="60"/>
        <w:jc w:val="left"/>
      </w:pPr>
      <w:r>
        <w:rPr>
          <w:rFonts w:ascii="Times New Roman" w:hAnsi="Times New Roman"/>
          <w:b/>
          <w:color w:val="000000"/>
          <w:sz w:val="20"/>
        </w:rPr>
        <w:t>II. LITERATURE REVIEW</w:t>
      </w:r>
    </w:p>
    <w:p>
      <w:pPr>
        <w:spacing w:after="90" w:line="252" w:lineRule="auto"/>
        <w:jc w:val="both"/>
      </w:pPr>
      <w:r>
        <w:rPr>
          <w:rFonts w:ascii="Times New Roman" w:hAnsi="Times New Roman"/>
          <w:color w:val="000000"/>
          <w:sz w:val="19"/>
        </w:rPr>
        <w:t>Telemetry-based intrusion analysis has evolved across several distinct paradigms. Early detection mechanisms utilized sequential hypothesis checks and cumulative sum (CUSUM) calculations to spot sudden rate deviations [3]. While computationally frugal, statistical counters stumble when dynamic user behavior shifts the background distribution, yielding unacceptable false alarm rates during legitimate peak intervals.</w:t>
      </w:r>
    </w:p>
    <w:p>
      <w:pPr>
        <w:spacing w:after="90" w:line="252" w:lineRule="auto"/>
        <w:jc w:val="both"/>
      </w:pPr>
      <w:r>
        <w:rPr>
          <w:rFonts w:ascii="Times New Roman" w:hAnsi="Times New Roman"/>
          <w:color w:val="000000"/>
          <w:sz w:val="19"/>
        </w:rPr>
        <w:t>Machine learning methods provide greater representational flexibility. Unsupervised techniques—notably Isolation Forests [4] and distance-based K-Means clustering [5]—carve out outlier boundaries across dense feature manifolds without relying on labeled samples. For scenarios with historical event tags, supervised random forests [6] yield clean decision boundaries across structured tabular records, as demonstrated on the NSL-KDD and CICIDS corpuses [7].</w:t>
      </w:r>
    </w:p>
    <w:p>
      <w:pPr>
        <w:spacing w:after="90" w:line="252" w:lineRule="auto"/>
        <w:jc w:val="both"/>
      </w:pPr>
      <w:r>
        <w:rPr>
          <w:rFonts w:ascii="Times New Roman" w:hAnsi="Times New Roman"/>
          <w:color w:val="000000"/>
          <w:sz w:val="19"/>
        </w:rPr>
        <w:t>Despite these analytical gains, practical deployments remain constrained. Most research prototypes treat individual algorithms in isolation, omitting operational mechanisms for SOC analyst triage and alert validation [8]. Moreover, standard classifiers often ignore the inter-feature dependencies that characterize multi-stage intrusion campaigns. We overcome these shortcomings through an integrated framework that leverages tree-based partitioning, modal centroid calibration, and supervised classification backed by attention dynamics.</w:t>
      </w:r>
    </w:p>
    <w:p>
      <w:pPr>
        <w:spacing w:before="160" w:after="60"/>
        <w:jc w:val="center"/>
      </w:pPr>
      <w:r>
        <w:rPr>
          <w:rFonts w:ascii="Times New Roman" w:hAnsi="Times New Roman"/>
          <w:b/>
          <w:color w:val="000000"/>
          <w:sz w:val="17"/>
        </w:rPr>
        <w:t>Table 1 : Performance Comparison of Network Monitoring Architectures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3360"/>
        <w:gridCol w:w="3360"/>
        <w:gridCol w:w="3360"/>
      </w:tblGrid>
      <w:tr>
        <w:tc>
          <w:tcPr>
            <w:tcW w:type="dxa" w:w="3360"/>
            <w:shd w:fill="FADBD8"/>
            <w:tcMar>
              <w:top w:w="60" w:type="dxa"/>
              <w:bottom w:w="60" w:type="dxa"/>
              <w:left w:w="60" w:type="dxa"/>
              <w:right w:w="60" w:type="dxa"/>
            </w:tcMar>
          </w:tcPr>
          <w:p>
            <w:pPr>
              <w:jc w:val="center"/>
            </w:pPr>
            <w:r>
              <w:rPr>
                <w:rFonts w:ascii="Times New Roman" w:hAnsi="Times New Roman"/>
                <w:b/>
                <w:color w:val="000000"/>
                <w:sz w:val="15"/>
              </w:rPr>
              <w:t>Parameter</w:t>
            </w:r>
          </w:p>
        </w:tc>
        <w:tc>
          <w:tcPr>
            <w:tcW w:type="dxa" w:w="3360"/>
            <w:shd w:fill="FADBD8"/>
            <w:tcMar>
              <w:top w:w="60" w:type="dxa"/>
              <w:bottom w:w="60" w:type="dxa"/>
              <w:left w:w="60" w:type="dxa"/>
              <w:right w:w="60" w:type="dxa"/>
            </w:tcMar>
          </w:tcPr>
          <w:p>
            <w:pPr>
              <w:jc w:val="center"/>
            </w:pPr>
            <w:r>
              <w:rPr>
                <w:rFonts w:ascii="Times New Roman" w:hAnsi="Times New Roman"/>
                <w:b/>
                <w:color w:val="000000"/>
                <w:sz w:val="15"/>
              </w:rPr>
              <w:t>Traditional Signature IDS</w:t>
            </w:r>
          </w:p>
        </w:tc>
        <w:tc>
          <w:tcPr>
            <w:tcW w:type="dxa" w:w="3360"/>
            <w:shd w:fill="FADBD8"/>
            <w:tcMar>
              <w:top w:w="60" w:type="dxa"/>
              <w:bottom w:w="60" w:type="dxa"/>
              <w:left w:w="60" w:type="dxa"/>
              <w:right w:w="60" w:type="dxa"/>
            </w:tcMar>
          </w:tcPr>
          <w:p>
            <w:pPr>
              <w:jc w:val="center"/>
            </w:pPr>
            <w:r>
              <w:rPr>
                <w:rFonts w:ascii="Times New Roman" w:hAnsi="Times New Roman"/>
                <w:b/>
                <w:color w:val="000000"/>
                <w:sz w:val="15"/>
              </w:rPr>
              <w:t>Proposed AI-Enabled Platform</w:t>
            </w:r>
          </w:p>
        </w:tc>
      </w:tr>
      <w:tr>
        <w:tc>
          <w:tcPr>
            <w:tcW w:type="dxa" w:w="3360"/>
            <w:tcMar>
              <w:top w:w="50" w:type="dxa"/>
              <w:bottom w:w="50" w:type="dxa"/>
              <w:left w:w="60" w:type="dxa"/>
              <w:right w:w="60" w:type="dxa"/>
            </w:tcMar>
            <w:shd w:fill="F8FAFC"/>
          </w:tcPr>
          <w:p>
            <w:pPr>
              <w:jc w:val="center"/>
            </w:pPr>
            <w:r>
              <w:rPr>
                <w:rFonts w:ascii="Times New Roman" w:hAnsi="Times New Roman"/>
                <w:b/>
                <w:color w:val="000000"/>
                <w:sz w:val="14"/>
              </w:rPr>
              <w:t>Detection Paradigm</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Static signature rules</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Hybrid Unsupervised + Supervised ML</w:t>
            </w:r>
          </w:p>
        </w:tc>
      </w:tr>
      <w:tr>
        <w:tc>
          <w:tcPr>
            <w:tcW w:type="dxa" w:w="3360"/>
            <w:tcMar>
              <w:top w:w="50" w:type="dxa"/>
              <w:bottom w:w="50" w:type="dxa"/>
              <w:left w:w="60" w:type="dxa"/>
              <w:right w:w="60" w:type="dxa"/>
            </w:tcMar>
          </w:tcPr>
          <w:p>
            <w:pPr>
              <w:jc w:val="center"/>
            </w:pPr>
            <w:r>
              <w:rPr>
                <w:rFonts w:ascii="Times New Roman" w:hAnsi="Times New Roman"/>
                <w:b/>
                <w:color w:val="000000"/>
                <w:sz w:val="14"/>
              </w:rPr>
              <w:t>Zero-Day Detection</w:t>
            </w:r>
          </w:p>
        </w:tc>
        <w:tc>
          <w:tcPr>
            <w:tcW w:type="dxa" w:w="3360"/>
            <w:tcMar>
              <w:top w:w="50" w:type="dxa"/>
              <w:bottom w:w="50" w:type="dxa"/>
              <w:left w:w="60" w:type="dxa"/>
              <w:right w:w="60" w:type="dxa"/>
            </w:tcMar>
          </w:tcPr>
          <w:p>
            <w:pPr>
              <w:jc w:val="left"/>
            </w:pPr>
            <w:r>
              <w:rPr>
                <w:rFonts w:ascii="Times New Roman" w:hAnsi="Times New Roman"/>
                <w:color w:val="000000"/>
                <w:sz w:val="14"/>
              </w:rPr>
              <w:t>Not supported (blind to novel attacks)</w:t>
            </w:r>
          </w:p>
        </w:tc>
        <w:tc>
          <w:tcPr>
            <w:tcW w:type="dxa" w:w="3360"/>
            <w:tcMar>
              <w:top w:w="50" w:type="dxa"/>
              <w:bottom w:w="50" w:type="dxa"/>
              <w:left w:w="60" w:type="dxa"/>
              <w:right w:w="60" w:type="dxa"/>
            </w:tcMar>
          </w:tcPr>
          <w:p>
            <w:pPr>
              <w:jc w:val="left"/>
            </w:pPr>
            <w:r>
              <w:rPr>
                <w:rFonts w:ascii="Times New Roman" w:hAnsi="Times New Roman"/>
                <w:color w:val="000000"/>
                <w:sz w:val="14"/>
              </w:rPr>
              <w:t>Supported (Isolation Forest tree partitioning)</w:t>
            </w:r>
          </w:p>
        </w:tc>
      </w:tr>
      <w:tr>
        <w:tc>
          <w:tcPr>
            <w:tcW w:type="dxa" w:w="3360"/>
            <w:tcMar>
              <w:top w:w="50" w:type="dxa"/>
              <w:bottom w:w="50" w:type="dxa"/>
              <w:left w:w="60" w:type="dxa"/>
              <w:right w:w="60" w:type="dxa"/>
            </w:tcMar>
            <w:shd w:fill="F8FAFC"/>
          </w:tcPr>
          <w:p>
            <w:pPr>
              <w:jc w:val="center"/>
            </w:pPr>
            <w:r>
              <w:rPr>
                <w:rFonts w:ascii="Times New Roman" w:hAnsi="Times New Roman"/>
                <w:b/>
                <w:color w:val="000000"/>
                <w:sz w:val="14"/>
              </w:rPr>
              <w:t>False Alarm Rate</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High (frequent benign false positives)</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Low (0.966 precision, 283 FPs in 9,711 flows)</w:t>
            </w:r>
          </w:p>
        </w:tc>
      </w:tr>
      <w:tr>
        <w:tc>
          <w:tcPr>
            <w:tcW w:type="dxa" w:w="3360"/>
            <w:tcMar>
              <w:top w:w="50" w:type="dxa"/>
              <w:bottom w:w="50" w:type="dxa"/>
              <w:left w:w="60" w:type="dxa"/>
              <w:right w:w="60" w:type="dxa"/>
            </w:tcMar>
          </w:tcPr>
          <w:p>
            <w:pPr>
              <w:jc w:val="center"/>
            </w:pPr>
            <w:r>
              <w:rPr>
                <w:rFonts w:ascii="Times New Roman" w:hAnsi="Times New Roman"/>
                <w:b/>
                <w:color w:val="000000"/>
                <w:sz w:val="14"/>
              </w:rPr>
              <w:t>Inference Latency</w:t>
            </w:r>
          </w:p>
        </w:tc>
        <w:tc>
          <w:tcPr>
            <w:tcW w:type="dxa" w:w="3360"/>
            <w:tcMar>
              <w:top w:w="50" w:type="dxa"/>
              <w:bottom w:w="50" w:type="dxa"/>
              <w:left w:w="60" w:type="dxa"/>
              <w:right w:w="60" w:type="dxa"/>
            </w:tcMar>
          </w:tcPr>
          <w:p>
            <w:pPr>
              <w:jc w:val="left"/>
            </w:pPr>
            <w:r>
              <w:rPr>
                <w:rFonts w:ascii="Times New Roman" w:hAnsi="Times New Roman"/>
                <w:color w:val="000000"/>
                <w:sz w:val="14"/>
              </w:rPr>
              <w:t>Variable (&gt;15 ms on deep inspect)</w:t>
            </w:r>
          </w:p>
        </w:tc>
        <w:tc>
          <w:tcPr>
            <w:tcW w:type="dxa" w:w="3360"/>
            <w:tcMar>
              <w:top w:w="50" w:type="dxa"/>
              <w:bottom w:w="50" w:type="dxa"/>
              <w:left w:w="60" w:type="dxa"/>
              <w:right w:w="60" w:type="dxa"/>
            </w:tcMar>
          </w:tcPr>
          <w:p>
            <w:pPr>
              <w:jc w:val="left"/>
            </w:pPr>
            <w:r>
              <w:rPr>
                <w:rFonts w:ascii="Times New Roman" w:hAnsi="Times New Roman"/>
                <w:color w:val="000000"/>
                <w:sz w:val="14"/>
              </w:rPr>
              <w:t>Ultra-low (&lt;2 ms CPU-optimized inference)</w:t>
            </w:r>
          </w:p>
        </w:tc>
      </w:tr>
      <w:tr>
        <w:tc>
          <w:tcPr>
            <w:tcW w:type="dxa" w:w="3360"/>
            <w:tcMar>
              <w:top w:w="50" w:type="dxa"/>
              <w:bottom w:w="50" w:type="dxa"/>
              <w:left w:w="60" w:type="dxa"/>
              <w:right w:w="60" w:type="dxa"/>
            </w:tcMar>
            <w:shd w:fill="F8FAFC"/>
          </w:tcPr>
          <w:p>
            <w:pPr>
              <w:jc w:val="center"/>
            </w:pPr>
            <w:r>
              <w:rPr>
                <w:rFonts w:ascii="Times New Roman" w:hAnsi="Times New Roman"/>
                <w:b/>
                <w:color w:val="000000"/>
                <w:sz w:val="14"/>
              </w:rPr>
              <w:t>Feature Scope</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Single packet header inspection</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41 multi-domain flow &amp; host attributes</w:t>
            </w:r>
          </w:p>
        </w:tc>
      </w:tr>
      <w:tr>
        <w:tc>
          <w:tcPr>
            <w:tcW w:type="dxa" w:w="3360"/>
            <w:tcMar>
              <w:top w:w="50" w:type="dxa"/>
              <w:bottom w:w="50" w:type="dxa"/>
              <w:left w:w="60" w:type="dxa"/>
              <w:right w:w="60" w:type="dxa"/>
            </w:tcMar>
          </w:tcPr>
          <w:p>
            <w:pPr>
              <w:jc w:val="center"/>
            </w:pPr>
            <w:r>
              <w:rPr>
                <w:rFonts w:ascii="Times New Roman" w:hAnsi="Times New Roman"/>
                <w:b/>
                <w:color w:val="000000"/>
                <w:sz w:val="14"/>
              </w:rPr>
              <w:t>Explainability</w:t>
            </w:r>
          </w:p>
        </w:tc>
        <w:tc>
          <w:tcPr>
            <w:tcW w:type="dxa" w:w="3360"/>
            <w:tcMar>
              <w:top w:w="50" w:type="dxa"/>
              <w:bottom w:w="50" w:type="dxa"/>
              <w:left w:w="60" w:type="dxa"/>
              <w:right w:w="60" w:type="dxa"/>
            </w:tcMar>
          </w:tcPr>
          <w:p>
            <w:pPr>
              <w:jc w:val="left"/>
            </w:pPr>
            <w:r>
              <w:rPr>
                <w:rFonts w:ascii="Times New Roman" w:hAnsi="Times New Roman"/>
                <w:color w:val="000000"/>
                <w:sz w:val="14"/>
              </w:rPr>
              <w:t>Rule ID only (no contextual weights)</w:t>
            </w:r>
          </w:p>
        </w:tc>
        <w:tc>
          <w:tcPr>
            <w:tcW w:type="dxa" w:w="3360"/>
            <w:tcMar>
              <w:top w:w="50" w:type="dxa"/>
              <w:bottom w:w="50" w:type="dxa"/>
              <w:left w:w="60" w:type="dxa"/>
              <w:right w:w="60" w:type="dxa"/>
            </w:tcMar>
          </w:tcPr>
          <w:p>
            <w:pPr>
              <w:jc w:val="left"/>
            </w:pPr>
            <w:r>
              <w:rPr>
                <w:rFonts w:ascii="Times New Roman" w:hAnsi="Times New Roman"/>
                <w:color w:val="000000"/>
                <w:sz w:val="14"/>
              </w:rPr>
              <w:t>Gini feature importance + SHAP attributions</w:t>
            </w:r>
          </w:p>
        </w:tc>
      </w:tr>
      <w:tr>
        <w:tc>
          <w:tcPr>
            <w:tcW w:type="dxa" w:w="3360"/>
            <w:tcMar>
              <w:top w:w="50" w:type="dxa"/>
              <w:bottom w:w="50" w:type="dxa"/>
              <w:left w:w="60" w:type="dxa"/>
              <w:right w:w="60" w:type="dxa"/>
            </w:tcMar>
            <w:shd w:fill="F8FAFC"/>
          </w:tcPr>
          <w:p>
            <w:pPr>
              <w:jc w:val="center"/>
            </w:pPr>
            <w:r>
              <w:rPr>
                <w:rFonts w:ascii="Times New Roman" w:hAnsi="Times New Roman"/>
                <w:b/>
                <w:color w:val="000000"/>
                <w:sz w:val="14"/>
              </w:rPr>
              <w:t>Triage Support</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Raw text alert log dumping</w:t>
            </w:r>
          </w:p>
        </w:tc>
        <w:tc>
          <w:tcPr>
            <w:tcW w:type="dxa" w:w="3360"/>
            <w:tcMar>
              <w:top w:w="50" w:type="dxa"/>
              <w:bottom w:w="50" w:type="dxa"/>
              <w:left w:w="60" w:type="dxa"/>
              <w:right w:w="60" w:type="dxa"/>
            </w:tcMar>
            <w:shd w:fill="F8FAFC"/>
          </w:tcPr>
          <w:p>
            <w:pPr>
              <w:jc w:val="left"/>
            </w:pPr>
            <w:r>
              <w:rPr>
                <w:rFonts w:ascii="Times New Roman" w:hAnsi="Times New Roman"/>
                <w:color w:val="000000"/>
                <w:sz w:val="14"/>
              </w:rPr>
              <w:t>Interactive 6-panel executive SOC dashboard</w:t>
            </w:r>
          </w:p>
        </w:tc>
      </w:tr>
    </w:tbl>
    <w:p>
      <w:pPr>
        <w:spacing w:after="80"/>
      </w:pPr>
    </w:p>
    <w:p>
      <w:pPr>
        <w:spacing w:before="200" w:after="60"/>
        <w:jc w:val="left"/>
      </w:pPr>
      <w:r>
        <w:rPr>
          <w:rFonts w:ascii="Times New Roman" w:hAnsi="Times New Roman"/>
          <w:b/>
          <w:color w:val="000000"/>
          <w:sz w:val="20"/>
        </w:rPr>
        <w:t>III. SYSTEM ARCHITECTURE</w:t>
      </w:r>
    </w:p>
    <w:p>
      <w:pPr>
        <w:spacing w:before="140" w:after="40"/>
        <w:jc w:val="left"/>
      </w:pPr>
      <w:r>
        <w:rPr>
          <w:rFonts w:ascii="Times New Roman" w:hAnsi="Times New Roman"/>
          <w:b/>
          <w:color w:val="000000"/>
          <w:sz w:val="19"/>
        </w:rPr>
        <w:t>A. Network Packet Ingestion and Capture Layer</w:t>
      </w:r>
    </w:p>
    <w:p>
      <w:pPr>
        <w:spacing w:after="90" w:line="252" w:lineRule="auto"/>
        <w:jc w:val="both"/>
      </w:pPr>
      <w:r>
        <w:rPr>
          <w:rFonts w:ascii="Times New Roman" w:hAnsi="Times New Roman"/>
          <w:color w:val="000000"/>
          <w:sz w:val="19"/>
        </w:rPr>
        <w:t>Our pipeline interfaces directly with network interfaces via extended Berkeley Packet Filters (eBPF) coupled with asynchronous libpcap rings. Raw frame bursts are assembled into discrete session flows using the standard 5-tuple identifier: source IP, remote destination IP, transport protocol, source port, and destination port [9].</w:t>
      </w:r>
    </w:p>
    <w:p>
      <w:pPr>
        <w:spacing w:before="140" w:after="40"/>
        <w:jc w:val="left"/>
      </w:pPr>
      <w:r>
        <w:rPr>
          <w:rFonts w:ascii="Times New Roman" w:hAnsi="Times New Roman"/>
          <w:b/>
          <w:color w:val="000000"/>
          <w:sz w:val="19"/>
        </w:rPr>
        <w:t>B. Feature Processing and Normalization Layer</w:t>
      </w:r>
    </w:p>
    <w:p>
      <w:pPr>
        <w:spacing w:after="90" w:line="252" w:lineRule="auto"/>
        <w:jc w:val="both"/>
      </w:pPr>
      <w:r>
        <w:rPr>
          <w:rFonts w:ascii="Times New Roman" w:hAnsi="Times New Roman"/>
          <w:color w:val="000000"/>
          <w:sz w:val="19"/>
        </w:rPr>
        <w:t>Session reassembly yields 41 numerical and categorical attributes divided into four operational quadrants: 1) Basic connection indicators: session length, protocol identifier, active service, connection state flag, and payload byte tallies; 2) Content metrics: access flags, failed login attempts, root shell requests, and suspicious file operations; 3) Time-window metrics: connection density directed toward identical destination targets within two-second intervals; and 4) Host-distribution metrics: historical destination error distributions, service reuse ratios, and cross-host probing markers [10].</w:t>
      </w:r>
    </w:p>
    <w:p>
      <w:pPr>
        <w:spacing w:before="140" w:after="40"/>
        <w:jc w:val="left"/>
      </w:pPr>
      <w:r>
        <w:rPr>
          <w:rFonts w:ascii="Times New Roman" w:hAnsi="Times New Roman"/>
          <w:b/>
          <w:color w:val="000000"/>
          <w:sz w:val="19"/>
        </w:rPr>
        <w:t>C. AI-Based Analytics Module</w:t>
      </w:r>
    </w:p>
    <w:p>
      <w:pPr>
        <w:spacing w:after="90" w:line="252" w:lineRule="auto"/>
        <w:jc w:val="both"/>
      </w:pPr>
      <w:r>
        <w:rPr>
          <w:rFonts w:ascii="Times New Roman" w:hAnsi="Times New Roman"/>
          <w:color w:val="000000"/>
          <w:sz w:val="19"/>
        </w:rPr>
        <w:t>The analytical engine deploys three complementary processing stages to identify and classify evolving anomalies [5]:</w:t>
      </w:r>
    </w:p>
    <w:p>
      <w:pPr>
        <w:spacing w:before="100" w:after="40"/>
        <w:jc w:val="left"/>
      </w:pPr>
      <w:r>
        <w:rPr>
          <w:rFonts w:ascii="Times New Roman" w:hAnsi="Times New Roman"/>
          <w:b/>
          <w:color w:val="000000"/>
          <w:sz w:val="19"/>
        </w:rPr>
        <w:t>1. Pre-processing</w:t>
      </w:r>
    </w:p>
    <w:p>
      <w:pPr>
        <w:spacing w:after="90" w:line="252" w:lineRule="auto"/>
        <w:jc w:val="both"/>
      </w:pPr>
      <w:r>
        <w:rPr>
          <w:rFonts w:ascii="Times New Roman" w:hAnsi="Times New Roman"/>
          <w:color w:val="000000"/>
          <w:sz w:val="19"/>
        </w:rPr>
        <w:t>Distributed telemetry streams can present missing records, sudden noise spikes, and packet sequencing jitter. We employ causal median filtering to remove burst noise, perform cubic spline interpolation across missing telemetry intervals, and apply min-max bounding to stabilize parameter optimization across gradient steps [6].</w:t>
      </w:r>
    </w:p>
    <w:p>
      <w:pPr>
        <w:spacing w:before="100" w:after="40"/>
        <w:jc w:val="left"/>
      </w:pPr>
      <w:r>
        <w:rPr>
          <w:rFonts w:ascii="Times New Roman" w:hAnsi="Times New Roman"/>
          <w:b/>
          <w:color w:val="000000"/>
          <w:sz w:val="19"/>
        </w:rPr>
        <w:t>2. Feature Extraction</w:t>
      </w:r>
    </w:p>
    <w:p>
      <w:pPr>
        <w:spacing w:after="90" w:line="252" w:lineRule="auto"/>
        <w:jc w:val="both"/>
      </w:pPr>
      <w:r>
        <w:rPr>
          <w:rFonts w:ascii="Times New Roman" w:hAnsi="Times New Roman"/>
          <w:color w:val="000000"/>
          <w:sz w:val="19"/>
        </w:rPr>
        <w:t>Statistical and temporal dynamics are extracted across successive observation epochs. While first-order differences in packet arrival timings and Shannon entropy over destination ports expose active port sweeps, statistical summaries (mean payload size, variance, TCP flag ratios) capture broader behavioral deviations [7].</w:t>
      </w:r>
    </w:p>
    <w:p>
      <w:pPr>
        <w:spacing w:before="100" w:after="40"/>
        <w:jc w:val="left"/>
      </w:pPr>
      <w:r>
        <w:rPr>
          <w:rFonts w:ascii="Times New Roman" w:hAnsi="Times New Roman"/>
          <w:b/>
          <w:color w:val="000000"/>
          <w:sz w:val="19"/>
        </w:rPr>
        <w:t>3. Machine Learning Models</w:t>
      </w:r>
    </w:p>
    <w:p>
      <w:pPr>
        <w:spacing w:after="90" w:line="252" w:lineRule="auto"/>
        <w:jc w:val="both"/>
      </w:pPr>
      <w:r>
        <w:rPr>
          <w:rFonts w:ascii="Times New Roman" w:hAnsi="Times New Roman"/>
          <w:color w:val="000000"/>
          <w:sz w:val="19"/>
        </w:rPr>
        <w:t>The system incorporates a hybrid analytical framework combining unsupervised tree-partitioning (Isolation Forest) with supervised ensemble classification (Random Forest). Isolation Forest evaluates structural isolation depth without ground-truth labels, while Random Forest verifies threat signatures with high precision, delivering actionable severity scoring and early alerts for operational triage [8].</w:t>
      </w:r>
    </w:p>
    <w:p>
      <w:pPr>
        <w:spacing w:before="200" w:after="60"/>
        <w:jc w:val="left"/>
      </w:pPr>
      <w:r>
        <w:rPr>
          <w:rFonts w:ascii="Times New Roman" w:hAnsi="Times New Roman"/>
          <w:b/>
          <w:color w:val="000000"/>
          <w:sz w:val="20"/>
        </w:rPr>
        <w:t>IV. METHODOLOGY</w:t>
      </w:r>
    </w:p>
    <w:p>
      <w:pPr>
        <w:spacing w:before="140" w:after="40"/>
        <w:jc w:val="left"/>
      </w:pPr>
      <w:r>
        <w:rPr>
          <w:rFonts w:ascii="Times New Roman" w:hAnsi="Times New Roman"/>
          <w:b/>
          <w:color w:val="000000"/>
          <w:sz w:val="19"/>
        </w:rPr>
        <w:t>A. Mathematical Formulation of Flow Telemetry</w:t>
      </w:r>
    </w:p>
    <w:p>
      <w:pPr>
        <w:spacing w:after="90" w:line="252" w:lineRule="auto"/>
        <w:jc w:val="both"/>
      </w:pPr>
      <w:r>
        <w:rPr>
          <w:rFonts w:ascii="Times New Roman" w:hAnsi="Times New Roman"/>
          <w:color w:val="000000"/>
          <w:sz w:val="19"/>
        </w:rPr>
        <w:t>We express the network observation sequence as an ordered set of discrete flow instances:</w:t>
      </w:r>
    </w:p>
    <w:p>
      <w:pPr>
        <w:spacing w:before="60" w:after="60"/>
        <w:jc w:val="center"/>
      </w:pPr>
      <w:r>
        <w:rPr>
          <w:rFonts w:ascii="Times New Roman" w:hAnsi="Times New Roman"/>
          <w:b/>
          <w:i/>
          <w:color w:val="000000"/>
          <w:sz w:val="18"/>
        </w:rPr>
        <w:t>F = { ( x_i, t_j, y_i ) | i = 1, 2, ..., N; j = 1, 2, ..., M }      (1)</w:t>
      </w:r>
    </w:p>
    <w:p>
      <w:pPr>
        <w:spacing w:after="90" w:line="252" w:lineRule="auto"/>
        <w:jc w:val="both"/>
      </w:pPr>
      <w:r>
        <w:rPr>
          <w:rFonts w:ascii="Times New Roman" w:hAnsi="Times New Roman"/>
          <w:color w:val="000000"/>
          <w:sz w:val="19"/>
        </w:rPr>
        <w:t>where x_i in R^41 denotes the engineered feature vector, t_j tracks the connection epoch, and y_i in {0, 1} supplies the empirical label (0 for benign traffic, 1 for active anomalies). Categorical fields (protocol_type, service, flag) are encoded ordinally. Continuous attributes are bounded to [0, 1] via min-max parameters computed exclusively over the training partition:</w:t>
      </w:r>
    </w:p>
    <w:p>
      <w:pPr>
        <w:spacing w:before="60" w:after="60"/>
        <w:jc w:val="center"/>
      </w:pPr>
      <w:r>
        <w:rPr>
          <w:rFonts w:ascii="Times New Roman" w:hAnsi="Times New Roman"/>
          <w:b/>
          <w:i/>
          <w:color w:val="000000"/>
          <w:sz w:val="18"/>
        </w:rPr>
        <w:t>x_norm = ( x - x_min ) / ( x_max - x_min + eps )      (2)</w:t>
      </w:r>
    </w:p>
    <w:p>
      <w:pPr>
        <w:spacing w:after="90" w:line="252" w:lineRule="auto"/>
        <w:jc w:val="both"/>
      </w:pPr>
      <w:r>
        <w:rPr>
          <w:rFonts w:ascii="Times New Roman" w:hAnsi="Times New Roman"/>
          <w:color w:val="000000"/>
          <w:sz w:val="19"/>
        </w:rPr>
        <w:t>The term eps = 10^-7 prevents division by zero over invariant columns.</w:t>
      </w:r>
    </w:p>
    <w:p>
      <w:pPr>
        <w:spacing w:before="140" w:after="40"/>
        <w:jc w:val="left"/>
      </w:pPr>
      <w:r>
        <w:rPr>
          <w:rFonts w:ascii="Times New Roman" w:hAnsi="Times New Roman"/>
          <w:b/>
          <w:color w:val="000000"/>
          <w:sz w:val="19"/>
        </w:rPr>
        <w:t>B. Data Pre-processing and Outlier Filtering</w:t>
      </w:r>
    </w:p>
    <w:p>
      <w:pPr>
        <w:spacing w:after="90" w:line="252" w:lineRule="auto"/>
        <w:jc w:val="both"/>
      </w:pPr>
      <w:r>
        <w:rPr>
          <w:rFonts w:ascii="Times New Roman" w:hAnsi="Times New Roman"/>
          <w:color w:val="000000"/>
          <w:sz w:val="19"/>
        </w:rPr>
        <w:t>To prevent extreme traffic spikes from biasing baseline representation, transient flow bursts are smoothed using a moving average filter:</w:t>
      </w:r>
    </w:p>
    <w:p>
      <w:pPr>
        <w:spacing w:before="60" w:after="60"/>
        <w:jc w:val="center"/>
      </w:pPr>
      <w:r>
        <w:rPr>
          <w:rFonts w:ascii="Times New Roman" w:hAnsi="Times New Roman"/>
          <w:b/>
          <w:i/>
          <w:color w:val="000000"/>
          <w:sz w:val="18"/>
        </w:rPr>
        <w:t>x_dot_{i, j} = (1 / K) * sum_{k=0}^{K-1} x_{i, j - k}      (3)</w:t>
      </w:r>
    </w:p>
    <w:p>
      <w:pPr>
        <w:spacing w:after="90" w:line="252" w:lineRule="auto"/>
        <w:jc w:val="both"/>
      </w:pPr>
      <w:r>
        <w:rPr>
          <w:rFonts w:ascii="Times New Roman" w:hAnsi="Times New Roman"/>
          <w:color w:val="000000"/>
          <w:sz w:val="19"/>
        </w:rPr>
        <w:t>where K denotes the window size. Telemetry observations exhibiting extreme feature divergence are bounded via a statistical threshold:</w:t>
      </w:r>
    </w:p>
    <w:p>
      <w:pPr>
        <w:spacing w:before="60" w:after="60"/>
        <w:jc w:val="center"/>
      </w:pPr>
      <w:r>
        <w:rPr>
          <w:rFonts w:ascii="Times New Roman" w:hAnsi="Times New Roman"/>
          <w:b/>
          <w:i/>
          <w:color w:val="000000"/>
          <w:sz w:val="18"/>
        </w:rPr>
        <w:t>| x_{i, j} - mu_i | &gt; alpha * sigma_i      (4)</w:t>
      </w:r>
    </w:p>
    <w:p>
      <w:pPr>
        <w:spacing w:after="90" w:line="252" w:lineRule="auto"/>
        <w:jc w:val="both"/>
      </w:pPr>
      <w:r>
        <w:rPr>
          <w:rFonts w:ascii="Times New Roman" w:hAnsi="Times New Roman"/>
          <w:color w:val="000000"/>
          <w:sz w:val="19"/>
        </w:rPr>
        <w:t>with mu_i and sigma_i representing mean and standard deviation along feature dimension i, and alpha a tuned dispersion coefficient [12]. Sliding temporal windows of length L are assembled into sequences:</w:t>
      </w:r>
    </w:p>
    <w:p>
      <w:pPr>
        <w:spacing w:before="60" w:after="60"/>
        <w:jc w:val="center"/>
      </w:pPr>
      <w:r>
        <w:rPr>
          <w:rFonts w:ascii="Times New Roman" w:hAnsi="Times New Roman"/>
          <w:b/>
          <w:i/>
          <w:color w:val="000000"/>
          <w:sz w:val="18"/>
        </w:rPr>
        <w:t>X_j = [ x_dot_{i, j - L + 1}, ..., x_dot_{i, j} ]</w:t>
      </w:r>
    </w:p>
    <w:p>
      <w:pPr>
        <w:spacing w:before="140" w:after="40"/>
        <w:jc w:val="left"/>
      </w:pPr>
      <w:r>
        <w:rPr>
          <w:rFonts w:ascii="Times New Roman" w:hAnsi="Times New Roman"/>
          <w:b/>
          <w:color w:val="000000"/>
          <w:sz w:val="19"/>
        </w:rPr>
        <w:t>C. Model Training and Evaluation</w:t>
      </w:r>
    </w:p>
    <w:p>
      <w:pPr>
        <w:spacing w:after="90" w:line="252" w:lineRule="auto"/>
        <w:jc w:val="both"/>
      </w:pPr>
      <w:r>
        <w:rPr>
          <w:rFonts w:ascii="Times New Roman" w:hAnsi="Times New Roman"/>
          <w:color w:val="000000"/>
          <w:sz w:val="19"/>
        </w:rPr>
        <w:t>The unsupervised detector builds an ensemble of isolated trees (iTrees) over sub-sampled flow records. Malicious connection flows—such as SYN floods with zero data bytes or port sweeps with extreme service diversity—occupy sparse regions of the feature manifold. Consequently, random recursive partitioning isolates these points at short tree depths. We compute the anomaly score s(x, n) for an instance x across an evaluation batch of size n as:</w:t>
      </w:r>
    </w:p>
    <w:p>
      <w:pPr>
        <w:spacing w:before="60" w:after="60"/>
        <w:jc w:val="center"/>
      </w:pPr>
      <w:r>
        <w:rPr>
          <w:rFonts w:ascii="Times New Roman" w:hAnsi="Times New Roman"/>
          <w:b/>
          <w:i/>
          <w:color w:val="000000"/>
          <w:sz w:val="18"/>
        </w:rPr>
        <w:t>s(x, n) = 2^( - E(h(x)) / c(n) )      (5)</w:t>
      </w:r>
    </w:p>
    <w:p>
      <w:pPr>
        <w:spacing w:after="90" w:line="252" w:lineRule="auto"/>
        <w:jc w:val="both"/>
      </w:pPr>
      <w:r>
        <w:rPr>
          <w:rFonts w:ascii="Times New Roman" w:hAnsi="Times New Roman"/>
          <w:color w:val="000000"/>
          <w:sz w:val="19"/>
        </w:rPr>
        <w:t>where E(h(x)) is the empirical average path depth across the tree collection, and c(n) normalizes the metric using the average depth of an unsuccessful search in a binary search tree:</w:t>
      </w:r>
    </w:p>
    <w:p>
      <w:pPr>
        <w:spacing w:before="60" w:after="60"/>
        <w:jc w:val="center"/>
      </w:pPr>
      <w:r>
        <w:rPr>
          <w:rFonts w:ascii="Times New Roman" w:hAnsi="Times New Roman"/>
          <w:b/>
          <w:i/>
          <w:color w:val="000000"/>
          <w:sz w:val="18"/>
        </w:rPr>
        <w:t>c(n) = 2( ln(n - 1) + 0.5772156649 ) - 2(n - 1) / n      (6)</w:t>
      </w:r>
    </w:p>
    <w:p>
      <w:pPr>
        <w:spacing w:after="90" w:line="252" w:lineRule="auto"/>
        <w:jc w:val="both"/>
      </w:pPr>
      <w:r>
        <w:rPr>
          <w:rFonts w:ascii="Times New Roman" w:hAnsi="Times New Roman"/>
          <w:color w:val="000000"/>
          <w:sz w:val="19"/>
        </w:rPr>
        <w:t>Values of s(x, n) approaching 1.0 denote pronounced anomalies, while scores below 0.5 confirm normal behavior [11]. The supervised Random Forest then computes posterior class assignment:</w:t>
      </w:r>
    </w:p>
    <w:p>
      <w:pPr>
        <w:spacing w:before="60" w:after="60"/>
        <w:jc w:val="center"/>
      </w:pPr>
      <w:r>
        <w:rPr>
          <w:rFonts w:ascii="Times New Roman" w:hAnsi="Times New Roman"/>
          <w:b/>
          <w:i/>
          <w:color w:val="000000"/>
          <w:sz w:val="18"/>
        </w:rPr>
        <w:t>P(y = 1 | x) = (1 / T) * sum_{t=1}^T h_t(x)      (7)</w:t>
      </w:r>
    </w:p>
    <w:p>
      <w:pPr>
        <w:spacing w:after="90" w:line="252" w:lineRule="auto"/>
        <w:jc w:val="both"/>
      </w:pPr>
      <w:r>
        <w:rPr>
          <w:rFonts w:ascii="Times New Roman" w:hAnsi="Times New Roman"/>
          <w:color w:val="000000"/>
          <w:sz w:val="19"/>
        </w:rPr>
        <w:t>evaluating prediction efficacy via accuracy, precision, recall, and F1-score [14], [15].</w:t>
      </w:r>
    </w:p>
    <w:p>
      <w:pPr>
        <w:spacing w:before="120" w:after="40"/>
        <w:jc w:val="center"/>
      </w:pPr>
    </w:p>
    <w:p>
      <w:r>
        <w:drawing>
          <wp:inline xmlns:a="http://schemas.openxmlformats.org/drawingml/2006/main" xmlns:pic="http://schemas.openxmlformats.org/drawingml/2006/picture">
            <wp:extent cx="3063240" cy="1885071"/>
            <wp:docPr id="1" name="Picture 1"/>
            <wp:cNvGraphicFramePr>
              <a:graphicFrameLocks noChangeAspect="1"/>
            </wp:cNvGraphicFramePr>
            <a:graphic>
              <a:graphicData uri="http://schemas.openxmlformats.org/drawingml/2006/picture">
                <pic:pic>
                  <pic:nvPicPr>
                    <pic:cNvPr id="0" name="figure1_transformer_architecture.png"/>
                    <pic:cNvPicPr/>
                  </pic:nvPicPr>
                  <pic:blipFill>
                    <a:blip r:embed="rId9"/>
                    <a:stretch>
                      <a:fillRect/>
                    </a:stretch>
                  </pic:blipFill>
                  <pic:spPr>
                    <a:xfrm>
                      <a:off x="0" y="0"/>
                      <a:ext cx="3063240" cy="1885071"/>
                    </a:xfrm>
                    <a:prstGeom prst="rect"/>
                  </pic:spPr>
                </pic:pic>
              </a:graphicData>
            </a:graphic>
          </wp:inline>
        </w:drawing>
      </w:r>
    </w:p>
    <w:p>
      <w:pPr>
        <w:spacing w:after="120"/>
        <w:jc w:val="center"/>
      </w:pPr>
      <w:r>
        <w:rPr>
          <w:rFonts w:ascii="Times New Roman" w:hAnsi="Times New Roman"/>
          <w:b/>
          <w:color w:val="000000"/>
          <w:sz w:val="16"/>
        </w:rPr>
        <w:t>Fig 1 : Detailed Transformer Encoder Architecture in NetAnomaly-TransNet.</w:t>
      </w:r>
    </w:p>
    <w:p>
      <w:pPr>
        <w:spacing w:before="120" w:after="40"/>
        <w:jc w:val="center"/>
      </w:pPr>
    </w:p>
    <w:p>
      <w:r>
        <w:drawing>
          <wp:inline xmlns:a="http://schemas.openxmlformats.org/drawingml/2006/main" xmlns:pic="http://schemas.openxmlformats.org/drawingml/2006/picture">
            <wp:extent cx="3063240" cy="1739618"/>
            <wp:docPr id="2" name="Picture 2"/>
            <wp:cNvGraphicFramePr>
              <a:graphicFrameLocks noChangeAspect="1"/>
            </wp:cNvGraphicFramePr>
            <a:graphic>
              <a:graphicData uri="http://schemas.openxmlformats.org/drawingml/2006/picture">
                <pic:pic>
                  <pic:nvPicPr>
                    <pic:cNvPr id="0" name="figure2_data_flow_chart.png"/>
                    <pic:cNvPicPr/>
                  </pic:nvPicPr>
                  <pic:blipFill>
                    <a:blip r:embed="rId10"/>
                    <a:stretch>
                      <a:fillRect/>
                    </a:stretch>
                  </pic:blipFill>
                  <pic:spPr>
                    <a:xfrm>
                      <a:off x="0" y="0"/>
                      <a:ext cx="3063240" cy="1739618"/>
                    </a:xfrm>
                    <a:prstGeom prst="rect"/>
                  </pic:spPr>
                </pic:pic>
              </a:graphicData>
            </a:graphic>
          </wp:inline>
        </w:drawing>
      </w:r>
    </w:p>
    <w:p>
      <w:pPr>
        <w:spacing w:after="120"/>
        <w:jc w:val="center"/>
      </w:pPr>
      <w:r>
        <w:rPr>
          <w:rFonts w:ascii="Times New Roman" w:hAnsi="Times New Roman"/>
          <w:b/>
          <w:color w:val="000000"/>
          <w:sz w:val="16"/>
        </w:rPr>
        <w:t>Fig 2 : End-to-End Data Ingestion, Transformer Processing, and Threat Triage Flow.</w:t>
      </w:r>
    </w:p>
    <w:p>
      <w:pPr>
        <w:spacing w:before="200" w:after="60"/>
        <w:jc w:val="left"/>
      </w:pPr>
      <w:r>
        <w:rPr>
          <w:rFonts w:ascii="Times New Roman" w:hAnsi="Times New Roman"/>
          <w:b/>
          <w:color w:val="000000"/>
          <w:sz w:val="20"/>
        </w:rPr>
        <w:t>V. RESULTS AND DISCUSSION</w:t>
      </w:r>
    </w:p>
    <w:p>
      <w:pPr>
        <w:spacing w:after="90" w:line="252" w:lineRule="auto"/>
        <w:jc w:val="both"/>
      </w:pPr>
      <w:r>
        <w:rPr>
          <w:rFonts w:ascii="Times New Roman" w:hAnsi="Times New Roman"/>
          <w:color w:val="000000"/>
          <w:sz w:val="19"/>
        </w:rPr>
        <w:t>Model performance was evaluated on the official held-out NSL-KDD test partition (KDDTest+), containing 22,544 independent connection records (9,711 normal transactions and 12,833 attacks across DoS, Probe, R2L, and U2R families). The experimental findings demonstrate that the hybrid approach significantly outperforms isolated single-model implementations.</w:t>
      </w:r>
    </w:p>
    <w:p>
      <w:pPr>
        <w:spacing w:before="120" w:after="60"/>
        <w:jc w:val="center"/>
      </w:pPr>
      <w:r>
        <w:rPr>
          <w:rFonts w:ascii="Times New Roman" w:hAnsi="Times New Roman"/>
          <w:b/>
          <w:color w:val="000000"/>
          <w:sz w:val="17"/>
        </w:rPr>
        <w:t>Table 2 : Quantitative Performance Evaluation of the Proposed AI-Enabled Fault Detection System</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016"/>
        <w:gridCol w:w="2016"/>
        <w:gridCol w:w="2016"/>
        <w:gridCol w:w="2016"/>
        <w:gridCol w:w="2016"/>
      </w:tblGrid>
      <w:tr>
        <w:tc>
          <w:tcPr>
            <w:tcW w:type="dxa" w:w="2016"/>
            <w:shd w:fill="E8DAEF"/>
            <w:tcMar>
              <w:top w:w="60" w:type="dxa"/>
              <w:bottom w:w="60" w:type="dxa"/>
              <w:left w:w="60" w:type="dxa"/>
              <w:right w:w="60" w:type="dxa"/>
            </w:tcMar>
          </w:tcPr>
          <w:p>
            <w:pPr>
              <w:jc w:val="center"/>
            </w:pPr>
            <w:r>
              <w:rPr>
                <w:rFonts w:ascii="Times New Roman" w:hAnsi="Times New Roman"/>
                <w:b/>
                <w:color w:val="000000"/>
                <w:sz w:val="15"/>
              </w:rPr>
              <w:t>Model</w:t>
            </w:r>
          </w:p>
        </w:tc>
        <w:tc>
          <w:tcPr>
            <w:tcW w:type="dxa" w:w="2016"/>
            <w:shd w:fill="E8DAEF"/>
            <w:tcMar>
              <w:top w:w="60" w:type="dxa"/>
              <w:bottom w:w="60" w:type="dxa"/>
              <w:left w:w="60" w:type="dxa"/>
              <w:right w:w="60" w:type="dxa"/>
            </w:tcMar>
          </w:tcPr>
          <w:p>
            <w:pPr>
              <w:jc w:val="center"/>
            </w:pPr>
            <w:r>
              <w:rPr>
                <w:rFonts w:ascii="Times New Roman" w:hAnsi="Times New Roman"/>
                <w:b/>
                <w:color w:val="000000"/>
                <w:sz w:val="15"/>
              </w:rPr>
              <w:t>Accuracy (%)</w:t>
            </w:r>
          </w:p>
        </w:tc>
        <w:tc>
          <w:tcPr>
            <w:tcW w:type="dxa" w:w="2016"/>
            <w:shd w:fill="E8DAEF"/>
            <w:tcMar>
              <w:top w:w="60" w:type="dxa"/>
              <w:bottom w:w="60" w:type="dxa"/>
              <w:left w:w="60" w:type="dxa"/>
              <w:right w:w="60" w:type="dxa"/>
            </w:tcMar>
          </w:tcPr>
          <w:p>
            <w:pPr>
              <w:jc w:val="center"/>
            </w:pPr>
            <w:r>
              <w:rPr>
                <w:rFonts w:ascii="Times New Roman" w:hAnsi="Times New Roman"/>
                <w:b/>
                <w:color w:val="000000"/>
                <w:sz w:val="15"/>
              </w:rPr>
              <w:t>Precision (%)</w:t>
            </w:r>
          </w:p>
        </w:tc>
        <w:tc>
          <w:tcPr>
            <w:tcW w:type="dxa" w:w="2016"/>
            <w:shd w:fill="E8DAEF"/>
            <w:tcMar>
              <w:top w:w="60" w:type="dxa"/>
              <w:bottom w:w="60" w:type="dxa"/>
              <w:left w:w="60" w:type="dxa"/>
              <w:right w:w="60" w:type="dxa"/>
            </w:tcMar>
          </w:tcPr>
          <w:p>
            <w:pPr>
              <w:jc w:val="center"/>
            </w:pPr>
            <w:r>
              <w:rPr>
                <w:rFonts w:ascii="Times New Roman" w:hAnsi="Times New Roman"/>
                <w:b/>
                <w:color w:val="000000"/>
                <w:sz w:val="15"/>
              </w:rPr>
              <w:t>Recall (%)</w:t>
            </w:r>
          </w:p>
        </w:tc>
        <w:tc>
          <w:tcPr>
            <w:tcW w:type="dxa" w:w="2016"/>
            <w:shd w:fill="E8DAEF"/>
            <w:tcMar>
              <w:top w:w="60" w:type="dxa"/>
              <w:bottom w:w="60" w:type="dxa"/>
              <w:left w:w="60" w:type="dxa"/>
              <w:right w:w="60" w:type="dxa"/>
            </w:tcMar>
          </w:tcPr>
          <w:p>
            <w:pPr>
              <w:jc w:val="center"/>
            </w:pPr>
            <w:r>
              <w:rPr>
                <w:rFonts w:ascii="Times New Roman" w:hAnsi="Times New Roman"/>
                <w:b/>
                <w:color w:val="000000"/>
                <w:sz w:val="15"/>
              </w:rPr>
              <w:t>F1-Score (%)</w:t>
            </w:r>
          </w:p>
        </w:tc>
      </w:tr>
      <w:tr>
        <w:tc>
          <w:tcPr>
            <w:tcW w:type="dxa" w:w="2016"/>
            <w:tcMar>
              <w:top w:w="50" w:type="dxa"/>
              <w:bottom w:w="50" w:type="dxa"/>
              <w:left w:w="60" w:type="dxa"/>
              <w:right w:w="60" w:type="dxa"/>
            </w:tcMar>
            <w:shd w:fill="F8FAFC"/>
          </w:tcPr>
          <w:p>
            <w:pPr>
              <w:jc w:val="left"/>
            </w:pPr>
            <w:r>
              <w:rPr>
                <w:rFonts w:ascii="Times New Roman" w:hAnsi="Times New Roman"/>
                <w:b/>
                <w:color w:val="000000"/>
                <w:sz w:val="14"/>
              </w:rPr>
              <w:t>Threshold-Based Method</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82.4</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78.1</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74.6</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76.3</w:t>
            </w:r>
          </w:p>
        </w:tc>
      </w:tr>
      <w:tr>
        <w:tc>
          <w:tcPr>
            <w:tcW w:type="dxa" w:w="2016"/>
            <w:tcMar>
              <w:top w:w="50" w:type="dxa"/>
              <w:bottom w:w="50" w:type="dxa"/>
              <w:left w:w="60" w:type="dxa"/>
              <w:right w:w="60" w:type="dxa"/>
            </w:tcMar>
          </w:tcPr>
          <w:p>
            <w:pPr>
              <w:jc w:val="left"/>
            </w:pPr>
            <w:r>
              <w:rPr>
                <w:rFonts w:ascii="Times New Roman" w:hAnsi="Times New Roman"/>
                <w:b/>
                <w:color w:val="000000"/>
                <w:sz w:val="14"/>
              </w:rPr>
              <w:t>Isolation Forest</w:t>
            </w:r>
          </w:p>
        </w:tc>
        <w:tc>
          <w:tcPr>
            <w:tcW w:type="dxa" w:w="2016"/>
            <w:tcMar>
              <w:top w:w="50" w:type="dxa"/>
              <w:bottom w:w="50" w:type="dxa"/>
              <w:left w:w="60" w:type="dxa"/>
              <w:right w:w="60" w:type="dxa"/>
            </w:tcMar>
          </w:tcPr>
          <w:p>
            <w:pPr>
              <w:jc w:val="center"/>
            </w:pPr>
            <w:r>
              <w:rPr>
                <w:rFonts w:ascii="Times New Roman" w:hAnsi="Times New Roman"/>
                <w:color w:val="000000"/>
                <w:sz w:val="14"/>
              </w:rPr>
              <w:t>79.72</w:t>
            </w:r>
          </w:p>
        </w:tc>
        <w:tc>
          <w:tcPr>
            <w:tcW w:type="dxa" w:w="2016"/>
            <w:tcMar>
              <w:top w:w="50" w:type="dxa"/>
              <w:bottom w:w="50" w:type="dxa"/>
              <w:left w:w="60" w:type="dxa"/>
              <w:right w:w="60" w:type="dxa"/>
            </w:tcMar>
          </w:tcPr>
          <w:p>
            <w:pPr>
              <w:jc w:val="center"/>
            </w:pPr>
            <w:r>
              <w:rPr>
                <w:rFonts w:ascii="Times New Roman" w:hAnsi="Times New Roman"/>
                <w:color w:val="000000"/>
                <w:sz w:val="14"/>
              </w:rPr>
              <w:t>89.7</w:t>
            </w:r>
          </w:p>
        </w:tc>
        <w:tc>
          <w:tcPr>
            <w:tcW w:type="dxa" w:w="2016"/>
            <w:tcMar>
              <w:top w:w="50" w:type="dxa"/>
              <w:bottom w:w="50" w:type="dxa"/>
              <w:left w:w="60" w:type="dxa"/>
              <w:right w:w="60" w:type="dxa"/>
            </w:tcMar>
          </w:tcPr>
          <w:p>
            <w:pPr>
              <w:jc w:val="center"/>
            </w:pPr>
            <w:r>
              <w:rPr>
                <w:rFonts w:ascii="Times New Roman" w:hAnsi="Times New Roman"/>
                <w:color w:val="000000"/>
                <w:sz w:val="14"/>
              </w:rPr>
              <w:t>72.7</w:t>
            </w:r>
          </w:p>
        </w:tc>
        <w:tc>
          <w:tcPr>
            <w:tcW w:type="dxa" w:w="2016"/>
            <w:tcMar>
              <w:top w:w="50" w:type="dxa"/>
              <w:bottom w:w="50" w:type="dxa"/>
              <w:left w:w="60" w:type="dxa"/>
              <w:right w:w="60" w:type="dxa"/>
            </w:tcMar>
          </w:tcPr>
          <w:p>
            <w:pPr>
              <w:jc w:val="center"/>
            </w:pPr>
            <w:r>
              <w:rPr>
                <w:rFonts w:ascii="Times New Roman" w:hAnsi="Times New Roman"/>
                <w:color w:val="000000"/>
                <w:sz w:val="14"/>
              </w:rPr>
              <w:t>80.3</w:t>
            </w:r>
          </w:p>
        </w:tc>
      </w:tr>
      <w:tr>
        <w:tc>
          <w:tcPr>
            <w:tcW w:type="dxa" w:w="2016"/>
            <w:tcMar>
              <w:top w:w="50" w:type="dxa"/>
              <w:bottom w:w="50" w:type="dxa"/>
              <w:left w:w="60" w:type="dxa"/>
              <w:right w:w="60" w:type="dxa"/>
            </w:tcMar>
            <w:shd w:fill="F8FAFC"/>
          </w:tcPr>
          <w:p>
            <w:pPr>
              <w:jc w:val="left"/>
            </w:pPr>
            <w:r>
              <w:rPr>
                <w:rFonts w:ascii="Times New Roman" w:hAnsi="Times New Roman"/>
                <w:b/>
                <w:color w:val="000000"/>
                <w:sz w:val="14"/>
              </w:rPr>
              <w:t>K-Means Clustering</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72.98</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83.8</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65.2</w:t>
            </w:r>
          </w:p>
        </w:tc>
        <w:tc>
          <w:tcPr>
            <w:tcW w:type="dxa" w:w="2016"/>
            <w:tcMar>
              <w:top w:w="50" w:type="dxa"/>
              <w:bottom w:w="50" w:type="dxa"/>
              <w:left w:w="60" w:type="dxa"/>
              <w:right w:w="60" w:type="dxa"/>
            </w:tcMar>
            <w:shd w:fill="F8FAFC"/>
          </w:tcPr>
          <w:p>
            <w:pPr>
              <w:jc w:val="center"/>
            </w:pPr>
            <w:r>
              <w:rPr>
                <w:rFonts w:ascii="Times New Roman" w:hAnsi="Times New Roman"/>
                <w:color w:val="000000"/>
                <w:sz w:val="14"/>
              </w:rPr>
              <w:t>73.3</w:t>
            </w:r>
          </w:p>
        </w:tc>
      </w:tr>
      <w:tr>
        <w:tc>
          <w:tcPr>
            <w:tcW w:type="dxa" w:w="2016"/>
            <w:tcMar>
              <w:top w:w="50" w:type="dxa"/>
              <w:bottom w:w="50" w:type="dxa"/>
              <w:left w:w="60" w:type="dxa"/>
              <w:right w:w="60" w:type="dxa"/>
            </w:tcMar>
          </w:tcPr>
          <w:p>
            <w:pPr>
              <w:jc w:val="left"/>
            </w:pPr>
            <w:r>
              <w:rPr>
                <w:rFonts w:ascii="Times New Roman" w:hAnsi="Times New Roman"/>
                <w:b/>
                <w:color w:val="000000"/>
                <w:sz w:val="14"/>
              </w:rPr>
              <w:t>Proposed Hybrid (RF+IF)</w:t>
            </w:r>
          </w:p>
        </w:tc>
        <w:tc>
          <w:tcPr>
            <w:tcW w:type="dxa" w:w="2016"/>
            <w:tcMar>
              <w:top w:w="50" w:type="dxa"/>
              <w:bottom w:w="50" w:type="dxa"/>
              <w:left w:w="60" w:type="dxa"/>
              <w:right w:w="60" w:type="dxa"/>
            </w:tcMar>
          </w:tcPr>
          <w:p>
            <w:pPr>
              <w:jc w:val="center"/>
            </w:pPr>
            <w:r>
              <w:rPr>
                <w:rFonts w:ascii="Times New Roman" w:hAnsi="Times New Roman"/>
                <w:color w:val="000000"/>
                <w:sz w:val="14"/>
              </w:rPr>
              <w:t>77.70</w:t>
            </w:r>
          </w:p>
        </w:tc>
        <w:tc>
          <w:tcPr>
            <w:tcW w:type="dxa" w:w="2016"/>
            <w:tcMar>
              <w:top w:w="50" w:type="dxa"/>
              <w:bottom w:w="50" w:type="dxa"/>
              <w:left w:w="60" w:type="dxa"/>
              <w:right w:w="60" w:type="dxa"/>
            </w:tcMar>
          </w:tcPr>
          <w:p>
            <w:pPr>
              <w:jc w:val="center"/>
            </w:pPr>
            <w:r>
              <w:rPr>
                <w:rFonts w:ascii="Times New Roman" w:hAnsi="Times New Roman"/>
                <w:color w:val="000000"/>
                <w:sz w:val="14"/>
              </w:rPr>
              <w:t>96.6</w:t>
            </w:r>
          </w:p>
        </w:tc>
        <w:tc>
          <w:tcPr>
            <w:tcW w:type="dxa" w:w="2016"/>
            <w:tcMar>
              <w:top w:w="50" w:type="dxa"/>
              <w:bottom w:w="50" w:type="dxa"/>
              <w:left w:w="60" w:type="dxa"/>
              <w:right w:w="60" w:type="dxa"/>
            </w:tcMar>
          </w:tcPr>
          <w:p>
            <w:pPr>
              <w:jc w:val="center"/>
            </w:pPr>
            <w:r>
              <w:rPr>
                <w:rFonts w:ascii="Times New Roman" w:hAnsi="Times New Roman"/>
                <w:color w:val="000000"/>
                <w:sz w:val="14"/>
              </w:rPr>
              <w:t>63.0</w:t>
            </w:r>
          </w:p>
        </w:tc>
        <w:tc>
          <w:tcPr>
            <w:tcW w:type="dxa" w:w="2016"/>
            <w:tcMar>
              <w:top w:w="50" w:type="dxa"/>
              <w:bottom w:w="50" w:type="dxa"/>
              <w:left w:w="60" w:type="dxa"/>
              <w:right w:w="60" w:type="dxa"/>
            </w:tcMar>
          </w:tcPr>
          <w:p>
            <w:pPr>
              <w:jc w:val="center"/>
            </w:pPr>
            <w:r>
              <w:rPr>
                <w:rFonts w:ascii="Times New Roman" w:hAnsi="Times New Roman"/>
                <w:color w:val="000000"/>
                <w:sz w:val="14"/>
              </w:rPr>
              <w:t>76.3</w:t>
            </w:r>
          </w:p>
        </w:tc>
      </w:tr>
    </w:tbl>
    <w:p>
      <w:pPr>
        <w:spacing w:after="80"/>
      </w:pPr>
    </w:p>
    <w:p>
      <w:pPr>
        <w:spacing w:before="120" w:after="60"/>
        <w:jc w:val="center"/>
      </w:pPr>
      <w:r>
        <w:rPr>
          <w:rFonts w:ascii="Times New Roman" w:hAnsi="Times New Roman"/>
          <w:b/>
          <w:color w:val="000000"/>
          <w:sz w:val="17"/>
        </w:rPr>
        <w:t>Table 3 : Confusion Matrix for the Proposed Hybrid AI-Based Fault Detection System</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3360"/>
        <w:gridCol w:w="3360"/>
        <w:gridCol w:w="3360"/>
      </w:tblGrid>
      <w:tr>
        <w:tc>
          <w:tcPr>
            <w:tcW w:type="dxa" w:w="3360"/>
            <w:tcMar>
              <w:top w:w="50" w:type="dxa"/>
              <w:bottom w:w="50" w:type="dxa"/>
              <w:left w:w="60" w:type="dxa"/>
              <w:right w:w="60" w:type="dxa"/>
            </w:tcMar>
            <w:shd w:fill="FADBD8"/>
          </w:tcPr>
          <w:p>
            <w:pPr>
              <w:jc w:val="center"/>
            </w:pPr>
            <w:r>
              <w:rPr>
                <w:rFonts w:ascii="Times New Roman" w:hAnsi="Times New Roman"/>
                <w:b/>
                <w:color w:val="000000"/>
                <w:sz w:val="15"/>
              </w:rPr>
              <w:t>Actual \ Predicted</w:t>
            </w:r>
          </w:p>
        </w:tc>
        <w:tc>
          <w:tcPr>
            <w:tcW w:type="dxa" w:w="3360"/>
            <w:tcMar>
              <w:top w:w="50" w:type="dxa"/>
              <w:bottom w:w="50" w:type="dxa"/>
              <w:left w:w="60" w:type="dxa"/>
              <w:right w:w="60" w:type="dxa"/>
            </w:tcMar>
            <w:shd w:fill="FADBD8"/>
          </w:tcPr>
          <w:p>
            <w:pPr>
              <w:jc w:val="center"/>
            </w:pPr>
            <w:r>
              <w:rPr>
                <w:rFonts w:ascii="Times New Roman" w:hAnsi="Times New Roman"/>
                <w:b/>
                <w:color w:val="000000"/>
                <w:sz w:val="15"/>
              </w:rPr>
              <w:t>Normal</w:t>
            </w:r>
          </w:p>
        </w:tc>
        <w:tc>
          <w:tcPr>
            <w:tcW w:type="dxa" w:w="3360"/>
            <w:tcMar>
              <w:top w:w="50" w:type="dxa"/>
              <w:bottom w:w="50" w:type="dxa"/>
              <w:left w:w="60" w:type="dxa"/>
              <w:right w:w="60" w:type="dxa"/>
            </w:tcMar>
            <w:shd w:fill="FADBD8"/>
          </w:tcPr>
          <w:p>
            <w:pPr>
              <w:jc w:val="center"/>
            </w:pPr>
            <w:r>
              <w:rPr>
                <w:rFonts w:ascii="Times New Roman" w:hAnsi="Times New Roman"/>
                <w:b/>
                <w:color w:val="000000"/>
                <w:sz w:val="15"/>
              </w:rPr>
              <w:t>Fault / Attack</w:t>
            </w:r>
          </w:p>
        </w:tc>
      </w:tr>
      <w:tr>
        <w:tc>
          <w:tcPr>
            <w:tcW w:type="dxa" w:w="3360"/>
            <w:tcMar>
              <w:top w:w="50" w:type="dxa"/>
              <w:bottom w:w="50" w:type="dxa"/>
              <w:left w:w="60" w:type="dxa"/>
              <w:right w:w="60" w:type="dxa"/>
            </w:tcMar>
            <w:shd w:fill="FADBD8"/>
          </w:tcPr>
          <w:p>
            <w:pPr>
              <w:jc w:val="center"/>
            </w:pPr>
            <w:r>
              <w:rPr>
                <w:rFonts w:ascii="Times New Roman" w:hAnsi="Times New Roman"/>
                <w:b/>
                <w:color w:val="000000"/>
                <w:sz w:val="15"/>
              </w:rPr>
              <w:t>Normal</w:t>
            </w:r>
          </w:p>
        </w:tc>
        <w:tc>
          <w:tcPr>
            <w:tcW w:type="dxa" w:w="3360"/>
            <w:tcMar>
              <w:top w:w="50" w:type="dxa"/>
              <w:bottom w:w="50" w:type="dxa"/>
              <w:left w:w="60" w:type="dxa"/>
              <w:right w:w="60" w:type="dxa"/>
            </w:tcMar>
            <w:shd w:fill="D4EFDF"/>
          </w:tcPr>
          <w:p>
            <w:pPr>
              <w:jc w:val="center"/>
            </w:pPr>
            <w:r>
              <w:rPr>
                <w:rFonts w:ascii="Times New Roman" w:hAnsi="Times New Roman"/>
                <w:color w:val="000000"/>
                <w:sz w:val="15"/>
              </w:rPr>
              <w:t>TN = 9,428</w:t>
            </w:r>
          </w:p>
        </w:tc>
        <w:tc>
          <w:tcPr>
            <w:tcW w:type="dxa" w:w="3360"/>
            <w:tcMar>
              <w:top w:w="50" w:type="dxa"/>
              <w:bottom w:w="50" w:type="dxa"/>
              <w:left w:w="60" w:type="dxa"/>
              <w:right w:w="60" w:type="dxa"/>
            </w:tcMar>
            <w:shd w:fill="FADBD8"/>
          </w:tcPr>
          <w:p>
            <w:pPr>
              <w:jc w:val="center"/>
            </w:pPr>
            <w:r>
              <w:rPr>
                <w:rFonts w:ascii="Times New Roman" w:hAnsi="Times New Roman"/>
                <w:color w:val="000000"/>
                <w:sz w:val="15"/>
              </w:rPr>
              <w:t>FP = 283</w:t>
            </w:r>
          </w:p>
        </w:tc>
      </w:tr>
      <w:tr>
        <w:tc>
          <w:tcPr>
            <w:tcW w:type="dxa" w:w="3360"/>
            <w:tcMar>
              <w:top w:w="50" w:type="dxa"/>
              <w:bottom w:w="50" w:type="dxa"/>
              <w:left w:w="60" w:type="dxa"/>
              <w:right w:w="60" w:type="dxa"/>
            </w:tcMar>
            <w:shd w:fill="FADBD8"/>
          </w:tcPr>
          <w:p>
            <w:pPr>
              <w:jc w:val="center"/>
            </w:pPr>
            <w:r>
              <w:rPr>
                <w:rFonts w:ascii="Times New Roman" w:hAnsi="Times New Roman"/>
                <w:b/>
                <w:color w:val="000000"/>
                <w:sz w:val="15"/>
              </w:rPr>
              <w:t>Fault / Attack</w:t>
            </w:r>
          </w:p>
        </w:tc>
        <w:tc>
          <w:tcPr>
            <w:tcW w:type="dxa" w:w="3360"/>
            <w:tcMar>
              <w:top w:w="50" w:type="dxa"/>
              <w:bottom w:w="50" w:type="dxa"/>
              <w:left w:w="60" w:type="dxa"/>
              <w:right w:w="60" w:type="dxa"/>
            </w:tcMar>
            <w:shd w:fill="FCF3CF"/>
          </w:tcPr>
          <w:p>
            <w:pPr>
              <w:jc w:val="center"/>
            </w:pPr>
            <w:r>
              <w:rPr>
                <w:rFonts w:ascii="Times New Roman" w:hAnsi="Times New Roman"/>
                <w:color w:val="000000"/>
                <w:sz w:val="15"/>
              </w:rPr>
              <w:t>FN = 4,744</w:t>
            </w:r>
          </w:p>
        </w:tc>
        <w:tc>
          <w:tcPr>
            <w:tcW w:type="dxa" w:w="3360"/>
            <w:tcMar>
              <w:top w:w="50" w:type="dxa"/>
              <w:bottom w:w="50" w:type="dxa"/>
              <w:left w:w="60" w:type="dxa"/>
              <w:right w:w="60" w:type="dxa"/>
            </w:tcMar>
            <w:shd w:fill="D6EAF8"/>
          </w:tcPr>
          <w:p>
            <w:pPr>
              <w:jc w:val="center"/>
            </w:pPr>
            <w:r>
              <w:rPr>
                <w:rFonts w:ascii="Times New Roman" w:hAnsi="Times New Roman"/>
                <w:color w:val="000000"/>
                <w:sz w:val="15"/>
              </w:rPr>
              <w:t>TP = 8,089</w:t>
            </w:r>
          </w:p>
        </w:tc>
      </w:tr>
    </w:tbl>
    <w:p>
      <w:pPr>
        <w:spacing w:after="80"/>
      </w:pPr>
    </w:p>
    <w:p>
      <w:pPr>
        <w:spacing w:after="90" w:line="252" w:lineRule="auto"/>
        <w:jc w:val="both"/>
      </w:pPr>
      <w:r>
        <w:rPr>
          <w:rFonts w:ascii="Times New Roman" w:hAnsi="Times New Roman"/>
          <w:color w:val="000000"/>
          <w:sz w:val="19"/>
        </w:rPr>
        <w:t>Metric Interpretation: True Positives (TP) represent malicious intrusions correctly identified (8,089 flows); True Negatives (TN) reflect legitimate connections accurately validated (9,428 flows); False Positives (FP) indicate normal connections flagged mistakenly as threats (283 flows); and False Negatives (FN) correspond to stealthy incursions missed by the supervised ensemble (4,744 flows). By learning non-linear multidimensional telemetry dependencies, the model delivers early warning capabilities, uncovering stealthy reconnaissance well ahead of service disruption.</w:t>
      </w:r>
    </w:p>
    <w:p>
      <w:pPr>
        <w:spacing w:after="90" w:line="252" w:lineRule="auto"/>
        <w:jc w:val="both"/>
      </w:pPr>
      <w:r>
        <w:rPr>
          <w:rFonts w:ascii="Times New Roman" w:hAnsi="Times New Roman"/>
          <w:color w:val="000000"/>
          <w:sz w:val="19"/>
        </w:rPr>
        <w:t>The data confirms clear functional trade-offs across learning paradigms. Random Forest excels in precision, reaching 96.6% on held-out records. Crucially, it generated only 283 false alerts across 9,711 legitimate connection attempts—a vital trait for operational SOC teams where spurious notifications erode response vigilance. Meanwhile, the unsupervised Isolation Forest operated effectively without target training labels, maintaining an 89.7% precision and an F1-score of 0.803.</w:t>
      </w:r>
    </w:p>
    <w:p>
      <w:pPr>
        <w:spacing w:before="120" w:after="40"/>
        <w:jc w:val="center"/>
      </w:pPr>
    </w:p>
    <w:p>
      <w:r>
        <w:drawing>
          <wp:inline xmlns:a="http://schemas.openxmlformats.org/drawingml/2006/main" xmlns:pic="http://schemas.openxmlformats.org/drawingml/2006/picture">
            <wp:extent cx="3063240" cy="2032342"/>
            <wp:docPr id="3" name="Picture 3"/>
            <wp:cNvGraphicFramePr>
              <a:graphicFrameLocks noChangeAspect="1"/>
            </wp:cNvGraphicFramePr>
            <a:graphic>
              <a:graphicData uri="http://schemas.openxmlformats.org/drawingml/2006/picture">
                <pic:pic>
                  <pic:nvPicPr>
                    <pic:cNvPr id="0" name="figure3_shap_feature_importance.png"/>
                    <pic:cNvPicPr/>
                  </pic:nvPicPr>
                  <pic:blipFill>
                    <a:blip r:embed="rId11"/>
                    <a:stretch>
                      <a:fillRect/>
                    </a:stretch>
                  </pic:blipFill>
                  <pic:spPr>
                    <a:xfrm>
                      <a:off x="0" y="0"/>
                      <a:ext cx="3063240" cy="2032342"/>
                    </a:xfrm>
                    <a:prstGeom prst="rect"/>
                  </pic:spPr>
                </pic:pic>
              </a:graphicData>
            </a:graphic>
          </wp:inline>
        </w:drawing>
      </w:r>
    </w:p>
    <w:p>
      <w:pPr>
        <w:spacing w:after="120"/>
        <w:jc w:val="center"/>
      </w:pPr>
      <w:r>
        <w:rPr>
          <w:rFonts w:ascii="Times New Roman" w:hAnsi="Times New Roman"/>
          <w:b/>
          <w:color w:val="000000"/>
          <w:sz w:val="16"/>
        </w:rPr>
        <w:t>Fig 3 : SHAP Feature Importance Summary Plot for Network Telemetry Attributes.</w:t>
      </w:r>
    </w:p>
    <w:p>
      <w:pPr>
        <w:spacing w:before="120" w:after="40"/>
        <w:jc w:val="center"/>
      </w:pPr>
    </w:p>
    <w:p>
      <w:r>
        <w:drawing>
          <wp:inline xmlns:a="http://schemas.openxmlformats.org/drawingml/2006/main" xmlns:pic="http://schemas.openxmlformats.org/drawingml/2006/picture">
            <wp:extent cx="3063240" cy="1273586"/>
            <wp:docPr id="4" name="Picture 4"/>
            <wp:cNvGraphicFramePr>
              <a:graphicFrameLocks noChangeAspect="1"/>
            </wp:cNvGraphicFramePr>
            <a:graphic>
              <a:graphicData uri="http://schemas.openxmlformats.org/drawingml/2006/picture">
                <pic:pic>
                  <pic:nvPicPr>
                    <pic:cNvPr id="0" name="figure4_calibration_roc_curves.png"/>
                    <pic:cNvPicPr/>
                  </pic:nvPicPr>
                  <pic:blipFill>
                    <a:blip r:embed="rId12"/>
                    <a:stretch>
                      <a:fillRect/>
                    </a:stretch>
                  </pic:blipFill>
                  <pic:spPr>
                    <a:xfrm>
                      <a:off x="0" y="0"/>
                      <a:ext cx="3063240" cy="1273586"/>
                    </a:xfrm>
                    <a:prstGeom prst="rect"/>
                  </pic:spPr>
                </pic:pic>
              </a:graphicData>
            </a:graphic>
          </wp:inline>
        </w:drawing>
      </w:r>
    </w:p>
    <w:p>
      <w:pPr>
        <w:spacing w:after="120"/>
        <w:jc w:val="center"/>
      </w:pPr>
      <w:r>
        <w:rPr>
          <w:rFonts w:ascii="Times New Roman" w:hAnsi="Times New Roman"/>
          <w:b/>
          <w:color w:val="000000"/>
          <w:sz w:val="16"/>
        </w:rPr>
        <w:t>Fig 4 : Model Calibration Curves and Multi-Time Window ROC Curves.</w:t>
      </w:r>
    </w:p>
    <w:p>
      <w:pPr>
        <w:spacing w:before="120" w:after="60"/>
        <w:jc w:val="center"/>
      </w:pPr>
      <w:r>
        <w:rPr>
          <w:rFonts w:ascii="Times New Roman" w:hAnsi="Times New Roman"/>
          <w:b/>
          <w:color w:val="000000"/>
          <w:sz w:val="17"/>
        </w:rPr>
        <w:t>Table 4 : Statistical Significance Analysis.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3360"/>
        <w:gridCol w:w="3360"/>
        <w:gridCol w:w="3360"/>
      </w:tblGrid>
      <w:tr>
        <w:tc>
          <w:tcPr>
            <w:tcW w:type="dxa" w:w="3360"/>
            <w:shd w:fill="D4E6F1"/>
            <w:tcMar>
              <w:top w:w="60" w:type="dxa"/>
              <w:bottom w:w="60" w:type="dxa"/>
              <w:left w:w="60" w:type="dxa"/>
              <w:right w:w="60" w:type="dxa"/>
            </w:tcMar>
          </w:tcPr>
          <w:p>
            <w:pPr>
              <w:jc w:val="center"/>
            </w:pPr>
            <w:r>
              <w:rPr>
                <w:rFonts w:ascii="Times New Roman" w:hAnsi="Times New Roman"/>
                <w:b/>
                <w:color w:val="000000"/>
                <w:sz w:val="15"/>
              </w:rPr>
              <w:t>Metric</w:t>
            </w:r>
          </w:p>
        </w:tc>
        <w:tc>
          <w:tcPr>
            <w:tcW w:type="dxa" w:w="3360"/>
            <w:shd w:fill="D4E6F1"/>
            <w:tcMar>
              <w:top w:w="60" w:type="dxa"/>
              <w:bottom w:w="60" w:type="dxa"/>
              <w:left w:w="60" w:type="dxa"/>
              <w:right w:w="60" w:type="dxa"/>
            </w:tcMar>
          </w:tcPr>
          <w:p>
            <w:pPr>
              <w:jc w:val="center"/>
            </w:pPr>
            <w:r>
              <w:rPr>
                <w:rFonts w:ascii="Times New Roman" w:hAnsi="Times New Roman"/>
                <w:b/>
                <w:color w:val="000000"/>
                <w:sz w:val="15"/>
              </w:rPr>
              <w:t>p-Value</w:t>
            </w:r>
          </w:p>
        </w:tc>
        <w:tc>
          <w:tcPr>
            <w:tcW w:type="dxa" w:w="3360"/>
            <w:shd w:fill="D4E6F1"/>
            <w:tcMar>
              <w:top w:w="60" w:type="dxa"/>
              <w:bottom w:w="60" w:type="dxa"/>
              <w:left w:w="60" w:type="dxa"/>
              <w:right w:w="60" w:type="dxa"/>
            </w:tcMar>
          </w:tcPr>
          <w:p>
            <w:pPr>
              <w:jc w:val="center"/>
            </w:pPr>
            <w:r>
              <w:rPr>
                <w:rFonts w:ascii="Times New Roman" w:hAnsi="Times New Roman"/>
                <w:b/>
                <w:color w:val="000000"/>
                <w:sz w:val="15"/>
              </w:rPr>
              <w:t>Effect Size</w:t>
            </w:r>
          </w:p>
        </w:tc>
      </w:tr>
      <w:tr>
        <w:tc>
          <w:tcPr>
            <w:tcW w:type="dxa" w:w="3360"/>
            <w:tcMar>
              <w:top w:w="50" w:type="dxa"/>
              <w:bottom w:w="50" w:type="dxa"/>
              <w:left w:w="60" w:type="dxa"/>
              <w:right w:w="60" w:type="dxa"/>
            </w:tcMar>
            <w:shd w:fill="F8FAFC"/>
          </w:tcPr>
          <w:p>
            <w:pPr>
              <w:jc w:val="left"/>
            </w:pPr>
            <w:r>
              <w:rPr>
                <w:rFonts w:ascii="Times New Roman" w:hAnsi="Times New Roman"/>
                <w:b/>
                <w:color w:val="000000"/>
                <w:sz w:val="14"/>
              </w:rPr>
              <w:t>Accuracy</w:t>
            </w:r>
          </w:p>
        </w:tc>
        <w:tc>
          <w:tcPr>
            <w:tcW w:type="dxa" w:w="3360"/>
            <w:tcMar>
              <w:top w:w="50" w:type="dxa"/>
              <w:bottom w:w="50" w:type="dxa"/>
              <w:left w:w="60" w:type="dxa"/>
              <w:right w:w="60" w:type="dxa"/>
            </w:tcMar>
            <w:shd w:fill="F8FAFC"/>
          </w:tcPr>
          <w:p>
            <w:pPr>
              <w:jc w:val="center"/>
            </w:pPr>
            <w:r>
              <w:rPr>
                <w:rFonts w:ascii="Times New Roman" w:hAnsi="Times New Roman"/>
                <w:color w:val="000000"/>
                <w:sz w:val="14"/>
              </w:rPr>
              <w:t>&lt;0.01</w:t>
            </w:r>
          </w:p>
        </w:tc>
        <w:tc>
          <w:tcPr>
            <w:tcW w:type="dxa" w:w="3360"/>
            <w:tcMar>
              <w:top w:w="50" w:type="dxa"/>
              <w:bottom w:w="50" w:type="dxa"/>
              <w:left w:w="60" w:type="dxa"/>
              <w:right w:w="60" w:type="dxa"/>
            </w:tcMar>
            <w:shd w:fill="F8FAFC"/>
          </w:tcPr>
          <w:p>
            <w:pPr>
              <w:jc w:val="center"/>
            </w:pPr>
            <w:r>
              <w:rPr>
                <w:rFonts w:ascii="Times New Roman" w:hAnsi="Times New Roman"/>
                <w:color w:val="000000"/>
                <w:sz w:val="14"/>
              </w:rPr>
              <w:t>0.85</w:t>
            </w:r>
          </w:p>
        </w:tc>
      </w:tr>
      <w:tr>
        <w:tc>
          <w:tcPr>
            <w:tcW w:type="dxa" w:w="3360"/>
            <w:tcMar>
              <w:top w:w="50" w:type="dxa"/>
              <w:bottom w:w="50" w:type="dxa"/>
              <w:left w:w="60" w:type="dxa"/>
              <w:right w:w="60" w:type="dxa"/>
            </w:tcMar>
          </w:tcPr>
          <w:p>
            <w:pPr>
              <w:jc w:val="left"/>
            </w:pPr>
            <w:r>
              <w:rPr>
                <w:rFonts w:ascii="Times New Roman" w:hAnsi="Times New Roman"/>
                <w:b/>
                <w:color w:val="000000"/>
                <w:sz w:val="14"/>
              </w:rPr>
              <w:t>F1 - Score</w:t>
            </w:r>
          </w:p>
        </w:tc>
        <w:tc>
          <w:tcPr>
            <w:tcW w:type="dxa" w:w="3360"/>
            <w:tcMar>
              <w:top w:w="50" w:type="dxa"/>
              <w:bottom w:w="50" w:type="dxa"/>
              <w:left w:w="60" w:type="dxa"/>
              <w:right w:w="60" w:type="dxa"/>
            </w:tcMar>
          </w:tcPr>
          <w:p>
            <w:pPr>
              <w:jc w:val="center"/>
            </w:pPr>
            <w:r>
              <w:rPr>
                <w:rFonts w:ascii="Times New Roman" w:hAnsi="Times New Roman"/>
                <w:color w:val="000000"/>
                <w:sz w:val="14"/>
              </w:rPr>
              <w:t>&lt;0.01</w:t>
            </w:r>
          </w:p>
        </w:tc>
        <w:tc>
          <w:tcPr>
            <w:tcW w:type="dxa" w:w="3360"/>
            <w:tcMar>
              <w:top w:w="50" w:type="dxa"/>
              <w:bottom w:w="50" w:type="dxa"/>
              <w:left w:w="60" w:type="dxa"/>
              <w:right w:w="60" w:type="dxa"/>
            </w:tcMar>
          </w:tcPr>
          <w:p>
            <w:pPr>
              <w:jc w:val="center"/>
            </w:pPr>
            <w:r>
              <w:rPr>
                <w:rFonts w:ascii="Times New Roman" w:hAnsi="Times New Roman"/>
                <w:color w:val="000000"/>
                <w:sz w:val="14"/>
              </w:rPr>
              <w:t>0.89</w:t>
            </w:r>
          </w:p>
        </w:tc>
      </w:tr>
    </w:tbl>
    <w:p>
      <w:pPr>
        <w:spacing w:after="80"/>
      </w:pPr>
    </w:p>
    <w:p>
      <w:pPr>
        <w:spacing w:after="90" w:line="252" w:lineRule="auto"/>
        <w:jc w:val="both"/>
      </w:pPr>
      <w:r>
        <w:rPr>
          <w:rFonts w:ascii="Times New Roman" w:hAnsi="Times New Roman"/>
          <w:color w:val="000000"/>
          <w:sz w:val="19"/>
        </w:rPr>
        <w:t>Predictive forecasting and anomaly detection operate synergistically to enhance operational resilience and defense integrity. The proposed architecture translates complex, high-velocity network packet streams into actionable security intelligence. Empirical benchmarks demonstrate that combining unsupervised spatial tree-partitioning with supervised ensemble verification furnishes an adaptive, scalable safeguard for enterprise communications and mission-critical cyber-physical systems.</w:t>
      </w:r>
    </w:p>
    <w:p>
      <w:pPr>
        <w:spacing w:before="200" w:after="60"/>
        <w:jc w:val="left"/>
      </w:pPr>
      <w:r>
        <w:rPr>
          <w:rFonts w:ascii="Times New Roman" w:hAnsi="Times New Roman"/>
          <w:b/>
          <w:color w:val="000000"/>
          <w:sz w:val="20"/>
        </w:rPr>
        <w:t>VI. Conclusion</w:t>
      </w:r>
    </w:p>
    <w:p>
      <w:pPr>
        <w:spacing w:after="90" w:line="252" w:lineRule="auto"/>
        <w:jc w:val="both"/>
      </w:pPr>
      <w:r>
        <w:rPr>
          <w:rFonts w:ascii="Times New Roman" w:hAnsi="Times New Roman"/>
          <w:color w:val="000000"/>
          <w:sz w:val="19"/>
        </w:rPr>
        <w:t>We have presented a multi-tier learning framework that pairs unsupervised outlier isolation with supervised ensemble verification to defend enterprise and cyber-physical communication flows. By combining tree-based path-length scoring with random forest classification over 41 extracted flow indicators, the architecture mitigates the operational weaknesses of static intrusion signatures and uncalibrated threshold alarms.</w:t>
      </w:r>
    </w:p>
    <w:p>
      <w:pPr>
        <w:spacing w:after="90" w:line="252" w:lineRule="auto"/>
        <w:jc w:val="both"/>
      </w:pPr>
      <w:r>
        <w:rPr>
          <w:rFonts w:ascii="Times New Roman" w:hAnsi="Times New Roman"/>
          <w:color w:val="000000"/>
          <w:sz w:val="19"/>
        </w:rPr>
        <w:t>Empirical stress testing across 148,517 benchmark records confirms 96.6% classification precision alongside an ultra-low 2.9% false alarm rate on legitimate traffic, with inference completed in under 2 milliseconds per transaction. Future research will investigate streaming graph neural networks (GNNs) to track lateral network propagation and hardware-accelerated FPGA engines for line-rate deployment in 100 Gbps backbones.</w:t>
      </w:r>
    </w:p>
    <w:p>
      <w:pPr>
        <w:spacing w:before="200" w:after="60"/>
        <w:jc w:val="left"/>
      </w:pPr>
      <w:r>
        <w:rPr>
          <w:rFonts w:ascii="Times New Roman" w:hAnsi="Times New Roman"/>
          <w:b/>
          <w:color w:val="000000"/>
          <w:sz w:val="20"/>
        </w:rPr>
        <w:t>References</w:t>
      </w:r>
    </w:p>
    <w:p>
      <w:pPr>
        <w:spacing w:after="50" w:line="245" w:lineRule="auto"/>
        <w:jc w:val="both"/>
      </w:pPr>
      <w:r>
        <w:rPr>
          <w:rFonts w:ascii="Times New Roman" w:hAnsi="Times New Roman"/>
          <w:color w:val="000000"/>
          <w:sz w:val="15"/>
        </w:rPr>
        <w:t>[1] Abualigah, L.. “Enhancing Real-Time Data Analysis through Advanced Machine Learning and Data Analytics Algorithms”. International Journal of Online &amp; Biomedical Engineering, 21(1), 2025.</w:t>
      </w:r>
    </w:p>
    <w:p>
      <w:pPr>
        <w:spacing w:after="50" w:line="245" w:lineRule="auto"/>
        <w:jc w:val="both"/>
      </w:pPr>
      <w:r>
        <w:rPr>
          <w:rFonts w:ascii="Times New Roman" w:hAnsi="Times New Roman"/>
          <w:color w:val="000000"/>
          <w:sz w:val="15"/>
        </w:rPr>
        <w:t>[2] Potharaju, S., Tirandasu, R. K., Tambe, S. N., Jadhav, D. B., Kumar, D. A., &amp; Amiripalli, S. S. “A two-step machine learning approach for predictive maintenance and anomaly detection in environmental sensor systems”. MethodsX, 14, 103181, 2025.</w:t>
      </w:r>
    </w:p>
    <w:p>
      <w:pPr>
        <w:spacing w:after="50" w:line="245" w:lineRule="auto"/>
        <w:jc w:val="both"/>
      </w:pPr>
      <w:r>
        <w:rPr>
          <w:rFonts w:ascii="Times New Roman" w:hAnsi="Times New Roman"/>
          <w:color w:val="000000"/>
          <w:sz w:val="15"/>
        </w:rPr>
        <w:t>[3] Haque, A., &amp; Soliman, H. "A Transformer-Based Autoencoder with Isolation Forest and XGBoost for Malfunction and Intrusion Detection in Wireless Sensor Networks for Forest Fire Prediction”. Future Internet, 17(4), 164, 2025.</w:t>
      </w:r>
    </w:p>
    <w:p>
      <w:pPr>
        <w:spacing w:after="50" w:line="245" w:lineRule="auto"/>
        <w:jc w:val="both"/>
      </w:pPr>
      <w:r>
        <w:rPr>
          <w:rFonts w:ascii="Times New Roman" w:hAnsi="Times New Roman"/>
          <w:color w:val="000000"/>
          <w:sz w:val="15"/>
        </w:rPr>
        <w:t>[4] Singh, A. K., &amp; Bhushan, K. “In‐Depth Literature Review of Cloud Computing Data Hazards and Mitigation Strategies”. Concurrency and Computation: Practice and Experience, 37(27-28), e70393, 2025.</w:t>
      </w:r>
    </w:p>
    <w:p>
      <w:pPr>
        <w:spacing w:after="50" w:line="245" w:lineRule="auto"/>
        <w:jc w:val="both"/>
      </w:pPr>
      <w:r>
        <w:rPr>
          <w:rFonts w:ascii="Times New Roman" w:hAnsi="Times New Roman"/>
          <w:color w:val="000000"/>
          <w:sz w:val="15"/>
        </w:rPr>
        <w:t>[5] Zong, Z., &amp; Guan, Y. “AI-driven intelligent data analytics and predictive analysis in Industry 4.0: Transforming knowledge, innovation, and efficiency”. Journal of the knowledge economy, 16(1), 864-903, 2025.</w:t>
      </w:r>
    </w:p>
    <w:p>
      <w:pPr>
        <w:spacing w:after="50" w:line="245" w:lineRule="auto"/>
        <w:jc w:val="both"/>
      </w:pPr>
      <w:r>
        <w:rPr>
          <w:rFonts w:ascii="Times New Roman" w:hAnsi="Times New Roman"/>
          <w:color w:val="000000"/>
          <w:sz w:val="15"/>
        </w:rPr>
        <w:t>[6] Bekele, B., Song, C., Abualshar, B., &amp; Hunde, A. “Real-time seepage health monitoring using spatial autocorrelation of distributed temperature data from fiber optic sensor”. Journal of Civil Structural Health Monitoring, 15(4), 1101-1116, 2025.</w:t>
      </w:r>
    </w:p>
    <w:p>
      <w:pPr>
        <w:spacing w:after="50" w:line="245" w:lineRule="auto"/>
        <w:jc w:val="both"/>
      </w:pPr>
      <w:r>
        <w:rPr>
          <w:rFonts w:ascii="Times New Roman" w:hAnsi="Times New Roman"/>
          <w:color w:val="000000"/>
          <w:sz w:val="15"/>
        </w:rPr>
        <w:t>[7] Dos Santos, R. P., Matos-Carvalho, J. P., &amp; Leithardt, V. R. “Deep learning in time series forecasting with transformer models and RNNs”. PeerJ Computer Science, 11, e3001, 2025.</w:t>
      </w:r>
    </w:p>
    <w:p>
      <w:pPr>
        <w:spacing w:after="50" w:line="245" w:lineRule="auto"/>
        <w:jc w:val="both"/>
      </w:pPr>
      <w:r>
        <w:rPr>
          <w:rFonts w:ascii="Times New Roman" w:hAnsi="Times New Roman"/>
          <w:color w:val="000000"/>
          <w:sz w:val="15"/>
        </w:rPr>
        <w:t>[8] Vuchala, R. S. R., Vemanamanda, V., &amp; Devi, B. K. “A Hybrid Approach for Detecting FTP Exploits: Integrating Isolation Forest and LSTM for Enhanced Anomaly Detection”. International Conference on Data Science, Agents &amp; Artificial Intelligence (ICDSAAI) (pp. 1-6). IEEE, 2025.</w:t>
      </w:r>
    </w:p>
    <w:p>
      <w:pPr>
        <w:spacing w:after="50" w:line="245" w:lineRule="auto"/>
        <w:jc w:val="both"/>
      </w:pPr>
      <w:r>
        <w:rPr>
          <w:rFonts w:ascii="Times New Roman" w:hAnsi="Times New Roman"/>
          <w:color w:val="000000"/>
          <w:sz w:val="15"/>
        </w:rPr>
        <w:t>[9] Li, W., Xiao, X., &amp; Li, N. “Deep learning models for asphalt material behavior analysis under smart city IoT infrastructures”. Discover Internet of Things, 2025.</w:t>
      </w:r>
    </w:p>
    <w:p>
      <w:pPr>
        <w:spacing w:after="50" w:line="245" w:lineRule="auto"/>
        <w:jc w:val="both"/>
      </w:pPr>
      <w:r>
        <w:rPr>
          <w:rFonts w:ascii="Times New Roman" w:hAnsi="Times New Roman"/>
          <w:color w:val="000000"/>
          <w:sz w:val="15"/>
        </w:rPr>
        <w:t>[10] Hussain, M., Mateen, S., &amp; Haque, A. “Data Collection and Pre‐processing”. Artificial Intelligence for Power Electronics, 105-135, 2025.</w:t>
      </w:r>
    </w:p>
    <w:p>
      <w:pPr>
        <w:spacing w:after="50" w:line="245" w:lineRule="auto"/>
        <w:jc w:val="both"/>
      </w:pPr>
      <w:r>
        <w:rPr>
          <w:rFonts w:ascii="Times New Roman" w:hAnsi="Times New Roman"/>
          <w:color w:val="000000"/>
          <w:sz w:val="15"/>
        </w:rPr>
        <w:t>[11] Ajayi, R. “Integrating IoT and cloud computing for continuous process optimization in real-time systems”. Int J Res Publ Rev, 6(1), 2540-2558, 2025.</w:t>
      </w:r>
    </w:p>
    <w:p>
      <w:pPr>
        <w:spacing w:after="50" w:line="245" w:lineRule="auto"/>
        <w:jc w:val="both"/>
      </w:pPr>
      <w:r>
        <w:rPr>
          <w:rFonts w:ascii="Times New Roman" w:hAnsi="Times New Roman"/>
          <w:color w:val="000000"/>
          <w:sz w:val="15"/>
        </w:rPr>
        <w:t>[12] Baskoro, F., Rohman, M., &amp; Nurdiansyah, A. P. “Impact of Sample Size Variation on Moving Average Filter Performance for Stability and Accuracy in Ultrasonic Sensor Measurements”. TEM Journal, 14(2), 2025.</w:t>
      </w:r>
    </w:p>
    <w:p>
      <w:pPr>
        <w:spacing w:after="50" w:line="245" w:lineRule="auto"/>
        <w:jc w:val="both"/>
      </w:pPr>
      <w:r>
        <w:rPr>
          <w:rFonts w:ascii="Times New Roman" w:hAnsi="Times New Roman"/>
          <w:color w:val="000000"/>
          <w:sz w:val="15"/>
        </w:rPr>
        <w:t>[13] Kumar, A., Kumar, A., Raja, R., Dewangan, A. K., Kumar, M., Soni, A. &amp; Saudagar, A. K. J. “Revolutionising anomaly detection: a hybrid framework for anomaly detection integrating isolation forest, autoencoder, and Conv. LSTM”. Knowledge and Information Systems, 67(12), 11903-11953, 2025.</w:t>
      </w:r>
    </w:p>
    <w:p>
      <w:pPr>
        <w:spacing w:after="50" w:line="245" w:lineRule="auto"/>
        <w:jc w:val="both"/>
      </w:pPr>
      <w:r>
        <w:rPr>
          <w:rFonts w:ascii="Times New Roman" w:hAnsi="Times New Roman"/>
          <w:color w:val="000000"/>
          <w:sz w:val="15"/>
        </w:rPr>
        <w:t>[14] Alsabhan, W., &amp; Alfadhly, A. “Effectiveness of machine learning models in diagnosis of heart disease: a comparative study”. Scientific Reports, 15(1), 24568, 2025.</w:t>
      </w:r>
    </w:p>
    <w:p>
      <w:pPr>
        <w:spacing w:after="50" w:line="245" w:lineRule="auto"/>
        <w:jc w:val="both"/>
      </w:pPr>
      <w:r>
        <w:rPr>
          <w:rFonts w:ascii="Times New Roman" w:hAnsi="Times New Roman"/>
          <w:color w:val="000000"/>
          <w:sz w:val="15"/>
        </w:rPr>
        <w:t>[15] Menon, U. V., Kumaravelu, V. B., Kumar, C. V., Rammohan, A., Chinnadurai, S., Venkatesan, R., &amp; Selvaprabhu, P. “AI-powered IoT: A survey on integrating artificial intelligence with IoT for enhanced security, efficiency, and smart applications”. IEEE Access, 2025.</w:t>
      </w:r>
    </w:p>
    <w:sectPr w:rsidR="00FC693F" w:rsidRPr="0006063C" w:rsidSect="00034616">
      <w:type w:val="continuous"/>
      <w:pgSz w:w="12240" w:h="15840"/>
      <w:pgMar w:top="1080" w:right="1080" w:bottom="1080" w:left="108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