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5F6670"/>
          <w:spacing w:val="60"/>
          <w:sz w:val="20"/>
          <w:szCs w:val="20"/>
        </w:rPr>
        <w:t xml:space="preserve">PROJECT REPORT</w:t>
      </w:r>
    </w:p>
    <w:p>
      <w:pPr>
        <w:spacing w:after="160"/>
      </w:pPr>
      <w:r>
        <w:rPr>
          <w:rFonts w:ascii="Calibri" w:cs="Calibri" w:eastAsia="Calibri" w:hAnsi="Calibri"/>
          <w:b/>
          <w:bCs/>
          <w:color w:val="1B1D21"/>
          <w:sz w:val="68"/>
          <w:szCs w:val="68"/>
        </w:rPr>
        <w:t xml:space="preserve">The Pollution Blame Ledger</w:t>
      </w:r>
    </w:p>
    <w:p>
      <w:pPr>
        <w:pBdr>
          <w:bottom w:val="single" w:color="2A6FDB" w:sz="12" w:space="12"/>
        </w:pBdr>
        <w:spacing w:after="400" w:line="330"/>
      </w:pPr>
      <w:r>
        <w:rPr>
          <w:rFonts w:ascii="Calibri" w:cs="Calibri" w:eastAsia="Calibri" w:hAnsi="Calibri"/>
          <w:color w:val="5F6670"/>
          <w:sz w:val="28"/>
          <w:szCs w:val="28"/>
        </w:rPr>
        <w:t xml:space="preserve">Probabilistic source apportionment of Delhi PM2.5 with uncertainty-quantified health-burden attribution</w:t>
      </w:r>
    </w:p>
    <w:p>
      <w:pPr>
        <w:spacing w:after="60"/>
      </w:pPr>
      <w:r>
        <w:rPr>
          <w:rFonts w:ascii="Calibri" w:cs="Calibri" w:eastAsia="Calibri" w:hAnsi="Calibri"/>
          <w:b/>
          <w:bCs/>
          <w:color w:val="1B1D21"/>
          <w:sz w:val="22"/>
          <w:szCs w:val="22"/>
        </w:rPr>
        <w:t xml:space="preserve">Author: </w:t>
      </w:r>
      <w:r>
        <w:rPr>
          <w:rFonts w:ascii="Calibri" w:cs="Calibri" w:eastAsia="Calibri" w:hAnsi="Calibri"/>
          <w:color w:val="1B1D21"/>
          <w:sz w:val="22"/>
          <w:szCs w:val="22"/>
        </w:rPr>
        <w:t xml:space="preserve">Aryan Arora</w:t>
      </w:r>
    </w:p>
    <w:p>
      <w:pPr>
        <w:spacing w:after="60"/>
      </w:pPr>
      <w:r>
        <w:rPr>
          <w:rFonts w:ascii="Calibri" w:cs="Calibri" w:eastAsia="Calibri" w:hAnsi="Calibri"/>
          <w:b/>
          <w:bCs/>
          <w:color w:val="1B1D21"/>
          <w:sz w:val="22"/>
          <w:szCs w:val="22"/>
        </w:rPr>
        <w:t xml:space="preserve">Date: </w:t>
      </w:r>
      <w:r>
        <w:rPr>
          <w:rFonts w:ascii="Calibri" w:cs="Calibri" w:eastAsia="Calibri" w:hAnsi="Calibri"/>
          <w:color w:val="1B1D21"/>
          <w:sz w:val="22"/>
          <w:szCs w:val="22"/>
        </w:rPr>
        <w:t xml:space="preserve">18 October 2026</w:t>
      </w:r>
    </w:p>
    <w:p>
      <w:pPr>
        <w:spacing w:after="60"/>
      </w:pPr>
      <w:r>
        <w:rPr>
          <w:rFonts w:ascii="Calibri" w:cs="Calibri" w:eastAsia="Calibri" w:hAnsi="Calibri"/>
          <w:b/>
          <w:bCs/>
          <w:color w:val="1B1D21"/>
          <w:sz w:val="22"/>
          <w:szCs w:val="22"/>
        </w:rPr>
        <w:t xml:space="preserve">Code: </w:t>
      </w:r>
      <w:r>
        <w:rPr>
          <w:rFonts w:ascii="Calibri" w:cs="Calibri" w:eastAsia="Calibri" w:hAnsi="Calibri"/>
          <w:color w:val="1B1D21"/>
          <w:sz w:val="22"/>
          <w:szCs w:val="22"/>
        </w:rPr>
        <w:t xml:space="preserve">github.com/Aryan-Arora/pollution-blame-ledger</w:t>
      </w:r>
    </w:p>
    <w:p>
      <w:pPr>
        <w:spacing w:after="500"/>
      </w:pPr>
      <w:r>
        <w:rPr>
          <w:rFonts w:ascii="Calibri" w:cs="Calibri" w:eastAsia="Calibri" w:hAnsi="Calibri"/>
          <w:b/>
          <w:bCs/>
          <w:color w:val="1B1D21"/>
          <w:sz w:val="22"/>
          <w:szCs w:val="22"/>
        </w:rPr>
        <w:t xml:space="preserve">Status: </w:t>
      </w:r>
      <w:r>
        <w:rPr>
          <w:rFonts w:ascii="Calibri" w:cs="Calibri" w:eastAsia="Calibri" w:hAnsi="Calibri"/>
          <w:color w:val="1B1D21"/>
          <w:sz w:val="22"/>
          <w:szCs w:val="22"/>
        </w:rPr>
        <w:t xml:space="preserve">Research prototype (synthetic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7D0" w:sz="4"/>
              <w:left w:val="single" w:color="B36B00" w:sz="24"/>
              <w:bottom w:val="single" w:color="D9D7D0" w:sz="4"/>
              <w:right w:val="single" w:color="D9D7D0" w:sz="4"/>
            </w:tcBorders>
            <w:shd w:fill="FBF3E6" w:val="clear"/>
            <w:tcMar>
              <w:top w:type="dxa" w:w="120"/>
              <w:left w:type="dxa" w:w="200"/>
              <w:bottom w:type="dxa" w:w="120"/>
              <w:right w:type="dxa" w:w="200"/>
            </w:tcMar>
          </w:tcPr>
          <w:p>
            <w:pPr>
              <w:spacing w:after="60"/>
            </w:pPr>
            <w:r>
              <w:rPr>
                <w:rFonts w:ascii="Calibri" w:cs="Calibri" w:eastAsia="Calibri" w:hAnsi="Calibri"/>
                <w:b/>
                <w:bCs/>
                <w:color w:val="1B1D21"/>
                <w:sz w:val="22"/>
                <w:szCs w:val="22"/>
              </w:rPr>
              <w:t xml:space="preserve">Read before citing any number</w:t>
            </w:r>
          </w:p>
          <w:p>
            <w:pPr>
              <w:spacing w:after="0" w:line="290"/>
            </w:pPr>
            <w:r>
              <w:rPr>
                <w:rFonts w:ascii="Calibri" w:cs="Calibri" w:eastAsia="Calibri" w:hAnsi="Calibri"/>
                <w:color w:val="1B1D21"/>
                <w:sz w:val="21"/>
                <w:szCs w:val="21"/>
              </w:rPr>
              <w:t xml:space="preserve">All data used in this report is synthetic: simulated Delhi-like observations with known ground truth. Health figures use placeholder concentration-response, baseline-mortality and population values. Source-level results are reliable only after the validation-derived interval widening described in Section 6. Nothing in this report is a claim about real Delhi air quality or real deaths.</w:t>
            </w:r>
          </w:p>
        </w:tc>
      </w:tr>
    </w:tbl>
    <w:p>
      <w:r>
        <w:br w:type="page"/>
      </w:r>
    </w:p>
    <w:p>
      <w:pPr>
        <w:pStyle w:val="Heading1"/>
        <w:spacing w:after="140" w:before="360"/>
      </w:pPr>
      <w:r>
        <w:rPr>
          <w:rFonts w:ascii="Calibri" w:cs="Calibri" w:eastAsia="Calibri" w:hAnsi="Calibri"/>
          <w:b/>
          <w:bCs/>
          <w:color w:val="1B1D21"/>
          <w:sz w:val="32"/>
          <w:szCs w:val="32"/>
        </w:rPr>
        <w:t xml:space="preserve">1. Abstract</w:t>
      </w:r>
    </w:p>
    <w:p>
      <w:pPr>
        <w:spacing w:after="140" w:line="300"/>
      </w:pPr>
      <w:r>
        <w:rPr>
          <w:rFonts w:ascii="Calibri" w:cs="Calibri" w:eastAsia="Calibri" w:hAnsi="Calibri"/>
          <w:color w:val="1B1D21"/>
          <w:sz w:val="22"/>
          <w:szCs w:val="22"/>
        </w:rPr>
        <w:t xml:space="preserve">Delhi's severe PM2.5 episodes result from several co-varying emission streams acting together under changing meteorology. Public debate about who is responsible is largely anecdotal, and the health burden of each source is not quantified. The Pollution Blame Ledger is an open, probabilistic attribution engine. For an episode it infers source-resolved contributions with credible intervals, converts them into attributable premature deaths and hospital admissions through counterfactual source removal, and reports which sources the data cannot tell apart.</w:t>
      </w:r>
    </w:p>
    <w:p>
      <w:pPr>
        <w:spacing w:after="140" w:line="300"/>
      </w:pPr>
      <w:r>
        <w:rPr>
          <w:rFonts w:ascii="Calibri" w:cs="Calibri" w:eastAsia="Calibri" w:hAnsi="Calibri"/>
          <w:color w:val="1B1D21"/>
          <w:sz w:val="22"/>
          <w:szCs w:val="22"/>
        </w:rPr>
        <w:t xml:space="preserve">This report describes the prototype: a hierarchical Bayesian receptor model fitted with the No-U-Turn Sampler, tracer-based source fingerprints, identifiability diagnostics, a health-burden module, and a falsification suite that tests the whole pipeline against synthetic episodes whose true source contributions are known. The main findings on synthetic data are that road and construction dust is recovered accurately (8% median error), that vehicular exhaust and crop-residue burning cannot be reliably separated although their sum is recovered accurately (8%), and that the raw model is over-confident, which is corrected by interval calibration on held-out episodes.</w:t>
      </w:r>
    </w:p>
    <w:p>
      <w:pPr>
        <w:pStyle w:val="Heading1"/>
        <w:spacing w:after="140" w:before="360"/>
      </w:pPr>
      <w:r>
        <w:rPr>
          <w:rFonts w:ascii="Calibri" w:cs="Calibri" w:eastAsia="Calibri" w:hAnsi="Calibri"/>
          <w:b/>
          <w:bCs/>
          <w:color w:val="1B1D21"/>
          <w:sz w:val="32"/>
          <w:szCs w:val="32"/>
        </w:rPr>
        <w:t xml:space="preserve">2. Problem statement</w:t>
      </w:r>
    </w:p>
    <w:p>
      <w:pPr>
        <w:spacing w:after="140" w:line="300"/>
      </w:pPr>
      <w:r>
        <w:rPr>
          <w:rFonts w:ascii="Calibri" w:cs="Calibri" w:eastAsia="Calibri" w:hAnsi="Calibri"/>
          <w:color w:val="1B1D21"/>
          <w:sz w:val="22"/>
          <w:szCs w:val="22"/>
        </w:rPr>
        <w:t xml:space="preserve">PM2.5 in Delhi is the superposition of biomass combustion, vehicular exhaust, fugitive construction and road dust, and industrial point sources, modulated by wind and boundary-layer height. Because the streams co-vary, attribution is a severely ill-posed inverse problem. Prevailing narratives cannot be falsified, which weakens evidence-based policy, and the epidemiological burden of each source remains unquantified.</w:t>
      </w:r>
    </w:p>
    <w:p>
      <w:pPr>
        <w:pStyle w:val="Heading2"/>
        <w:spacing w:after="100" w:before="240"/>
      </w:pPr>
      <w:r>
        <w:rPr>
          <w:rFonts w:ascii="Calibri" w:cs="Calibri" w:eastAsia="Calibri" w:hAnsi="Calibri"/>
          <w:b/>
          <w:bCs/>
          <w:color w:val="2A6FDB"/>
          <w:sz w:val="25"/>
          <w:szCs w:val="25"/>
        </w:rPr>
        <w:t xml:space="preserve">Design goals</w:t>
      </w:r>
    </w:p>
    <w:p>
      <w:pPr>
        <w:pStyle w:val="ListParagraph"/>
        <w:numPr>
          <w:ilvl w:val="0"/>
          <w:numId w:val="2"/>
        </w:numPr>
        <w:spacing w:after="80" w:line="290"/>
      </w:pPr>
      <w:r>
        <w:rPr>
          <w:rFonts w:ascii="Calibri" w:cs="Calibri" w:eastAsia="Calibri" w:hAnsi="Calibri"/>
          <w:b/>
          <w:bCs/>
          <w:color w:val="1B1D21"/>
          <w:sz w:val="22"/>
          <w:szCs w:val="22"/>
        </w:rPr>
        <w:t xml:space="preserve">Quantify, do not assert: </w:t>
      </w:r>
      <w:r>
        <w:rPr>
          <w:rFonts w:ascii="Calibri" w:cs="Calibri" w:eastAsia="Calibri" w:hAnsi="Calibri"/>
          <w:color w:val="1B1D21"/>
          <w:sz w:val="22"/>
          <w:szCs w:val="22"/>
        </w:rPr>
        <w:t xml:space="preserve">every figure carries a credible interval.</w:t>
      </w:r>
    </w:p>
    <w:p>
      <w:pPr>
        <w:pStyle w:val="ListParagraph"/>
        <w:numPr>
          <w:ilvl w:val="0"/>
          <w:numId w:val="2"/>
        </w:numPr>
        <w:spacing w:after="80" w:line="290"/>
      </w:pPr>
      <w:r>
        <w:rPr>
          <w:rFonts w:ascii="Calibri" w:cs="Calibri" w:eastAsia="Calibri" w:hAnsi="Calibri"/>
          <w:b/>
          <w:bCs/>
          <w:color w:val="1B1D21"/>
          <w:sz w:val="22"/>
          <w:szCs w:val="22"/>
        </w:rPr>
        <w:t xml:space="preserve">State the limits: </w:t>
      </w:r>
      <w:r>
        <w:rPr>
          <w:rFonts w:ascii="Calibri" w:cs="Calibri" w:eastAsia="Calibri" w:hAnsi="Calibri"/>
          <w:color w:val="1B1D21"/>
          <w:sz w:val="22"/>
          <w:szCs w:val="22"/>
        </w:rPr>
        <w:t xml:space="preserve">source pairs the data cannot separate are flagged and reported as a sum.</w:t>
      </w:r>
    </w:p>
    <w:p>
      <w:pPr>
        <w:pStyle w:val="ListParagraph"/>
        <w:numPr>
          <w:ilvl w:val="0"/>
          <w:numId w:val="2"/>
        </w:numPr>
        <w:spacing w:after="80" w:line="290"/>
      </w:pPr>
      <w:r>
        <w:rPr>
          <w:rFonts w:ascii="Calibri" w:cs="Calibri" w:eastAsia="Calibri" w:hAnsi="Calibri"/>
          <w:b/>
          <w:bCs/>
          <w:color w:val="1B1D21"/>
          <w:sz w:val="22"/>
          <w:szCs w:val="22"/>
        </w:rPr>
        <w:t xml:space="preserve">Be falsifiable: </w:t>
      </w:r>
      <w:r>
        <w:rPr>
          <w:rFonts w:ascii="Calibri" w:cs="Calibri" w:eastAsia="Calibri" w:hAnsi="Calibri"/>
          <w:color w:val="1B1D21"/>
          <w:sz w:val="22"/>
          <w:szCs w:val="22"/>
        </w:rPr>
        <w:t xml:space="preserve">the pipeline is scored against known synthetic truth and plume injections.</w:t>
      </w:r>
    </w:p>
    <w:p>
      <w:pPr>
        <w:pStyle w:val="ListParagraph"/>
        <w:numPr>
          <w:ilvl w:val="0"/>
          <w:numId w:val="2"/>
        </w:numPr>
        <w:spacing w:after="80" w:line="290"/>
      </w:pPr>
      <w:r>
        <w:rPr>
          <w:rFonts w:ascii="Calibri" w:cs="Calibri" w:eastAsia="Calibri" w:hAnsi="Calibri"/>
          <w:b/>
          <w:bCs/>
          <w:color w:val="1B1D21"/>
          <w:sz w:val="22"/>
          <w:szCs w:val="22"/>
        </w:rPr>
        <w:t xml:space="preserve">Speak in harm, not concentration: </w:t>
      </w:r>
      <w:r>
        <w:rPr>
          <w:rFonts w:ascii="Calibri" w:cs="Calibri" w:eastAsia="Calibri" w:hAnsi="Calibri"/>
          <w:color w:val="1B1D21"/>
          <w:sz w:val="22"/>
          <w:szCs w:val="22"/>
        </w:rPr>
        <w:t xml:space="preserve">each source is expressed as attributable deaths and hospital admissions.</w:t>
      </w:r>
    </w:p>
    <w:p>
      <w:pPr>
        <w:pStyle w:val="Heading1"/>
        <w:spacing w:after="140" w:before="360"/>
      </w:pPr>
      <w:r>
        <w:rPr>
          <w:rFonts w:ascii="Calibri" w:cs="Calibri" w:eastAsia="Calibri" w:hAnsi="Calibri"/>
          <w:b/>
          <w:bCs/>
          <w:color w:val="1B1D21"/>
          <w:sz w:val="32"/>
          <w:szCs w:val="32"/>
        </w:rPr>
        <w:t xml:space="preserve">3. System overview</w:t>
      </w:r>
    </w:p>
    <w:p>
      <w:pPr>
        <w:spacing w:after="140" w:line="300"/>
      </w:pPr>
      <w:r>
        <w:rPr>
          <w:rFonts w:ascii="Calibri" w:cs="Calibri" w:eastAsia="Calibri" w:hAnsi="Calibri"/>
          <w:color w:val="1B1D21"/>
          <w:sz w:val="22"/>
          <w:szCs w:val="22"/>
        </w:rPr>
        <w:t xml:space="preserve">The prototype is a Python pipeline with a self-contained HTML dashboard. Its five stages map directly to the original problem statement.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tblHeader/>
        </w:trPr>
        <w:tc>
          <w:tcPr>
            <w:tcW w:type="dxa" w:w="2300"/>
            <w:tcBorders>
              <w:top w:val="single" w:color="D9D7D0" w:sz="4"/>
              <w:left w:val="single" w:color="D9D7D0" w:sz="4"/>
              <w:bottom w:val="single" w:color="D9D7D0" w:sz="4"/>
              <w:right w:val="single" w:color="D9D7D0" w:sz="4"/>
            </w:tcBorders>
            <w:shd w:fill="E9EEF8" w:val="clear"/>
            <w:tcMar>
              <w:top w:type="dxa" w:w="70"/>
              <w:left w:type="dxa" w:w="110"/>
              <w:bottom w:type="dxa" w:w="70"/>
              <w:right w:type="dxa" w:w="110"/>
            </w:tcMar>
          </w:tcPr>
          <w:p>
            <w:pPr>
              <w:keepNext/>
              <w:spacing w:after="0"/>
              <w:jc w:val="left"/>
            </w:pPr>
            <w:r>
              <w:rPr>
                <w:rFonts w:ascii="Calibri" w:cs="Calibri" w:eastAsia="Calibri" w:hAnsi="Calibri"/>
                <w:b/>
                <w:bCs/>
                <w:color w:val="1B1D21"/>
                <w:sz w:val="20"/>
                <w:szCs w:val="20"/>
              </w:rPr>
              <w:t xml:space="preserve">Stage</w:t>
            </w:r>
          </w:p>
        </w:tc>
        <w:tc>
          <w:tcPr>
            <w:tcW w:type="dxa" w:w="3000"/>
            <w:tcBorders>
              <w:top w:val="single" w:color="D9D7D0" w:sz="4"/>
              <w:left w:val="single" w:color="D9D7D0" w:sz="4"/>
              <w:bottom w:val="single" w:color="D9D7D0" w:sz="4"/>
              <w:right w:val="single" w:color="D9D7D0" w:sz="4"/>
            </w:tcBorders>
            <w:shd w:fill="E9EEF8" w:val="clear"/>
            <w:tcMar>
              <w:top w:type="dxa" w:w="70"/>
              <w:left w:type="dxa" w:w="110"/>
              <w:bottom w:type="dxa" w:w="70"/>
              <w:right w:type="dxa" w:w="110"/>
            </w:tcMar>
          </w:tcPr>
          <w:p>
            <w:pPr>
              <w:keepNext/>
              <w:spacing w:after="0"/>
              <w:jc w:val="left"/>
            </w:pPr>
            <w:r>
              <w:rPr>
                <w:rFonts w:ascii="Calibri" w:cs="Calibri" w:eastAsia="Calibri" w:hAnsi="Calibri"/>
                <w:b/>
                <w:bCs/>
                <w:color w:val="1B1D21"/>
                <w:sz w:val="20"/>
                <w:szCs w:val="20"/>
              </w:rPr>
              <w:t xml:space="preserve">Module</w:t>
            </w:r>
          </w:p>
        </w:tc>
        <w:tc>
          <w:tcPr>
            <w:tcW w:type="dxa" w:w="4338"/>
            <w:tcBorders>
              <w:top w:val="single" w:color="D9D7D0" w:sz="4"/>
              <w:left w:val="single" w:color="D9D7D0" w:sz="4"/>
              <w:bottom w:val="single" w:color="D9D7D0" w:sz="4"/>
              <w:right w:val="single" w:color="D9D7D0" w:sz="4"/>
            </w:tcBorders>
            <w:shd w:fill="E9EEF8" w:val="clear"/>
            <w:tcMar>
              <w:top w:type="dxa" w:w="70"/>
              <w:left w:type="dxa" w:w="110"/>
              <w:bottom w:type="dxa" w:w="70"/>
              <w:right w:type="dxa" w:w="110"/>
            </w:tcMar>
          </w:tcPr>
          <w:p>
            <w:pPr>
              <w:keepNext/>
              <w:spacing w:after="0"/>
              <w:jc w:val="left"/>
            </w:pPr>
            <w:r>
              <w:rPr>
                <w:rFonts w:ascii="Calibri" w:cs="Calibri" w:eastAsia="Calibri" w:hAnsi="Calibri"/>
                <w:b/>
                <w:bCs/>
                <w:color w:val="1B1D21"/>
                <w:sz w:val="20"/>
                <w:szCs w:val="20"/>
              </w:rPr>
              <w:t xml:space="preserve">What it does</w:t>
            </w:r>
          </w:p>
        </w:tc>
      </w:tr>
      <w:tr>
        <w:trPr>
          <w:cantSplit/>
        </w:trPr>
        <w:tc>
          <w:tcPr>
            <w:tcW w:type="dxa" w:w="2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1. Data fusion</w:t>
            </w:r>
          </w:p>
        </w:tc>
        <w:tc>
          <w:tcPr>
            <w:tcW w:type="dxa" w:w="30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ledger/ingest.py, features.py</w:t>
            </w:r>
          </w:p>
        </w:tc>
        <w:tc>
          <w:tcPr>
            <w:tcW w:type="dxa" w:w="43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Normalises CPCB station exports, Open-Meteo/ERA5 meteorology and NASA FIRMS fire radiative power into one hourly schema.</w:t>
            </w:r>
          </w:p>
        </w:tc>
      </w:tr>
      <w:tr>
        <w:trPr>
          <w:cantSplit/>
        </w:trPr>
        <w:tc>
          <w:tcPr>
            <w:tcW w:type="dxa" w:w="2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2. Fingerprinting</w:t>
            </w:r>
          </w:p>
        </w:tc>
        <w:tc>
          <w:tcPr>
            <w:tcW w:type="dxa" w:w="30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ledger/features.py</w:t>
            </w:r>
          </w:p>
        </w:tc>
        <w:tc>
          <w:tcPr>
            <w:tcW w:type="dxa" w:w="43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CO and NO2 for traffic, SO2 for industry, PM10 minus PM2.5 for dust, wind-advected fire radiative power divided by ventilation for biomass.</w:t>
            </w:r>
          </w:p>
        </w:tc>
      </w:tr>
      <w:tr>
        <w:trPr>
          <w:cantSplit/>
        </w:trPr>
        <w:tc>
          <w:tcPr>
            <w:tcW w:type="dxa" w:w="2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3. Receptor model</w:t>
            </w:r>
          </w:p>
        </w:tc>
        <w:tc>
          <w:tcPr>
            <w:tcW w:type="dxa" w:w="30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ledger/model.py</w:t>
            </w:r>
          </w:p>
        </w:tc>
        <w:tc>
          <w:tcPr>
            <w:tcW w:type="dxa" w:w="43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Hierarchical Bayesian decomposition sampled with NUTS (NumPyro).</w:t>
            </w:r>
          </w:p>
        </w:tc>
      </w:tr>
      <w:tr>
        <w:trPr>
          <w:cantSplit/>
        </w:trPr>
        <w:tc>
          <w:tcPr>
            <w:tcW w:type="dxa" w:w="2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4. Health burden</w:t>
            </w:r>
          </w:p>
        </w:tc>
        <w:tc>
          <w:tcPr>
            <w:tcW w:type="dxa" w:w="30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ledger/health.py</w:t>
            </w:r>
          </w:p>
        </w:tc>
        <w:tc>
          <w:tcPr>
            <w:tcW w:type="dxa" w:w="43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GEMM mortality and short-term admissions with counterfactual source removal and Monte Carlo uncertainty.</w:t>
            </w:r>
          </w:p>
        </w:tc>
      </w:tr>
      <w:tr>
        <w:trPr>
          <w:cantSplit/>
        </w:trPr>
        <w:tc>
          <w:tcPr>
            <w:tcW w:type="dxa" w:w="2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color w:val="1B1D21"/>
                <w:sz w:val="20"/>
                <w:szCs w:val="20"/>
              </w:rPr>
              <w:t xml:space="preserve">5. Falsification</w:t>
            </w:r>
          </w:p>
        </w:tc>
        <w:tc>
          <w:tcPr>
            <w:tcW w:type="dxa" w:w="30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color w:val="1B1D21"/>
                <w:sz w:val="20"/>
                <w:szCs w:val="20"/>
              </w:rPr>
              <w:t xml:space="preserve">ledger/validate.py, calibration.py</w:t>
            </w:r>
          </w:p>
        </w:tc>
        <w:tc>
          <w:tcPr>
            <w:tcW w:type="dxa" w:w="43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color w:val="1B1D21"/>
                <w:sz w:val="20"/>
                <w:szCs w:val="20"/>
              </w:rPr>
              <w:t xml:space="preserve">Synthetic ground truth, held-out calibration, coverage and plume-injection tests.</w:t>
            </w:r>
          </w:p>
        </w:tc>
      </w:tr>
    </w:tbl>
    <w:p>
      <w:pPr>
        <w:spacing w:after="60"/>
      </w:pPr>
      <w:r>
        <w:rPr>
          <w:rFonts w:ascii="Calibri" w:cs="Calibri" w:eastAsia="Calibri" w:hAnsi="Calibri"/>
          <w:color w:val="1B1D21"/>
          <w:sz w:val="22"/>
          <w:szCs w:val="22"/>
        </w:rPr>
        <w:t xml:space="preserve"/>
      </w:r>
    </w:p>
    <w:p>
      <w:pPr>
        <w:spacing w:after="140" w:line="300"/>
      </w:pPr>
      <w:r>
        <w:rPr>
          <w:rFonts w:ascii="Calibri" w:cs="Calibri" w:eastAsia="Calibri" w:hAnsi="Calibri"/>
          <w:color w:val="1B1D21"/>
          <w:sz w:val="22"/>
          <w:szCs w:val="22"/>
        </w:rPr>
        <w:t xml:space="preserve">Because real-data downloads were not reachable from the build environment, a synthetic episode generator (ledger/synth.py) produces six Delhi-like stations over ten days with known per-source contributions, written in exactly the schema the real-data loader emits. The same pipeline code runs on both.</w:t>
      </w:r>
    </w:p>
    <w:p>
      <w:pPr>
        <w:pStyle w:val="Heading1"/>
        <w:spacing w:after="140" w:before="360"/>
      </w:pPr>
      <w:r>
        <w:rPr>
          <w:rFonts w:ascii="Calibri" w:cs="Calibri" w:eastAsia="Calibri" w:hAnsi="Calibri"/>
          <w:b/>
          <w:bCs/>
          <w:color w:val="1B1D21"/>
          <w:sz w:val="32"/>
          <w:szCs w:val="32"/>
        </w:rPr>
        <w:t xml:space="preserve">4. Methodology</w:t>
      </w:r>
    </w:p>
    <w:p>
      <w:pPr>
        <w:pStyle w:val="Heading2"/>
        <w:spacing w:after="100" w:before="240"/>
      </w:pPr>
      <w:r>
        <w:rPr>
          <w:rFonts w:ascii="Calibri" w:cs="Calibri" w:eastAsia="Calibri" w:hAnsi="Calibri"/>
          <w:b/>
          <w:bCs/>
          <w:color w:val="2A6FDB"/>
          <w:sz w:val="25"/>
          <w:szCs w:val="25"/>
        </w:rPr>
        <w:t xml:space="preserve">4.1 Tracer fingerprinting</w:t>
      </w:r>
    </w:p>
    <w:p>
      <w:pPr>
        <w:spacing w:after="140" w:line="300"/>
      </w:pPr>
      <w:r>
        <w:rPr>
          <w:rFonts w:ascii="Calibri" w:cs="Calibri" w:eastAsia="Calibri" w:hAnsi="Calibri"/>
          <w:color w:val="1B1D21"/>
          <w:sz w:val="22"/>
          <w:szCs w:val="22"/>
        </w:rPr>
        <w:t xml:space="preserve">Each source is represented by a proxy series normalised to unit mean at each station, so that a model coefficient is directly the episode-mean contribution of that source in micrograms per cubic metre.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138"/>
      </w:tblGrid>
      <w:tr>
        <w:trPr>
          <w:tblHeader/>
        </w:trPr>
        <w:tc>
          <w:tcPr>
            <w:tcW w:type="dxa" w:w="2200"/>
            <w:tcBorders>
              <w:top w:val="single" w:color="D9D7D0" w:sz="4"/>
              <w:left w:val="single" w:color="D9D7D0" w:sz="4"/>
              <w:bottom w:val="single" w:color="D9D7D0" w:sz="4"/>
              <w:right w:val="single" w:color="D9D7D0" w:sz="4"/>
            </w:tcBorders>
            <w:shd w:fill="E9EEF8" w:val="clear"/>
            <w:tcMar>
              <w:top w:type="dxa" w:w="70"/>
              <w:left w:type="dxa" w:w="110"/>
              <w:bottom w:type="dxa" w:w="70"/>
              <w:right w:type="dxa" w:w="110"/>
            </w:tcMar>
          </w:tcPr>
          <w:p>
            <w:pPr>
              <w:keepNext/>
              <w:spacing w:after="0"/>
              <w:jc w:val="left"/>
            </w:pPr>
            <w:r>
              <w:rPr>
                <w:rFonts w:ascii="Calibri" w:cs="Calibri" w:eastAsia="Calibri" w:hAnsi="Calibri"/>
                <w:b/>
                <w:bCs/>
                <w:color w:val="1B1D21"/>
                <w:sz w:val="20"/>
                <w:szCs w:val="20"/>
              </w:rPr>
              <w:t xml:space="preserve">Source</w:t>
            </w:r>
          </w:p>
        </w:tc>
        <w:tc>
          <w:tcPr>
            <w:tcW w:type="dxa" w:w="3300"/>
            <w:tcBorders>
              <w:top w:val="single" w:color="D9D7D0" w:sz="4"/>
              <w:left w:val="single" w:color="D9D7D0" w:sz="4"/>
              <w:bottom w:val="single" w:color="D9D7D0" w:sz="4"/>
              <w:right w:val="single" w:color="D9D7D0" w:sz="4"/>
            </w:tcBorders>
            <w:shd w:fill="E9EEF8" w:val="clear"/>
            <w:tcMar>
              <w:top w:type="dxa" w:w="70"/>
              <w:left w:type="dxa" w:w="110"/>
              <w:bottom w:type="dxa" w:w="70"/>
              <w:right w:type="dxa" w:w="110"/>
            </w:tcMar>
          </w:tcPr>
          <w:p>
            <w:pPr>
              <w:keepNext/>
              <w:spacing w:after="0"/>
              <w:jc w:val="left"/>
            </w:pPr>
            <w:r>
              <w:rPr>
                <w:rFonts w:ascii="Calibri" w:cs="Calibri" w:eastAsia="Calibri" w:hAnsi="Calibri"/>
                <w:b/>
                <w:bCs/>
                <w:color w:val="1B1D21"/>
                <w:sz w:val="20"/>
                <w:szCs w:val="20"/>
              </w:rPr>
              <w:t xml:space="preserve">Proxy</w:t>
            </w:r>
          </w:p>
        </w:tc>
        <w:tc>
          <w:tcPr>
            <w:tcW w:type="dxa" w:w="4138"/>
            <w:tcBorders>
              <w:top w:val="single" w:color="D9D7D0" w:sz="4"/>
              <w:left w:val="single" w:color="D9D7D0" w:sz="4"/>
              <w:bottom w:val="single" w:color="D9D7D0" w:sz="4"/>
              <w:right w:val="single" w:color="D9D7D0" w:sz="4"/>
            </w:tcBorders>
            <w:shd w:fill="E9EEF8" w:val="clear"/>
            <w:tcMar>
              <w:top w:type="dxa" w:w="70"/>
              <w:left w:type="dxa" w:w="110"/>
              <w:bottom w:type="dxa" w:w="70"/>
              <w:right w:type="dxa" w:w="110"/>
            </w:tcMar>
          </w:tcPr>
          <w:p>
            <w:pPr>
              <w:keepNext/>
              <w:spacing w:after="0"/>
              <w:jc w:val="left"/>
            </w:pPr>
            <w:r>
              <w:rPr>
                <w:rFonts w:ascii="Calibri" w:cs="Calibri" w:eastAsia="Calibri" w:hAnsi="Calibri"/>
                <w:b/>
                <w:bCs/>
                <w:color w:val="1B1D21"/>
                <w:sz w:val="20"/>
                <w:szCs w:val="20"/>
              </w:rPr>
              <w:t xml:space="preserve">Rationale</w:t>
            </w:r>
          </w:p>
        </w:tc>
      </w:tr>
      <w:tr>
        <w:trPr>
          <w:cantSplit/>
        </w:trPr>
        <w:tc>
          <w:tcPr>
            <w:tcW w:type="dxa" w:w="2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Vehicular exhaust</w:t>
            </w:r>
          </w:p>
        </w:tc>
        <w:tc>
          <w:tcPr>
            <w:tcW w:type="dxa" w:w="3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Mean of CO and NO2</w:t>
            </w:r>
          </w:p>
        </w:tc>
        <w:tc>
          <w:tcPr>
            <w:tcW w:type="dxa" w:w="41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Combustion tracers with strong traffic signatures.</w:t>
            </w:r>
          </w:p>
        </w:tc>
      </w:tr>
      <w:tr>
        <w:trPr>
          <w:cantSplit/>
        </w:trPr>
        <w:tc>
          <w:tcPr>
            <w:tcW w:type="dxa" w:w="2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Industrial point sources</w:t>
            </w:r>
          </w:p>
        </w:tc>
        <w:tc>
          <w:tcPr>
            <w:tcW w:type="dxa" w:w="3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SO2</w:t>
            </w:r>
          </w:p>
        </w:tc>
        <w:tc>
          <w:tcPr>
            <w:tcW w:type="dxa" w:w="41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Dominated by industrial and power-sector sulphur emissions.</w:t>
            </w:r>
          </w:p>
        </w:tc>
      </w:tr>
      <w:tr>
        <w:trPr>
          <w:cantSplit/>
        </w:trPr>
        <w:tc>
          <w:tcPr>
            <w:tcW w:type="dxa" w:w="2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Road and construction dust</w:t>
            </w:r>
          </w:p>
        </w:tc>
        <w:tc>
          <w:tcPr>
            <w:tcW w:type="dxa" w:w="3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PM10 minus PM2.5</w:t>
            </w:r>
          </w:p>
        </w:tc>
        <w:tc>
          <w:tcPr>
            <w:tcW w:type="dxa" w:w="41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Coarse fraction rises with resuspended dust.</w:t>
            </w:r>
          </w:p>
        </w:tc>
      </w:tr>
      <w:tr>
        <w:trPr>
          <w:cantSplit/>
        </w:trPr>
        <w:tc>
          <w:tcPr>
            <w:tcW w:type="dxa" w:w="2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color w:val="1B1D21"/>
                <w:sz w:val="20"/>
                <w:szCs w:val="20"/>
              </w:rPr>
              <w:t xml:space="preserve">Crop-residue burning</w:t>
            </w:r>
          </w:p>
        </w:tc>
        <w:tc>
          <w:tcPr>
            <w:tcW w:type="dxa" w:w="3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color w:val="1B1D21"/>
                <w:sz w:val="20"/>
                <w:szCs w:val="20"/>
              </w:rPr>
              <w:t xml:space="preserve">Fire radiative power footprint x 1/ventilation</w:t>
            </w:r>
          </w:p>
        </w:tc>
        <w:tc>
          <w:tcPr>
            <w:tcW w:type="dxa" w:w="41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color w:val="1B1D21"/>
                <w:sz w:val="20"/>
                <w:szCs w:val="20"/>
              </w:rPr>
              <w:t xml:space="preserve">Fires in Punjab and Haryana advected by wind toward Delhi.</w:t>
            </w:r>
          </w:p>
        </w:tc>
      </w:tr>
    </w:tbl>
    <w:p>
      <w:pPr>
        <w:pStyle w:val="Heading2"/>
        <w:spacing w:after="100" w:before="240"/>
      </w:pPr>
      <w:r>
        <w:rPr>
          <w:rFonts w:ascii="Calibri" w:cs="Calibri" w:eastAsia="Calibri" w:hAnsi="Calibri"/>
          <w:b/>
          <w:bCs/>
          <w:color w:val="2A6FDB"/>
          <w:sz w:val="25"/>
          <w:szCs w:val="25"/>
        </w:rPr>
        <w:t xml:space="preserve">4.2 Hierarchical Bayesian receptor model</w:t>
      </w:r>
    </w:p>
    <w:p>
      <w:pPr>
        <w:spacing w:after="140" w:line="300"/>
      </w:pPr>
      <w:r>
        <w:rPr>
          <w:rFonts w:ascii="Calibri" w:cs="Calibri" w:eastAsia="Calibri" w:hAnsi="Calibri"/>
          <w:color w:val="1B1D21"/>
          <w:sz w:val="22"/>
          <w:szCs w:val="22"/>
        </w:rPr>
        <w:t xml:space="preserve">For station s and hour t, observed PM2.5 is modelled as a regional background plus source terms:</w:t>
      </w:r>
    </w:p>
    <w:p>
      <w:pPr>
        <w:shd w:fill="F3F2EE" w:val="clear"/>
        <w:spacing w:after="60"/>
        <w:ind w:left="200"/>
      </w:pPr>
      <w:r>
        <w:rPr>
          <w:rFonts w:ascii="Consolas" w:cs="Consolas" w:eastAsia="Consolas" w:hAnsi="Consolas"/>
          <w:color w:val="1B1D21"/>
          <w:sz w:val="19"/>
          <w:szCs w:val="19"/>
        </w:rPr>
        <w:t xml:space="preserve">PM2.5[s,t] = B[day(t)] + sum_k theta[k,s] * g[k,s,day(t)] * shape[k,s,t] + eps</w:t>
      </w:r>
    </w:p>
    <w:p>
      <w:pPr>
        <w:spacing w:after="40"/>
      </w:pPr>
      <w:r>
        <w:rPr>
          <w:rFonts w:ascii="Calibri" w:cs="Calibri" w:eastAsia="Calibri" w:hAnsi="Calibri"/>
          <w:color w:val="1B1D21"/>
          <w:sz w:val="22"/>
          <w:szCs w:val="22"/>
        </w:rPr>
        <w:t xml:space="preserve"/>
      </w:r>
    </w:p>
    <w:p>
      <w:pPr>
        <w:pStyle w:val="ListParagraph"/>
        <w:numPr>
          <w:ilvl w:val="0"/>
          <w:numId w:val="2"/>
        </w:numPr>
        <w:spacing w:after="80" w:line="290"/>
      </w:pPr>
      <w:r>
        <w:rPr>
          <w:rFonts w:ascii="Calibri" w:cs="Calibri" w:eastAsia="Calibri" w:hAnsi="Calibri"/>
          <w:b/>
          <w:bCs/>
          <w:color w:val="1B1D21"/>
          <w:sz w:val="22"/>
          <w:szCs w:val="22"/>
        </w:rPr>
        <w:t xml:space="preserve">Non-negativity and pooling: </w:t>
      </w:r>
      <w:r>
        <w:rPr>
          <w:rFonts w:ascii="Calibri" w:cs="Calibri" w:eastAsia="Calibri" w:hAnsi="Calibri"/>
          <w:color w:val="1B1D21"/>
          <w:sz w:val="22"/>
          <w:szCs w:val="22"/>
        </w:rPr>
        <w:t xml:space="preserve">theta[k,s] is log-normal and partially pooled across stations.</w:t>
      </w:r>
    </w:p>
    <w:p>
      <w:pPr>
        <w:pStyle w:val="ListParagraph"/>
        <w:numPr>
          <w:ilvl w:val="0"/>
          <w:numId w:val="2"/>
        </w:numPr>
        <w:spacing w:after="80" w:line="290"/>
      </w:pPr>
      <w:r>
        <w:rPr>
          <w:rFonts w:ascii="Calibri" w:cs="Calibri" w:eastAsia="Calibri" w:hAnsi="Calibri"/>
          <w:b/>
          <w:bCs/>
          <w:color w:val="1B1D21"/>
          <w:sz w:val="22"/>
          <w:szCs w:val="22"/>
        </w:rPr>
        <w:t xml:space="preserve">Background: </w:t>
      </w:r>
      <w:r>
        <w:rPr>
          <w:rFonts w:ascii="Calibri" w:cs="Calibri" w:eastAsia="Calibri" w:hAnsi="Calibri"/>
          <w:color w:val="1B1D21"/>
          <w:sz w:val="22"/>
          <w:szCs w:val="22"/>
        </w:rPr>
        <w:t xml:space="preserve">B is a non-negative daily log random walk shared by all stations.</w:t>
      </w:r>
    </w:p>
    <w:p>
      <w:pPr>
        <w:pStyle w:val="ListParagraph"/>
        <w:numPr>
          <w:ilvl w:val="0"/>
          <w:numId w:val="2"/>
        </w:numPr>
        <w:spacing w:after="80" w:line="290"/>
      </w:pPr>
      <w:r>
        <w:rPr>
          <w:rFonts w:ascii="Calibri" w:cs="Calibri" w:eastAsia="Calibri" w:hAnsi="Calibri"/>
          <w:b/>
          <w:bCs/>
          <w:color w:val="1B1D21"/>
          <w:sz w:val="22"/>
          <w:szCs w:val="22"/>
        </w:rPr>
        <w:t xml:space="preserve">Tracer baselines: </w:t>
      </w:r>
      <w:r>
        <w:rPr>
          <w:rFonts w:ascii="Calibri" w:cs="Calibri" w:eastAsia="Calibri" w:hAnsi="Calibri"/>
          <w:color w:val="1B1D21"/>
          <w:sz w:val="22"/>
          <w:szCs w:val="22"/>
        </w:rPr>
        <w:t xml:space="preserve">each tracer has a non-source baseline, bounded above by its observed minimum (sources only add), learned in the model.</w:t>
      </w:r>
    </w:p>
    <w:p>
      <w:pPr>
        <w:pStyle w:val="ListParagraph"/>
        <w:numPr>
          <w:ilvl w:val="0"/>
          <w:numId w:val="2"/>
        </w:numPr>
        <w:spacing w:after="80" w:line="290"/>
      </w:pPr>
      <w:r>
        <w:rPr>
          <w:rFonts w:ascii="Calibri" w:cs="Calibri" w:eastAsia="Calibri" w:hAnsi="Calibri"/>
          <w:b/>
          <w:bCs/>
          <w:color w:val="1B1D21"/>
          <w:sz w:val="22"/>
          <w:szCs w:val="22"/>
        </w:rPr>
        <w:t xml:space="preserve">Cross-talk: </w:t>
      </w:r>
      <w:r>
        <w:rPr>
          <w:rFonts w:ascii="Calibri" w:cs="Calibri" w:eastAsia="Calibri" w:hAnsi="Calibri"/>
          <w:color w:val="1B1D21"/>
          <w:sz w:val="22"/>
          <w:szCs w:val="22"/>
        </w:rPr>
        <w:t xml:space="preserve">a matrix L un-mixes tracers that carry other sources (for example, fires also emit CO, NO2 and SO2), capped at 60% total per tracer.</w:t>
      </w:r>
    </w:p>
    <w:p>
      <w:pPr>
        <w:pStyle w:val="ListParagraph"/>
        <w:numPr>
          <w:ilvl w:val="0"/>
          <w:numId w:val="2"/>
        </w:numPr>
        <w:spacing w:after="80" w:line="290"/>
      </w:pPr>
      <w:r>
        <w:rPr>
          <w:rFonts w:ascii="Calibri" w:cs="Calibri" w:eastAsia="Calibri" w:hAnsi="Calibri"/>
          <w:b/>
          <w:bCs/>
          <w:color w:val="1B1D21"/>
          <w:sz w:val="22"/>
          <w:szCs w:val="22"/>
        </w:rPr>
        <w:t xml:space="preserve">Proxy mismatch: </w:t>
      </w:r>
      <w:r>
        <w:rPr>
          <w:rFonts w:ascii="Calibri" w:cs="Calibri" w:eastAsia="Calibri" w:hAnsi="Calibri"/>
          <w:color w:val="1B1D21"/>
          <w:sz w:val="22"/>
          <w:szCs w:val="22"/>
        </w:rPr>
        <w:t xml:space="preserve">a mean-one station-day gain g lets the model absorb timing and transport-lag errors instead of forcing them into the source terms.</w:t>
      </w:r>
    </w:p>
    <w:p>
      <w:pPr>
        <w:spacing w:after="140" w:line="300"/>
      </w:pPr>
      <w:r>
        <w:rPr>
          <w:rFonts w:ascii="Calibri" w:cs="Calibri" w:eastAsia="Calibri" w:hAnsi="Calibri"/>
          <w:color w:val="1B1D21"/>
          <w:sz w:val="22"/>
          <w:szCs w:val="22"/>
        </w:rPr>
        <w:t xml:space="preserve">Sampling uses NUTS with two chains. The reported run had R-hat 1.025 and no divergences. Minimum effective sample size was 69, below the usual 400 target; longer chains are a planned improvement.</w:t>
      </w:r>
    </w:p>
    <w:p>
      <w:pPr>
        <w:pStyle w:val="Heading2"/>
        <w:spacing w:after="100" w:before="240"/>
      </w:pPr>
      <w:r>
        <w:rPr>
          <w:rFonts w:ascii="Calibri" w:cs="Calibri" w:eastAsia="Calibri" w:hAnsi="Calibri"/>
          <w:b/>
          <w:bCs/>
          <w:color w:val="2A6FDB"/>
          <w:sz w:val="25"/>
          <w:szCs w:val="25"/>
        </w:rPr>
        <w:t xml:space="preserve">4.3 Identifiability diagnostics</w:t>
      </w:r>
    </w:p>
    <w:p>
      <w:pPr>
        <w:spacing w:after="140" w:line="300"/>
      </w:pPr>
      <w:r>
        <w:rPr>
          <w:rFonts w:ascii="Calibri" w:cs="Calibri" w:eastAsia="Calibri" w:hAnsi="Calibri"/>
          <w:color w:val="1B1D21"/>
          <w:sz w:val="22"/>
          <w:szCs w:val="22"/>
        </w:rPr>
        <w:t xml:space="preserve">Posterior correlations between source contributions, together with information gain (one minus posterior variance over prior variance) and relative interval width, classify each source as identified, weak or unresolved. A pair with correlation below -0.5 is flagged as a trade-off and its sum is reported as the defensible quantity. In the demonstration episode, vehicular exhaust and crop-residue burning show a posterior correlation of -0.79.</w:t>
      </w:r>
    </w:p>
    <w:p>
      <w:pPr>
        <w:pStyle w:val="Heading2"/>
        <w:spacing w:after="100" w:before="240"/>
      </w:pPr>
      <w:r>
        <w:rPr>
          <w:rFonts w:ascii="Calibri" w:cs="Calibri" w:eastAsia="Calibri" w:hAnsi="Calibri"/>
          <w:b/>
          <w:bCs/>
          <w:color w:val="2A6FDB"/>
          <w:sz w:val="25"/>
          <w:szCs w:val="25"/>
        </w:rPr>
        <w:t xml:space="preserve">4.4 Health-burden propagation</w:t>
      </w:r>
    </w:p>
    <w:p>
      <w:pPr>
        <w:spacing w:after="140" w:line="300"/>
      </w:pPr>
      <w:r>
        <w:rPr>
          <w:rFonts w:ascii="Calibri" w:cs="Calibri" w:eastAsia="Calibri" w:hAnsi="Calibri"/>
          <w:color w:val="1B1D21"/>
          <w:sz w:val="22"/>
          <w:szCs w:val="22"/>
        </w:rPr>
        <w:t xml:space="preserve">Exposure at each station is the modelled mean PM2.5. Mortality uses the Global Exposure Mortality Model (non-accidental plus lower respiratory infection) concentration-response form. Hospital admissions use a short-term log-linear function. For each source, counterfactual scenarios remove 50% or 100% of its contribution, and the difference in attributable burden is the burden of that source. Uncertainty in the concentration-response parameter, the baseline rate and the posterior is propagated by Monte Carlo.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D9D7D0" w:sz="4"/>
              <w:left w:val="single" w:color="D9D7D0" w:sz="4"/>
              <w:bottom w:val="single" w:color="D9D7D0" w:sz="4"/>
              <w:right w:val="single" w:color="D9D7D0" w:sz="4"/>
            </w:tcBorders>
            <w:shd w:fill="E9EEF8" w:val="clear"/>
            <w:tcMar>
              <w:top w:type="dxa" w:w="70"/>
              <w:left w:type="dxa" w:w="110"/>
              <w:bottom w:type="dxa" w:w="70"/>
              <w:right w:type="dxa" w:w="110"/>
            </w:tcMar>
          </w:tcPr>
          <w:p>
            <w:pPr>
              <w:keepNext/>
              <w:spacing w:after="0"/>
              <w:jc w:val="left"/>
            </w:pPr>
            <w:r>
              <w:rPr>
                <w:rFonts w:ascii="Calibri" w:cs="Calibri" w:eastAsia="Calibri" w:hAnsi="Calibri"/>
                <w:b/>
                <w:bCs/>
                <w:color w:val="1B1D21"/>
                <w:sz w:val="20"/>
                <w:szCs w:val="20"/>
              </w:rPr>
              <w:t xml:space="preserve">Parameter</w:t>
            </w:r>
          </w:p>
        </w:tc>
        <w:tc>
          <w:tcPr>
            <w:tcW w:type="dxa" w:w="5438"/>
            <w:tcBorders>
              <w:top w:val="single" w:color="D9D7D0" w:sz="4"/>
              <w:left w:val="single" w:color="D9D7D0" w:sz="4"/>
              <w:bottom w:val="single" w:color="D9D7D0" w:sz="4"/>
              <w:right w:val="single" w:color="D9D7D0" w:sz="4"/>
            </w:tcBorders>
            <w:shd w:fill="E9EEF8" w:val="clear"/>
            <w:tcMar>
              <w:top w:type="dxa" w:w="70"/>
              <w:left w:type="dxa" w:w="110"/>
              <w:bottom w:type="dxa" w:w="70"/>
              <w:right w:type="dxa" w:w="110"/>
            </w:tcMar>
          </w:tcPr>
          <w:p>
            <w:pPr>
              <w:keepNext/>
              <w:spacing w:after="0"/>
              <w:jc w:val="left"/>
            </w:pPr>
            <w:r>
              <w:rPr>
                <w:rFonts w:ascii="Calibri" w:cs="Calibri" w:eastAsia="Calibri" w:hAnsi="Calibri"/>
                <w:b/>
                <w:bCs/>
                <w:color w:val="1B1D21"/>
                <w:sz w:val="20"/>
                <w:szCs w:val="20"/>
              </w:rPr>
              <w:t xml:space="preserve">Value (all placeholders)</w:t>
            </w:r>
          </w:p>
        </w:tc>
      </w:tr>
      <w:tr>
        <w:trPr>
          <w:cantSplit/>
        </w:trPr>
        <w:tc>
          <w:tcPr>
            <w:tcW w:type="dxa" w:w="4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GEMM NCD+LRI theta, alpha, mu, nu</w:t>
            </w:r>
          </w:p>
        </w:tc>
        <w:tc>
          <w:tcPr>
            <w:tcW w:type="dxa" w:w="54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0.1430 (SE 0.01807), 1.6, 15.5, 36.8; counterfactual floor 2.4 ug/m3</w:t>
            </w:r>
          </w:p>
        </w:tc>
      </w:tr>
      <w:tr>
        <w:trPr>
          <w:cantSplit/>
        </w:trPr>
        <w:tc>
          <w:tcPr>
            <w:tcW w:type="dxa" w:w="4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Baseline adult mortality rate</w:t>
            </w:r>
          </w:p>
        </w:tc>
        <w:tc>
          <w:tcPr>
            <w:tcW w:type="dxa" w:w="54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0.0028 per person per year (log-normal, CV 25%)</w:t>
            </w:r>
          </w:p>
        </w:tc>
      </w:tr>
      <w:tr>
        <w:trPr>
          <w:cantSplit/>
        </w:trPr>
        <w:tc>
          <w:tcPr>
            <w:tcW w:type="dxa" w:w="4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Adult share of population</w:t>
            </w:r>
          </w:p>
        </w:tc>
        <w:tc>
          <w:tcPr>
            <w:tcW w:type="dxa" w:w="54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0.65</w:t>
            </w:r>
          </w:p>
        </w:tc>
      </w:tr>
      <w:tr>
        <w:trPr>
          <w:cantSplit/>
        </w:trPr>
        <w:tc>
          <w:tcPr>
            <w:tcW w:type="dxa" w:w="4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Admissions relative risk</w:t>
            </w:r>
          </w:p>
        </w:tc>
        <w:tc>
          <w:tcPr>
            <w:tcW w:type="dxa" w:w="54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1.008 per 10 ug/m3 (SE of ln RR 0.0025)</w:t>
            </w:r>
          </w:p>
        </w:tc>
      </w:tr>
      <w:tr>
        <w:trPr>
          <w:cantSplit/>
        </w:trPr>
        <w:tc>
          <w:tcPr>
            <w:tcW w:type="dxa" w:w="4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color w:val="1B1D21"/>
                <w:sz w:val="20"/>
                <w:szCs w:val="20"/>
              </w:rPr>
              <w:t xml:space="preserve">Baseline admission rate</w:t>
            </w:r>
          </w:p>
        </w:tc>
        <w:tc>
          <w:tcPr>
            <w:tcW w:type="dxa" w:w="54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color w:val="1B1D21"/>
                <w:sz w:val="20"/>
                <w:szCs w:val="20"/>
              </w:rPr>
              <w:t xml:space="preserve">0.004 per person per year (CV 30%)</w:t>
            </w:r>
          </w:p>
        </w:tc>
      </w:tr>
    </w:tbl>
    <w:p>
      <w:pPr>
        <w:spacing w:after="60"/>
      </w:pPr>
      <w:r>
        <w:rPr>
          <w:rFonts w:ascii="Calibri" w:cs="Calibri" w:eastAsia="Calibri" w:hAnsi="Calibri"/>
          <w:color w:val="1B1D21"/>
          <w:sz w:val="22"/>
          <w:szCs w:val="22"/>
        </w:rPr>
        <w:t xml:space="preserve"/>
      </w:r>
    </w:p>
    <w:p>
      <w:pPr>
        <w:spacing w:after="140" w:line="300"/>
      </w:pPr>
      <w:r>
        <w:rPr>
          <w:rFonts w:ascii="Calibri" w:cs="Calibri" w:eastAsia="Calibri" w:hAnsi="Calibri"/>
          <w:i/>
          <w:iCs/>
          <w:color w:val="1B1D21"/>
          <w:sz w:val="22"/>
          <w:szCs w:val="22"/>
        </w:rPr>
        <w:t xml:space="preserve">Mortality figures are episode-equivalent: long-term exposure estimates scaled by episode length divided by 365. They express relative burden by source, not a count of people who died during the episode.</w:t>
      </w:r>
    </w:p>
    <w:p>
      <w:pPr>
        <w:pStyle w:val="Heading2"/>
        <w:spacing w:after="100" w:before="240"/>
      </w:pPr>
      <w:r>
        <w:rPr>
          <w:rFonts w:ascii="Calibri" w:cs="Calibri" w:eastAsia="Calibri" w:hAnsi="Calibri"/>
          <w:b/>
          <w:bCs/>
          <w:color w:val="2A6FDB"/>
          <w:sz w:val="25"/>
          <w:szCs w:val="25"/>
        </w:rPr>
        <w:t xml:space="preserve">4.5 Falsification and calibration</w:t>
      </w:r>
    </w:p>
    <w:p>
      <w:pPr>
        <w:spacing w:after="140" w:line="300"/>
      </w:pPr>
      <w:r>
        <w:rPr>
          <w:rFonts w:ascii="Calibri" w:cs="Calibri" w:eastAsia="Calibri" w:hAnsi="Calibri"/>
          <w:color w:val="1B1D21"/>
          <w:sz w:val="22"/>
          <w:szCs w:val="22"/>
        </w:rPr>
        <w:t xml:space="preserve">Twenty synthetic episodes with known truth are generated. Twelve calibrate the interval widening: for each component, the factor is the finite-sample 90th percentile of the posterior-mean error measured in half-widths of the raw 90% interval (split-conformal calibration). The other eight episodes, never seen during calibration, measure coverage before and after widening. A separate plume-injection test doubles one source's true emissions with everything else identical and checks that the ledger notices.</w:t>
      </w:r>
    </w:p>
    <w:p>
      <w:pPr>
        <w:pStyle w:val="Heading1"/>
        <w:spacing w:after="140" w:before="360"/>
      </w:pPr>
      <w:r>
        <w:rPr>
          <w:rFonts w:ascii="Calibri" w:cs="Calibri" w:eastAsia="Calibri" w:hAnsi="Calibri"/>
          <w:b/>
          <w:bCs/>
          <w:color w:val="1B1D21"/>
          <w:sz w:val="32"/>
          <w:szCs w:val="32"/>
        </w:rPr>
        <w:t xml:space="preserve">5. Results</w:t>
      </w:r>
    </w:p>
    <w:p>
      <w:pPr>
        <w:pStyle w:val="Heading2"/>
        <w:spacing w:after="100" w:before="240"/>
      </w:pPr>
      <w:r>
        <w:rPr>
          <w:rFonts w:ascii="Calibri" w:cs="Calibri" w:eastAsia="Calibri" w:hAnsi="Calibri"/>
          <w:b/>
          <w:bCs/>
          <w:color w:val="2A6FDB"/>
          <w:sz w:val="25"/>
          <w:szCs w:val="25"/>
        </w:rPr>
        <w:t xml:space="preserve">5.1 Demonstration episode</w:t>
      </w:r>
    </w:p>
    <w:p>
      <w:pPr>
        <w:spacing w:after="140" w:line="300"/>
      </w:pPr>
      <w:r>
        <w:rPr>
          <w:rFonts w:ascii="Calibri" w:cs="Calibri" w:eastAsia="Calibri" w:hAnsi="Calibri"/>
          <w:color w:val="1B1D21"/>
          <w:sz w:val="22"/>
          <w:szCs w:val="22"/>
        </w:rPr>
        <w:t xml:space="preserve">On a ten-day synthetic episode with a mean population-weighted PM2.5 of 161 ug/m3, the calibrated ledger reports: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900"/>
        <w:gridCol w:w="2938"/>
      </w:tblGrid>
      <w:tr>
        <w:trPr>
          <w:tblHeader/>
        </w:trPr>
        <w:tc>
          <w:tcPr>
            <w:tcW w:type="dxa" w:w="3300"/>
            <w:tcBorders>
              <w:top w:val="single" w:color="D9D7D0" w:sz="4"/>
              <w:left w:val="single" w:color="D9D7D0" w:sz="4"/>
              <w:bottom w:val="single" w:color="D9D7D0" w:sz="4"/>
              <w:right w:val="single" w:color="D9D7D0" w:sz="4"/>
            </w:tcBorders>
            <w:shd w:fill="E9EEF8" w:val="clear"/>
            <w:tcMar>
              <w:top w:type="dxa" w:w="70"/>
              <w:left w:type="dxa" w:w="110"/>
              <w:bottom w:type="dxa" w:w="70"/>
              <w:right w:type="dxa" w:w="110"/>
            </w:tcMar>
          </w:tcPr>
          <w:p>
            <w:pPr>
              <w:keepNext/>
              <w:spacing w:after="0"/>
              <w:jc w:val="left"/>
            </w:pPr>
            <w:r>
              <w:rPr>
                <w:rFonts w:ascii="Calibri" w:cs="Calibri" w:eastAsia="Calibri" w:hAnsi="Calibri"/>
                <w:b/>
                <w:bCs/>
                <w:color w:val="1B1D21"/>
                <w:sz w:val="20"/>
                <w:szCs w:val="20"/>
              </w:rPr>
              <w:t xml:space="preserve">Component</w:t>
            </w:r>
          </w:p>
        </w:tc>
        <w:tc>
          <w:tcPr>
            <w:tcW w:type="dxa" w:w="1500"/>
            <w:tcBorders>
              <w:top w:val="single" w:color="D9D7D0" w:sz="4"/>
              <w:left w:val="single" w:color="D9D7D0" w:sz="4"/>
              <w:bottom w:val="single" w:color="D9D7D0" w:sz="4"/>
              <w:right w:val="single" w:color="D9D7D0" w:sz="4"/>
            </w:tcBorders>
            <w:shd w:fill="E9EEF8" w:val="clear"/>
            <w:tcMar>
              <w:top w:type="dxa" w:w="70"/>
              <w:left w:type="dxa" w:w="110"/>
              <w:bottom w:type="dxa" w:w="70"/>
              <w:right w:type="dxa" w:w="110"/>
            </w:tcMar>
          </w:tcPr>
          <w:p>
            <w:pPr>
              <w:keepNext/>
              <w:spacing w:after="0"/>
              <w:jc w:val="right"/>
            </w:pPr>
            <w:r>
              <w:rPr>
                <w:rFonts w:ascii="Calibri" w:cs="Calibri" w:eastAsia="Calibri" w:hAnsi="Calibri"/>
                <w:b/>
                <w:bCs/>
                <w:color w:val="1B1D21"/>
                <w:sz w:val="20"/>
                <w:szCs w:val="20"/>
              </w:rPr>
              <w:t xml:space="preserve">Share</w:t>
            </w:r>
          </w:p>
        </w:tc>
        <w:tc>
          <w:tcPr>
            <w:tcW w:type="dxa" w:w="1900"/>
            <w:tcBorders>
              <w:top w:val="single" w:color="D9D7D0" w:sz="4"/>
              <w:left w:val="single" w:color="D9D7D0" w:sz="4"/>
              <w:bottom w:val="single" w:color="D9D7D0" w:sz="4"/>
              <w:right w:val="single" w:color="D9D7D0" w:sz="4"/>
            </w:tcBorders>
            <w:shd w:fill="E9EEF8" w:val="clear"/>
            <w:tcMar>
              <w:top w:type="dxa" w:w="70"/>
              <w:left w:type="dxa" w:w="110"/>
              <w:bottom w:type="dxa" w:w="70"/>
              <w:right w:type="dxa" w:w="110"/>
            </w:tcMar>
          </w:tcPr>
          <w:p>
            <w:pPr>
              <w:keepNext/>
              <w:spacing w:after="0"/>
              <w:jc w:val="right"/>
            </w:pPr>
            <w:r>
              <w:rPr>
                <w:rFonts w:ascii="Calibri" w:cs="Calibri" w:eastAsia="Calibri" w:hAnsi="Calibri"/>
                <w:b/>
                <w:bCs/>
                <w:color w:val="1B1D21"/>
                <w:sz w:val="20"/>
                <w:szCs w:val="20"/>
              </w:rPr>
              <w:t xml:space="preserve">Mean (ug/m3)</w:t>
            </w:r>
          </w:p>
        </w:tc>
        <w:tc>
          <w:tcPr>
            <w:tcW w:type="dxa" w:w="2938"/>
            <w:tcBorders>
              <w:top w:val="single" w:color="D9D7D0" w:sz="4"/>
              <w:left w:val="single" w:color="D9D7D0" w:sz="4"/>
              <w:bottom w:val="single" w:color="D9D7D0" w:sz="4"/>
              <w:right w:val="single" w:color="D9D7D0" w:sz="4"/>
            </w:tcBorders>
            <w:shd w:fill="E9EEF8" w:val="clear"/>
            <w:tcMar>
              <w:top w:type="dxa" w:w="70"/>
              <w:left w:type="dxa" w:w="110"/>
              <w:bottom w:type="dxa" w:w="70"/>
              <w:right w:type="dxa" w:w="110"/>
            </w:tcMar>
          </w:tcPr>
          <w:p>
            <w:pPr>
              <w:keepNext/>
              <w:spacing w:after="0"/>
              <w:jc w:val="left"/>
            </w:pPr>
            <w:r>
              <w:rPr>
                <w:rFonts w:ascii="Calibri" w:cs="Calibri" w:eastAsia="Calibri" w:hAnsi="Calibri"/>
                <w:b/>
                <w:bCs/>
                <w:color w:val="1B1D21"/>
                <w:sz w:val="20"/>
                <w:szCs w:val="20"/>
              </w:rPr>
              <w:t xml:space="preserve">Status</w:t>
            </w:r>
          </w:p>
        </w:tc>
      </w:tr>
      <w:tr>
        <w:trPr>
          <w:cantSplit/>
        </w:trPr>
        <w:tc>
          <w:tcPr>
            <w:tcW w:type="dxa" w:w="3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Vehicular exhaust</w:t>
            </w:r>
          </w:p>
        </w:tc>
        <w:tc>
          <w:tcPr>
            <w:tcW w:type="dxa" w:w="1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39%</w:t>
            </w:r>
          </w:p>
        </w:tc>
        <w:tc>
          <w:tcPr>
            <w:tcW w:type="dxa" w:w="1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63.5 (39.3 - 87.7)</w:t>
            </w:r>
          </w:p>
        </w:tc>
        <w:tc>
          <w:tcPr>
            <w:tcW w:type="dxa" w:w="29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Unresolved (trades off with burning)</w:t>
            </w:r>
          </w:p>
        </w:tc>
      </w:tr>
      <w:tr>
        <w:trPr>
          <w:cantSplit/>
        </w:trPr>
        <w:tc>
          <w:tcPr>
            <w:tcW w:type="dxa" w:w="3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Crop-residue burning</w:t>
            </w:r>
          </w:p>
        </w:tc>
        <w:tc>
          <w:tcPr>
            <w:tcW w:type="dxa" w:w="1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19%</w:t>
            </w:r>
          </w:p>
        </w:tc>
        <w:tc>
          <w:tcPr>
            <w:tcW w:type="dxa" w:w="1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30.9 (10.3 - 51.6)</w:t>
            </w:r>
          </w:p>
        </w:tc>
        <w:tc>
          <w:tcPr>
            <w:tcW w:type="dxa" w:w="29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Unresolved (trades off with traffic)</w:t>
            </w:r>
          </w:p>
        </w:tc>
      </w:tr>
      <w:tr>
        <w:trPr>
          <w:cantSplit/>
        </w:trPr>
        <w:tc>
          <w:tcPr>
            <w:tcW w:type="dxa" w:w="3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Traffic + burning (sum)</w:t>
            </w:r>
          </w:p>
        </w:tc>
        <w:tc>
          <w:tcPr>
            <w:tcW w:type="dxa" w:w="1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58%</w:t>
            </w:r>
          </w:p>
        </w:tc>
        <w:tc>
          <w:tcPr>
            <w:tcW w:type="dxa" w:w="1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94.4 (84.5 - 104.3)</w:t>
            </w:r>
          </w:p>
        </w:tc>
        <w:tc>
          <w:tcPr>
            <w:tcW w:type="dxa" w:w="29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Reliable</w:t>
            </w:r>
          </w:p>
        </w:tc>
      </w:tr>
      <w:tr>
        <w:trPr>
          <w:cantSplit/>
        </w:trPr>
        <w:tc>
          <w:tcPr>
            <w:tcW w:type="dxa" w:w="3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Road and construction dust</w:t>
            </w:r>
          </w:p>
        </w:tc>
        <w:tc>
          <w:tcPr>
            <w:tcW w:type="dxa" w:w="1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15%</w:t>
            </w:r>
          </w:p>
        </w:tc>
        <w:tc>
          <w:tcPr>
            <w:tcW w:type="dxa" w:w="1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24.4 (18.7 - 30.1)</w:t>
            </w:r>
          </w:p>
        </w:tc>
        <w:tc>
          <w:tcPr>
            <w:tcW w:type="dxa" w:w="29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Identified</w:t>
            </w:r>
          </w:p>
        </w:tc>
      </w:tr>
      <w:tr>
        <w:trPr>
          <w:cantSplit/>
        </w:trPr>
        <w:tc>
          <w:tcPr>
            <w:tcW w:type="dxa" w:w="3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Industrial point sources</w:t>
            </w:r>
          </w:p>
        </w:tc>
        <w:tc>
          <w:tcPr>
            <w:tcW w:type="dxa" w:w="1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13%</w:t>
            </w:r>
          </w:p>
        </w:tc>
        <w:tc>
          <w:tcPr>
            <w:tcW w:type="dxa" w:w="1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21.4 (8.3 - 34.5)</w:t>
            </w:r>
          </w:p>
        </w:tc>
        <w:tc>
          <w:tcPr>
            <w:tcW w:type="dxa" w:w="29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Weak</w:t>
            </w:r>
          </w:p>
        </w:tc>
      </w:tr>
      <w:tr>
        <w:trPr>
          <w:cantSplit/>
        </w:trPr>
        <w:tc>
          <w:tcPr>
            <w:tcW w:type="dxa" w:w="3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color w:val="1B1D21"/>
                <w:sz w:val="20"/>
                <w:szCs w:val="20"/>
              </w:rPr>
              <w:t xml:space="preserve">Regional background</w:t>
            </w:r>
          </w:p>
        </w:tc>
        <w:tc>
          <w:tcPr>
            <w:tcW w:type="dxa" w:w="1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val="false"/>
              <w:spacing w:after="0"/>
              <w:jc w:val="right"/>
            </w:pPr>
            <w:r>
              <w:rPr>
                <w:rFonts w:ascii="Calibri" w:cs="Calibri" w:eastAsia="Calibri" w:hAnsi="Calibri"/>
                <w:b w:val="false"/>
                <w:bCs w:val="false"/>
                <w:color w:val="1B1D21"/>
                <w:sz w:val="20"/>
                <w:szCs w:val="20"/>
              </w:rPr>
              <w:t xml:space="preserve">13%</w:t>
            </w:r>
          </w:p>
        </w:tc>
        <w:tc>
          <w:tcPr>
            <w:tcW w:type="dxa" w:w="1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val="false"/>
              <w:spacing w:after="0"/>
              <w:jc w:val="right"/>
            </w:pPr>
            <w:r>
              <w:rPr>
                <w:rFonts w:ascii="Calibri" w:cs="Calibri" w:eastAsia="Calibri" w:hAnsi="Calibri"/>
                <w:b w:val="false"/>
                <w:bCs w:val="false"/>
                <w:color w:val="1B1D21"/>
                <w:sz w:val="20"/>
                <w:szCs w:val="20"/>
              </w:rPr>
              <w:t xml:space="preserve">21.3 (7.1 - 35.4)</w:t>
            </w:r>
          </w:p>
        </w:tc>
        <w:tc>
          <w:tcPr>
            <w:tcW w:type="dxa" w:w="29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color w:val="1B1D21"/>
                <w:sz w:val="20"/>
                <w:szCs w:val="20"/>
              </w:rPr>
              <w:t xml:space="preserve">Weak</w:t>
            </w:r>
          </w:p>
        </w:tc>
      </w:tr>
    </w:tbl>
    <w:p>
      <w:pPr>
        <w:spacing w:after="60"/>
      </w:pPr>
      <w:r>
        <w:rPr>
          <w:rFonts w:ascii="Calibri" w:cs="Calibri" w:eastAsia="Calibri" w:hAnsi="Calibri"/>
          <w:color w:val="1B1D21"/>
          <w:sz w:val="22"/>
          <w:szCs w:val="22"/>
        </w:rPr>
        <w:t xml:space="preserve"/>
      </w:r>
    </w:p>
    <w:p>
      <w:pPr>
        <w:spacing w:after="140" w:line="300"/>
      </w:pPr>
      <w:r>
        <w:rPr>
          <w:rFonts w:ascii="Calibri" w:cs="Calibri" w:eastAsia="Calibri" w:hAnsi="Calibri"/>
          <w:color w:val="1B1D21"/>
          <w:sz w:val="22"/>
          <w:szCs w:val="22"/>
        </w:rPr>
        <w:t xml:space="preserve">The total health burden of the episode is about 791 episode-equivalent premature deaths (90% interval 446 to 1,135) and 444 hospital admissions (143 to 745), using placeholder parameters. Halving traffic and crop burning together would avert roughly 61 of those deaths.</w:t>
      </w:r>
    </w:p>
    <w:p>
      <w:pPr>
        <w:keepNext/>
        <w:spacing w:after="60" w:before="120"/>
        <w:jc w:val="center"/>
      </w:pPr>
      <w:r>
        <w:drawing>
          <wp:inline distT="0" distB="0" distL="0" distR="0">
            <wp:extent cx="5715000" cy="5105400"/>
            <wp:effectExtent t="0" r="0" b="0" l="0"/>
            <wp:docPr id="1" name="01-overview.png" descr="Figure 1. Dashboard overview: headline finding, source-share bar with the unresolved pair bracketed, and key figures." title="Figure 1. Dashboard overview: headline finding, source-share bar with the unresolved pair bracketed, and key fig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105400"/>
                    </a:xfrm>
                    <a:prstGeom prst="rect">
                      <a:avLst/>
                    </a:prstGeom>
                  </pic:spPr>
                </pic:pic>
              </a:graphicData>
            </a:graphic>
          </wp:inline>
        </w:drawing>
      </w:r>
    </w:p>
    <w:p>
      <w:pPr>
        <w:spacing w:after="200"/>
        <w:jc w:val="center"/>
      </w:pPr>
      <w:r>
        <w:rPr>
          <w:rFonts w:ascii="Calibri" w:cs="Calibri" w:eastAsia="Calibri" w:hAnsi="Calibri"/>
          <w:i/>
          <w:iCs/>
          <w:color w:val="5F6670"/>
          <w:sz w:val="18"/>
          <w:szCs w:val="18"/>
        </w:rPr>
        <w:t xml:space="preserve">Figure 1. Dashboard overview: headline finding, source-share bar with the unresolved pair bracketed, and key figures.</w:t>
      </w:r>
    </w:p>
    <w:p>
      <w:pPr>
        <w:keepNext/>
        <w:spacing w:after="60" w:before="120"/>
        <w:jc w:val="center"/>
      </w:pPr>
      <w:r>
        <w:drawing>
          <wp:inline distT="0" distB="0" distL="0" distR="0">
            <wp:extent cx="5715000" cy="3143250"/>
            <wp:effectExtent t="0" r="0" b="0" l="0"/>
            <wp:docPr id="1" name="02-ledger.png" descr="Figure 2. The ledger: share, deaths, admissions and trust label for each source." title="Figure 2. The ledger: share, deaths, admissions and trust label for each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rFonts w:ascii="Calibri" w:cs="Calibri" w:eastAsia="Calibri" w:hAnsi="Calibri"/>
          <w:i/>
          <w:iCs/>
          <w:color w:val="5F6670"/>
          <w:sz w:val="18"/>
          <w:szCs w:val="18"/>
        </w:rPr>
        <w:t xml:space="preserve">Figure 2. The ledger: share, deaths, admissions and trust label for each source.</w:t>
      </w:r>
    </w:p>
    <w:p>
      <w:pPr>
        <w:pStyle w:val="Heading2"/>
        <w:spacing w:after="100" w:before="240"/>
      </w:pPr>
      <w:r>
        <w:rPr>
          <w:rFonts w:ascii="Calibri" w:cs="Calibri" w:eastAsia="Calibri" w:hAnsi="Calibri"/>
          <w:b/>
          <w:bCs/>
          <w:color w:val="2A6FDB"/>
          <w:sz w:val="25"/>
          <w:szCs w:val="25"/>
        </w:rPr>
        <w:t xml:space="preserve">5.2 Stress tests on held-out episodes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700"/>
        <w:gridCol w:w="1700"/>
        <w:gridCol w:w="1838"/>
      </w:tblGrid>
      <w:tr>
        <w:trPr>
          <w:tblHeader/>
        </w:trPr>
        <w:tc>
          <w:tcPr>
            <w:tcW w:type="dxa" w:w="2700"/>
            <w:tcBorders>
              <w:top w:val="single" w:color="D9D7D0" w:sz="4"/>
              <w:left w:val="single" w:color="D9D7D0" w:sz="4"/>
              <w:bottom w:val="single" w:color="D9D7D0" w:sz="4"/>
              <w:right w:val="single" w:color="D9D7D0" w:sz="4"/>
            </w:tcBorders>
            <w:shd w:fill="E9EEF8" w:val="clear"/>
            <w:tcMar>
              <w:top w:type="dxa" w:w="70"/>
              <w:left w:type="dxa" w:w="110"/>
              <w:bottom w:type="dxa" w:w="70"/>
              <w:right w:type="dxa" w:w="110"/>
            </w:tcMar>
          </w:tcPr>
          <w:p>
            <w:pPr>
              <w:keepNext/>
              <w:spacing w:after="0"/>
              <w:jc w:val="left"/>
            </w:pPr>
            <w:r>
              <w:rPr>
                <w:rFonts w:ascii="Calibri" w:cs="Calibri" w:eastAsia="Calibri" w:hAnsi="Calibri"/>
                <w:b/>
                <w:bCs/>
                <w:color w:val="1B1D21"/>
                <w:sz w:val="20"/>
                <w:szCs w:val="20"/>
              </w:rPr>
              <w:t xml:space="preserve">Component</w:t>
            </w:r>
          </w:p>
        </w:tc>
        <w:tc>
          <w:tcPr>
            <w:tcW w:type="dxa" w:w="1700"/>
            <w:tcBorders>
              <w:top w:val="single" w:color="D9D7D0" w:sz="4"/>
              <w:left w:val="single" w:color="D9D7D0" w:sz="4"/>
              <w:bottom w:val="single" w:color="D9D7D0" w:sz="4"/>
              <w:right w:val="single" w:color="D9D7D0" w:sz="4"/>
            </w:tcBorders>
            <w:shd w:fill="E9EEF8" w:val="clear"/>
            <w:tcMar>
              <w:top w:type="dxa" w:w="70"/>
              <w:left w:type="dxa" w:w="110"/>
              <w:bottom w:type="dxa" w:w="70"/>
              <w:right w:type="dxa" w:w="110"/>
            </w:tcMar>
          </w:tcPr>
          <w:p>
            <w:pPr>
              <w:keepNext/>
              <w:spacing w:after="0"/>
              <w:jc w:val="right"/>
            </w:pPr>
            <w:r>
              <w:rPr>
                <w:rFonts w:ascii="Calibri" w:cs="Calibri" w:eastAsia="Calibri" w:hAnsi="Calibri"/>
                <w:b/>
                <w:bCs/>
                <w:color w:val="1B1D21"/>
                <w:sz w:val="20"/>
                <w:szCs w:val="20"/>
              </w:rPr>
              <w:t xml:space="preserve">Median error</w:t>
            </w:r>
          </w:p>
        </w:tc>
        <w:tc>
          <w:tcPr>
            <w:tcW w:type="dxa" w:w="1700"/>
            <w:tcBorders>
              <w:top w:val="single" w:color="D9D7D0" w:sz="4"/>
              <w:left w:val="single" w:color="D9D7D0" w:sz="4"/>
              <w:bottom w:val="single" w:color="D9D7D0" w:sz="4"/>
              <w:right w:val="single" w:color="D9D7D0" w:sz="4"/>
            </w:tcBorders>
            <w:shd w:fill="E9EEF8" w:val="clear"/>
            <w:tcMar>
              <w:top w:type="dxa" w:w="70"/>
              <w:left w:type="dxa" w:w="110"/>
              <w:bottom w:type="dxa" w:w="70"/>
              <w:right w:type="dxa" w:w="110"/>
            </w:tcMar>
          </w:tcPr>
          <w:p>
            <w:pPr>
              <w:keepNext/>
              <w:spacing w:after="0"/>
              <w:jc w:val="right"/>
            </w:pPr>
            <w:r>
              <w:rPr>
                <w:rFonts w:ascii="Calibri" w:cs="Calibri" w:eastAsia="Calibri" w:hAnsi="Calibri"/>
                <w:b/>
                <w:bCs/>
                <w:color w:val="1B1D21"/>
                <w:sz w:val="20"/>
                <w:szCs w:val="20"/>
              </w:rPr>
              <w:t xml:space="preserve">Raw coverage</w:t>
            </w:r>
          </w:p>
        </w:tc>
        <w:tc>
          <w:tcPr>
            <w:tcW w:type="dxa" w:w="1700"/>
            <w:tcBorders>
              <w:top w:val="single" w:color="D9D7D0" w:sz="4"/>
              <w:left w:val="single" w:color="D9D7D0" w:sz="4"/>
              <w:bottom w:val="single" w:color="D9D7D0" w:sz="4"/>
              <w:right w:val="single" w:color="D9D7D0" w:sz="4"/>
            </w:tcBorders>
            <w:shd w:fill="E9EEF8" w:val="clear"/>
            <w:tcMar>
              <w:top w:type="dxa" w:w="70"/>
              <w:left w:type="dxa" w:w="110"/>
              <w:bottom w:type="dxa" w:w="70"/>
              <w:right w:type="dxa" w:w="110"/>
            </w:tcMar>
          </w:tcPr>
          <w:p>
            <w:pPr>
              <w:keepNext/>
              <w:spacing w:after="0"/>
              <w:jc w:val="right"/>
            </w:pPr>
            <w:r>
              <w:rPr>
                <w:rFonts w:ascii="Calibri" w:cs="Calibri" w:eastAsia="Calibri" w:hAnsi="Calibri"/>
                <w:b/>
                <w:bCs/>
                <w:color w:val="1B1D21"/>
                <w:sz w:val="20"/>
                <w:szCs w:val="20"/>
              </w:rPr>
              <w:t xml:space="preserve">Calibrated</w:t>
            </w:r>
          </w:p>
        </w:tc>
        <w:tc>
          <w:tcPr>
            <w:tcW w:type="dxa" w:w="1838"/>
            <w:tcBorders>
              <w:top w:val="single" w:color="D9D7D0" w:sz="4"/>
              <w:left w:val="single" w:color="D9D7D0" w:sz="4"/>
              <w:bottom w:val="single" w:color="D9D7D0" w:sz="4"/>
              <w:right w:val="single" w:color="D9D7D0" w:sz="4"/>
            </w:tcBorders>
            <w:shd w:fill="E9EEF8" w:val="clear"/>
            <w:tcMar>
              <w:top w:type="dxa" w:w="70"/>
              <w:left w:type="dxa" w:w="110"/>
              <w:bottom w:type="dxa" w:w="70"/>
              <w:right w:type="dxa" w:w="110"/>
            </w:tcMar>
          </w:tcPr>
          <w:p>
            <w:pPr>
              <w:keepNext/>
              <w:spacing w:after="0"/>
              <w:jc w:val="right"/>
            </w:pPr>
            <w:r>
              <w:rPr>
                <w:rFonts w:ascii="Calibri" w:cs="Calibri" w:eastAsia="Calibri" w:hAnsi="Calibri"/>
                <w:b/>
                <w:bCs/>
                <w:color w:val="1B1D21"/>
                <w:sz w:val="20"/>
                <w:szCs w:val="20"/>
              </w:rPr>
              <w:t xml:space="preserve">Widening</w:t>
            </w:r>
          </w:p>
        </w:tc>
      </w:tr>
      <w:tr>
        <w:trPr>
          <w:cantSplit/>
        </w:trPr>
        <w:tc>
          <w:tcPr>
            <w:tcW w:type="dxa" w:w="2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Dust</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8%</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63%</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88%</w:t>
            </w:r>
          </w:p>
        </w:tc>
        <w:tc>
          <w:tcPr>
            <w:tcW w:type="dxa" w:w="18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x2.0</w:t>
            </w:r>
          </w:p>
        </w:tc>
      </w:tr>
      <w:tr>
        <w:trPr>
          <w:cantSplit/>
        </w:trPr>
        <w:tc>
          <w:tcPr>
            <w:tcW w:type="dxa" w:w="2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Traffic + burning (sum)</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8%</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38%</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100%</w:t>
            </w:r>
          </w:p>
        </w:tc>
        <w:tc>
          <w:tcPr>
            <w:tcW w:type="dxa" w:w="18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x2.2</w:t>
            </w:r>
          </w:p>
        </w:tc>
      </w:tr>
      <w:tr>
        <w:trPr>
          <w:cantSplit/>
        </w:trPr>
        <w:tc>
          <w:tcPr>
            <w:tcW w:type="dxa" w:w="2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Crop-residue burning</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20%</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25%</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100%</w:t>
            </w:r>
          </w:p>
        </w:tc>
        <w:tc>
          <w:tcPr>
            <w:tcW w:type="dxa" w:w="18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x3.0</w:t>
            </w:r>
          </w:p>
        </w:tc>
      </w:tr>
      <w:tr>
        <w:trPr>
          <w:cantSplit/>
        </w:trPr>
        <w:tc>
          <w:tcPr>
            <w:tcW w:type="dxa" w:w="2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Regional background</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27%</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0%</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75%</w:t>
            </w:r>
          </w:p>
        </w:tc>
        <w:tc>
          <w:tcPr>
            <w:tcW w:type="dxa" w:w="18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x3.2</w:t>
            </w:r>
          </w:p>
        </w:tc>
      </w:tr>
      <w:tr>
        <w:trPr>
          <w:cantSplit/>
        </w:trPr>
        <w:tc>
          <w:tcPr>
            <w:tcW w:type="dxa" w:w="2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Vehicular exhaust</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41%</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0%</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100%</w:t>
            </w:r>
          </w:p>
        </w:tc>
        <w:tc>
          <w:tcPr>
            <w:tcW w:type="dxa" w:w="18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right"/>
            </w:pPr>
            <w:r>
              <w:rPr>
                <w:rFonts w:ascii="Calibri" w:cs="Calibri" w:eastAsia="Calibri" w:hAnsi="Calibri"/>
                <w:b w:val="false"/>
                <w:bCs w:val="false"/>
                <w:color w:val="1B1D21"/>
                <w:sz w:val="20"/>
                <w:szCs w:val="20"/>
              </w:rPr>
              <w:t xml:space="preserve">x3.2</w:t>
            </w:r>
          </w:p>
        </w:tc>
      </w:tr>
      <w:tr>
        <w:trPr>
          <w:cantSplit/>
        </w:trPr>
        <w:tc>
          <w:tcPr>
            <w:tcW w:type="dxa" w:w="2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color w:val="1B1D21"/>
                <w:sz w:val="20"/>
                <w:szCs w:val="20"/>
              </w:rPr>
              <w:t xml:space="preserve">Industrial point sources</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val="false"/>
              <w:spacing w:after="0"/>
              <w:jc w:val="right"/>
            </w:pPr>
            <w:r>
              <w:rPr>
                <w:rFonts w:ascii="Calibri" w:cs="Calibri" w:eastAsia="Calibri" w:hAnsi="Calibri"/>
                <w:b w:val="false"/>
                <w:bCs w:val="false"/>
                <w:color w:val="1B1D21"/>
                <w:sz w:val="20"/>
                <w:szCs w:val="20"/>
              </w:rPr>
              <w:t xml:space="preserve">55%</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val="false"/>
              <w:spacing w:after="0"/>
              <w:jc w:val="right"/>
            </w:pPr>
            <w:r>
              <w:rPr>
                <w:rFonts w:ascii="Calibri" w:cs="Calibri" w:eastAsia="Calibri" w:hAnsi="Calibri"/>
                <w:b w:val="false"/>
                <w:bCs w:val="false"/>
                <w:color w:val="1B1D21"/>
                <w:sz w:val="20"/>
                <w:szCs w:val="20"/>
              </w:rPr>
              <w:t xml:space="preserve">0%</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val="false"/>
              <w:spacing w:after="0"/>
              <w:jc w:val="right"/>
            </w:pPr>
            <w:r>
              <w:rPr>
                <w:rFonts w:ascii="Calibri" w:cs="Calibri" w:eastAsia="Calibri" w:hAnsi="Calibri"/>
                <w:b w:val="false"/>
                <w:bCs w:val="false"/>
                <w:color w:val="1B1D21"/>
                <w:sz w:val="20"/>
                <w:szCs w:val="20"/>
              </w:rPr>
              <w:t xml:space="preserve">100%</w:t>
            </w:r>
          </w:p>
        </w:tc>
        <w:tc>
          <w:tcPr>
            <w:tcW w:type="dxa" w:w="18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val="false"/>
              <w:spacing w:after="0"/>
              <w:jc w:val="right"/>
            </w:pPr>
            <w:r>
              <w:rPr>
                <w:rFonts w:ascii="Calibri" w:cs="Calibri" w:eastAsia="Calibri" w:hAnsi="Calibri"/>
                <w:b w:val="false"/>
                <w:bCs w:val="false"/>
                <w:color w:val="1B1D21"/>
                <w:sz w:val="20"/>
                <w:szCs w:val="20"/>
              </w:rPr>
              <w:t xml:space="preserve">x5.0</w:t>
            </w:r>
          </w:p>
        </w:tc>
      </w:tr>
    </w:tbl>
    <w:p>
      <w:pPr>
        <w:spacing w:after="60"/>
      </w:pPr>
      <w:r>
        <w:rPr>
          <w:rFonts w:ascii="Calibri" w:cs="Calibri" w:eastAsia="Calibri" w:hAnsi="Calibri"/>
          <w:color w:val="1B1D21"/>
          <w:sz w:val="22"/>
          <w:szCs w:val="22"/>
        </w:rPr>
        <w:t xml:space="preserve"/>
      </w:r>
    </w:p>
    <w:p>
      <w:pPr>
        <w:pStyle w:val="ListParagraph"/>
        <w:numPr>
          <w:ilvl w:val="0"/>
          <w:numId w:val="2"/>
        </w:numPr>
        <w:spacing w:after="80" w:line="290"/>
      </w:pPr>
      <w:r>
        <w:rPr>
          <w:rFonts w:ascii="Calibri" w:cs="Calibri" w:eastAsia="Calibri" w:hAnsi="Calibri"/>
          <w:color w:val="1B1D21"/>
          <w:sz w:val="22"/>
          <w:szCs w:val="22"/>
        </w:rPr>
        <w:t xml:space="preserve">Total PM2.5 is reproduced within its 90% predictive band 93% of the time.</w:t>
      </w:r>
    </w:p>
    <w:p>
      <w:pPr>
        <w:pStyle w:val="ListParagraph"/>
        <w:numPr>
          <w:ilvl w:val="0"/>
          <w:numId w:val="2"/>
        </w:numPr>
        <w:spacing w:after="80" w:line="290"/>
      </w:pPr>
      <w:r>
        <w:rPr>
          <w:rFonts w:ascii="Calibri" w:cs="Calibri" w:eastAsia="Calibri" w:hAnsi="Calibri"/>
          <w:color w:val="1B1D21"/>
          <w:sz w:val="22"/>
          <w:szCs w:val="22"/>
        </w:rPr>
        <w:t xml:space="preserve">Raw posterior intervals are over-confident; calibration widens them by factors of 2 to 5 so that coverage holds on unseen episodes. This makes the ledger honest, not more precise.</w:t>
      </w:r>
    </w:p>
    <w:p>
      <w:pPr>
        <w:pStyle w:val="ListParagraph"/>
        <w:numPr>
          <w:ilvl w:val="0"/>
          <w:numId w:val="2"/>
        </w:numPr>
        <w:spacing w:after="80" w:line="290"/>
      </w:pPr>
      <w:r>
        <w:rPr>
          <w:rFonts w:ascii="Calibri" w:cs="Calibri" w:eastAsia="Calibri" w:hAnsi="Calibri"/>
          <w:color w:val="1B1D21"/>
          <w:sz w:val="22"/>
          <w:szCs w:val="22"/>
        </w:rPr>
        <w:t xml:space="preserve">Plume injection: doubling traffic or biomass emissions is detected in both cases. For biomass the true value still falls outside the calibrated interval.</w:t>
      </w:r>
    </w:p>
    <w:p>
      <w:pPr>
        <w:keepNext/>
        <w:spacing w:after="60" w:before="120"/>
        <w:jc w:val="center"/>
      </w:pPr>
      <w:r>
        <w:drawing>
          <wp:inline distT="0" distB="0" distL="0" distR="0">
            <wp:extent cx="5715000" cy="4533900"/>
            <wp:effectExtent t="0" r="0" b="0" l="0"/>
            <wp:docPr id="1" name="05-stress-tests.png" descr="Figure 3. Recovery of known truth, calibration before and after widening, and plume-injection results." title="Figure 3. Recovery of known truth, calibration before and after widening, and plume-injectio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533900"/>
                    </a:xfrm>
                    <a:prstGeom prst="rect">
                      <a:avLst/>
                    </a:prstGeom>
                  </pic:spPr>
                </pic:pic>
              </a:graphicData>
            </a:graphic>
          </wp:inline>
        </w:drawing>
      </w:r>
    </w:p>
    <w:p>
      <w:pPr>
        <w:spacing w:after="200"/>
        <w:jc w:val="center"/>
      </w:pPr>
      <w:r>
        <w:rPr>
          <w:rFonts w:ascii="Calibri" w:cs="Calibri" w:eastAsia="Calibri" w:hAnsi="Calibri"/>
          <w:i/>
          <w:iCs/>
          <w:color w:val="5F6670"/>
          <w:sz w:val="18"/>
          <w:szCs w:val="18"/>
        </w:rPr>
        <w:t xml:space="preserve">Figure 3. Recovery of known truth, calibration before and after widening, and plume-injection results.</w:t>
      </w:r>
    </w:p>
    <w:p>
      <w:pPr>
        <w:pStyle w:val="Heading2"/>
        <w:spacing w:after="100" w:before="240"/>
      </w:pPr>
      <w:r>
        <w:rPr>
          <w:rFonts w:ascii="Calibri" w:cs="Calibri" w:eastAsia="Calibri" w:hAnsi="Calibri"/>
          <w:b/>
          <w:bCs/>
          <w:color w:val="2A6FDB"/>
          <w:sz w:val="25"/>
          <w:szCs w:val="25"/>
        </w:rPr>
        <w:t xml:space="preserve">5.3 Interpretation</w:t>
      </w:r>
    </w:p>
    <w:p>
      <w:pPr>
        <w:spacing w:after="140" w:line="300"/>
      </w:pPr>
      <w:r>
        <w:rPr>
          <w:rFonts w:ascii="Calibri" w:cs="Calibri" w:eastAsia="Calibri" w:hAnsi="Calibri"/>
          <w:color w:val="1B1D21"/>
          <w:sz w:val="22"/>
          <w:szCs w:val="22"/>
        </w:rPr>
        <w:t xml:space="preserve">The model separates dust well because the coarse-particle tracer is distinctive. Traffic and crop burning both rise under the shallow night-time boundary layer, so ventilation drives most of their shared variation; the data pin down their sum but not their split. The ledger reports this directly instead of presenting a precise but unjustified split.</w:t>
      </w:r>
    </w:p>
    <w:p>
      <w:pPr>
        <w:keepNext/>
        <w:spacing w:after="60" w:before="120"/>
        <w:jc w:val="center"/>
      </w:pPr>
      <w:r>
        <w:drawing>
          <wp:inline distT="0" distB="0" distL="0" distR="0">
            <wp:extent cx="5715000" cy="2895600"/>
            <wp:effectExtent t="0" r="0" b="0" l="0"/>
            <wp:docPr id="1" name="04-identifiability.png" descr="Figure 4. Posterior correlation between sources (left) and per-source diagnostics (right)." title="Figure 4. Posterior correlation between sources (left) and per-source diagnostic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95600"/>
                    </a:xfrm>
                    <a:prstGeom prst="rect">
                      <a:avLst/>
                    </a:prstGeom>
                  </pic:spPr>
                </pic:pic>
              </a:graphicData>
            </a:graphic>
          </wp:inline>
        </w:drawing>
      </w:r>
    </w:p>
    <w:p>
      <w:pPr>
        <w:spacing w:after="200"/>
        <w:jc w:val="center"/>
      </w:pPr>
      <w:r>
        <w:rPr>
          <w:rFonts w:ascii="Calibri" w:cs="Calibri" w:eastAsia="Calibri" w:hAnsi="Calibri"/>
          <w:i/>
          <w:iCs/>
          <w:color w:val="5F6670"/>
          <w:sz w:val="18"/>
          <w:szCs w:val="18"/>
        </w:rPr>
        <w:t xml:space="preserve">Figure 4. Posterior correlation between sources (left) and per-source diagnostics (right).</w:t>
      </w:r>
    </w:p>
    <w:p>
      <w:pPr>
        <w:pStyle w:val="Heading1"/>
        <w:spacing w:after="140" w:before="360"/>
      </w:pPr>
      <w:r>
        <w:rPr>
          <w:rFonts w:ascii="Calibri" w:cs="Calibri" w:eastAsia="Calibri" w:hAnsi="Calibri"/>
          <w:b/>
          <w:bCs/>
          <w:color w:val="1B1D21"/>
          <w:sz w:val="32"/>
          <w:szCs w:val="32"/>
        </w:rPr>
        <w:t xml:space="preserve">6. Limitations</w:t>
      </w:r>
    </w:p>
    <w:p>
      <w:pPr>
        <w:pStyle w:val="ListParagraph"/>
        <w:numPr>
          <w:ilvl w:val="0"/>
          <w:numId w:val="3"/>
        </w:numPr>
        <w:spacing w:after="80" w:line="290"/>
      </w:pPr>
      <w:r>
        <w:rPr>
          <w:rFonts w:ascii="Calibri" w:cs="Calibri" w:eastAsia="Calibri" w:hAnsi="Calibri"/>
          <w:b/>
          <w:bCs/>
          <w:color w:val="1B1D21"/>
          <w:sz w:val="22"/>
          <w:szCs w:val="22"/>
        </w:rPr>
        <w:t xml:space="preserve">Synthetic data only. </w:t>
      </w:r>
      <w:r>
        <w:rPr>
          <w:rFonts w:ascii="Calibri" w:cs="Calibri" w:eastAsia="Calibri" w:hAnsi="Calibri"/>
          <w:color w:val="1B1D21"/>
          <w:sz w:val="22"/>
          <w:szCs w:val="22"/>
        </w:rPr>
        <w:t xml:space="preserve">Calibration factors transfer only as far as the simulated world resembles Delhi. They must be re-learned on real episodes with independent ground truth.</w:t>
      </w:r>
    </w:p>
    <w:p>
      <w:pPr>
        <w:pStyle w:val="ListParagraph"/>
        <w:numPr>
          <w:ilvl w:val="0"/>
          <w:numId w:val="3"/>
        </w:numPr>
        <w:spacing w:after="80" w:line="290"/>
      </w:pPr>
      <w:r>
        <w:rPr>
          <w:rFonts w:ascii="Calibri" w:cs="Calibri" w:eastAsia="Calibri" w:hAnsi="Calibri"/>
          <w:b/>
          <w:bCs/>
          <w:color w:val="1B1D21"/>
          <w:sz w:val="22"/>
          <w:szCs w:val="22"/>
        </w:rPr>
        <w:t xml:space="preserve">Placeholder health parameters. </w:t>
      </w:r>
      <w:r>
        <w:rPr>
          <w:rFonts w:ascii="Calibri" w:cs="Calibri" w:eastAsia="Calibri" w:hAnsi="Calibri"/>
          <w:color w:val="1B1D21"/>
          <w:sz w:val="22"/>
          <w:szCs w:val="22"/>
        </w:rPr>
        <w:t xml:space="preserve">The GEMM parameters are pooled rather than age-specific; baseline rates, populations and the admissions function are rough values, not Delhi statistics.</w:t>
      </w:r>
    </w:p>
    <w:p>
      <w:pPr>
        <w:pStyle w:val="ListParagraph"/>
        <w:numPr>
          <w:ilvl w:val="0"/>
          <w:numId w:val="3"/>
        </w:numPr>
        <w:spacing w:after="80" w:line="290"/>
      </w:pPr>
      <w:r>
        <w:rPr>
          <w:rFonts w:ascii="Calibri" w:cs="Calibri" w:eastAsia="Calibri" w:hAnsi="Calibri"/>
          <w:b/>
          <w:bCs/>
          <w:color w:val="1B1D21"/>
          <w:sz w:val="22"/>
          <w:szCs w:val="22"/>
        </w:rPr>
        <w:t xml:space="preserve">Source separation. </w:t>
      </w:r>
      <w:r>
        <w:rPr>
          <w:rFonts w:ascii="Calibri" w:cs="Calibri" w:eastAsia="Calibri" w:hAnsi="Calibri"/>
          <w:color w:val="1B1D21"/>
          <w:sz w:val="22"/>
          <w:szCs w:val="22"/>
        </w:rPr>
        <w:t xml:space="preserve">Individual traffic, biomass, industry and background estimates are biased in validation (20% to 55% median error); only the traffic-plus-biomass sum and dust are accurate.</w:t>
      </w:r>
    </w:p>
    <w:p>
      <w:pPr>
        <w:pStyle w:val="ListParagraph"/>
        <w:numPr>
          <w:ilvl w:val="0"/>
          <w:numId w:val="3"/>
        </w:numPr>
        <w:spacing w:after="80" w:line="290"/>
      </w:pPr>
      <w:r>
        <w:rPr>
          <w:rFonts w:ascii="Calibri" w:cs="Calibri" w:eastAsia="Calibri" w:hAnsi="Calibri"/>
          <w:b/>
          <w:bCs/>
          <w:color w:val="1B1D21"/>
          <w:sz w:val="22"/>
          <w:szCs w:val="22"/>
        </w:rPr>
        <w:t xml:space="preserve">Sampler effort. </w:t>
      </w:r>
      <w:r>
        <w:rPr>
          <w:rFonts w:ascii="Calibri" w:cs="Calibri" w:eastAsia="Calibri" w:hAnsi="Calibri"/>
          <w:color w:val="1B1D21"/>
          <w:sz w:val="22"/>
          <w:szCs w:val="22"/>
        </w:rPr>
        <w:t xml:space="preserve">Minimum effective sample size of 69 indicates short chains.</w:t>
      </w:r>
    </w:p>
    <w:p>
      <w:pPr>
        <w:pStyle w:val="ListParagraph"/>
        <w:numPr>
          <w:ilvl w:val="0"/>
          <w:numId w:val="3"/>
        </w:numPr>
        <w:spacing w:after="80" w:line="290"/>
      </w:pPr>
      <w:r>
        <w:rPr>
          <w:rFonts w:ascii="Calibri" w:cs="Calibri" w:eastAsia="Calibri" w:hAnsi="Calibri"/>
          <w:b/>
          <w:bCs/>
          <w:color w:val="1B1D21"/>
          <w:sz w:val="22"/>
          <w:szCs w:val="22"/>
        </w:rPr>
        <w:t xml:space="preserve">Unused inputs. </w:t>
      </w:r>
      <w:r>
        <w:rPr>
          <w:rFonts w:ascii="Calibri" w:cs="Calibri" w:eastAsia="Calibri" w:hAnsi="Calibri"/>
          <w:color w:val="1B1D21"/>
          <w:sz w:val="22"/>
          <w:szCs w:val="22"/>
        </w:rPr>
        <w:t xml:space="preserve">Sentinel-2 land-cover change and OpenStreetMap road and industrial geometries are not yet used.</w:t>
      </w:r>
    </w:p>
    <w:p>
      <w:pPr>
        <w:pStyle w:val="ListParagraph"/>
        <w:numPr>
          <w:ilvl w:val="0"/>
          <w:numId w:val="3"/>
        </w:numPr>
        <w:spacing w:after="80" w:line="290"/>
      </w:pPr>
      <w:r>
        <w:rPr>
          <w:rFonts w:ascii="Calibri" w:cs="Calibri" w:eastAsia="Calibri" w:hAnsi="Calibri"/>
          <w:b/>
          <w:bCs/>
          <w:color w:val="1B1D21"/>
          <w:sz w:val="22"/>
          <w:szCs w:val="22"/>
        </w:rPr>
        <w:t xml:space="preserve">Untested ingestion. </w:t>
      </w:r>
      <w:r>
        <w:rPr>
          <w:rFonts w:ascii="Calibri" w:cs="Calibri" w:eastAsia="Calibri" w:hAnsi="Calibri"/>
          <w:color w:val="1B1D21"/>
          <w:sz w:val="22"/>
          <w:szCs w:val="22"/>
        </w:rPr>
        <w:t xml:space="preserve">The real-data loader is unit-tested on fabricated fixtures only; the Open-Meteo fetch and real CPCB and FIRMS files have not been run end to end.</w:t>
      </w:r>
    </w:p>
    <w:p>
      <w:pPr>
        <w:pStyle w:val="Heading1"/>
        <w:spacing w:after="140" w:before="360"/>
      </w:pPr>
      <w:r>
        <w:rPr>
          <w:rFonts w:ascii="Calibri" w:cs="Calibri" w:eastAsia="Calibri" w:hAnsi="Calibri"/>
          <w:b/>
          <w:bCs/>
          <w:color w:val="1B1D21"/>
          <w:sz w:val="32"/>
          <w:szCs w:val="32"/>
        </w:rPr>
        <w:t xml:space="preserve">7. Roadmap and expected impact</w:t>
      </w:r>
    </w:p>
    <w:p>
      <w:pPr>
        <w:pStyle w:val="Heading2"/>
        <w:spacing w:after="100" w:before="240"/>
      </w:pPr>
      <w:r>
        <w:rPr>
          <w:rFonts w:ascii="Calibri" w:cs="Calibri" w:eastAsia="Calibri" w:hAnsi="Calibri"/>
          <w:b/>
          <w:bCs/>
          <w:color w:val="2A6FDB"/>
          <w:sz w:val="25"/>
          <w:szCs w:val="25"/>
        </w:rPr>
        <w:t xml:space="preserve">Next steps</w:t>
      </w:r>
    </w:p>
    <w:p>
      <w:pPr>
        <w:pStyle w:val="ListParagraph"/>
        <w:numPr>
          <w:ilvl w:val="0"/>
          <w:numId w:val="2"/>
        </w:numPr>
        <w:spacing w:after="80" w:line="290"/>
      </w:pPr>
      <w:r>
        <w:rPr>
          <w:rFonts w:ascii="Calibri" w:cs="Calibri" w:eastAsia="Calibri" w:hAnsi="Calibri"/>
          <w:color w:val="1B1D21"/>
          <w:sz w:val="22"/>
          <w:szCs w:val="22"/>
        </w:rPr>
        <w:t xml:space="preserve">Run a real episode end to end (CPCB, FIRMS, ERA5) and re-calibrate intervals.</w:t>
      </w:r>
    </w:p>
    <w:p>
      <w:pPr>
        <w:pStyle w:val="ListParagraph"/>
        <w:numPr>
          <w:ilvl w:val="0"/>
          <w:numId w:val="2"/>
        </w:numPr>
        <w:spacing w:after="80" w:line="290"/>
      </w:pPr>
      <w:r>
        <w:rPr>
          <w:rFonts w:ascii="Calibri" w:cs="Calibri" w:eastAsia="Calibri" w:hAnsi="Calibri"/>
          <w:color w:val="1B1D21"/>
          <w:sz w:val="22"/>
          <w:szCs w:val="22"/>
        </w:rPr>
        <w:t xml:space="preserve">Replace placeholder health parameters with age-specific GEMM, Delhi baseline rates, WorldPop and a published admissions function.</w:t>
      </w:r>
    </w:p>
    <w:p>
      <w:pPr>
        <w:pStyle w:val="ListParagraph"/>
        <w:numPr>
          <w:ilvl w:val="0"/>
          <w:numId w:val="2"/>
        </w:numPr>
        <w:spacing w:after="80" w:line="290"/>
      </w:pPr>
      <w:r>
        <w:rPr>
          <w:rFonts w:ascii="Calibri" w:cs="Calibri" w:eastAsia="Calibri" w:hAnsi="Calibri"/>
          <w:color w:val="1B1D21"/>
          <w:sz w:val="22"/>
          <w:szCs w:val="22"/>
        </w:rPr>
        <w:t xml:space="preserve">Add explicit source profiles (PMF or CMB style) and Lagrangian back-trajectories to separate traffic from crop burning.</w:t>
      </w:r>
    </w:p>
    <w:p>
      <w:pPr>
        <w:pStyle w:val="ListParagraph"/>
        <w:numPr>
          <w:ilvl w:val="0"/>
          <w:numId w:val="2"/>
        </w:numPr>
        <w:spacing w:after="80" w:line="290"/>
      </w:pPr>
      <w:r>
        <w:rPr>
          <w:rFonts w:ascii="Calibri" w:cs="Calibri" w:eastAsia="Calibri" w:hAnsi="Calibri"/>
          <w:color w:val="1B1D21"/>
          <w:sz w:val="22"/>
          <w:szCs w:val="22"/>
        </w:rPr>
        <w:t xml:space="preserve">Leave-one-episode-out validation on real episodes and triangulation against published apportionment studies.</w:t>
      </w:r>
    </w:p>
    <w:p>
      <w:pPr>
        <w:pStyle w:val="ListParagraph"/>
        <w:numPr>
          <w:ilvl w:val="0"/>
          <w:numId w:val="2"/>
        </w:numPr>
        <w:spacing w:after="80" w:line="290"/>
      </w:pPr>
      <w:r>
        <w:rPr>
          <w:rFonts w:ascii="Calibri" w:cs="Calibri" w:eastAsia="Calibri" w:hAnsi="Calibri"/>
          <w:color w:val="1B1D21"/>
          <w:sz w:val="22"/>
          <w:szCs w:val="22"/>
        </w:rPr>
        <w:t xml:space="preserve">Hosted real-time view with current station readings.</w:t>
      </w:r>
    </w:p>
    <w:p>
      <w:pPr>
        <w:pStyle w:val="Heading2"/>
        <w:spacing w:after="100" w:before="240"/>
      </w:pPr>
      <w:r>
        <w:rPr>
          <w:rFonts w:ascii="Calibri" w:cs="Calibri" w:eastAsia="Calibri" w:hAnsi="Calibri"/>
          <w:b/>
          <w:bCs/>
          <w:color w:val="2A6FDB"/>
          <w:sz w:val="25"/>
          <w:szCs w:val="25"/>
        </w:rPr>
        <w:t xml:space="preserve">Expected impact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D9D7D0" w:sz="4"/>
              <w:left w:val="single" w:color="D9D7D0" w:sz="4"/>
              <w:bottom w:val="single" w:color="D9D7D0" w:sz="4"/>
              <w:right w:val="single" w:color="D9D7D0" w:sz="4"/>
            </w:tcBorders>
            <w:shd w:fill="E9EEF8" w:val="clear"/>
            <w:tcMar>
              <w:top w:type="dxa" w:w="70"/>
              <w:left w:type="dxa" w:w="110"/>
              <w:bottom w:type="dxa" w:w="70"/>
              <w:right w:type="dxa" w:w="110"/>
            </w:tcMar>
          </w:tcPr>
          <w:p>
            <w:pPr>
              <w:keepNext/>
              <w:spacing w:after="0"/>
              <w:jc w:val="left"/>
            </w:pPr>
            <w:r>
              <w:rPr>
                <w:rFonts w:ascii="Calibri" w:cs="Calibri" w:eastAsia="Calibri" w:hAnsi="Calibri"/>
                <w:b/>
                <w:bCs/>
                <w:color w:val="1B1D21"/>
                <w:sz w:val="20"/>
                <w:szCs w:val="20"/>
              </w:rPr>
              <w:t xml:space="preserve">Audience</w:t>
            </w:r>
          </w:p>
        </w:tc>
        <w:tc>
          <w:tcPr>
            <w:tcW w:type="dxa" w:w="7138"/>
            <w:tcBorders>
              <w:top w:val="single" w:color="D9D7D0" w:sz="4"/>
              <w:left w:val="single" w:color="D9D7D0" w:sz="4"/>
              <w:bottom w:val="single" w:color="D9D7D0" w:sz="4"/>
              <w:right w:val="single" w:color="D9D7D0" w:sz="4"/>
            </w:tcBorders>
            <w:shd w:fill="E9EEF8" w:val="clear"/>
            <w:tcMar>
              <w:top w:type="dxa" w:w="70"/>
              <w:left w:type="dxa" w:w="110"/>
              <w:bottom w:type="dxa" w:w="70"/>
              <w:right w:type="dxa" w:w="110"/>
            </w:tcMar>
          </w:tcPr>
          <w:p>
            <w:pPr>
              <w:keepNext/>
              <w:spacing w:after="0"/>
              <w:jc w:val="left"/>
            </w:pPr>
            <w:r>
              <w:rPr>
                <w:rFonts w:ascii="Calibri" w:cs="Calibri" w:eastAsia="Calibri" w:hAnsi="Calibri"/>
                <w:b/>
                <w:bCs/>
                <w:color w:val="1B1D21"/>
                <w:sz w:val="20"/>
                <w:szCs w:val="20"/>
              </w:rPr>
              <w:t xml:space="preserve">Benefit</w:t>
            </w:r>
          </w:p>
        </w:tc>
      </w:tr>
      <w:tr>
        <w:trPr>
          <w:cantSplit/>
        </w:trPr>
        <w:tc>
          <w:tcPr>
            <w:tcW w:type="dxa" w:w="2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Regulators</w:t>
            </w:r>
          </w:p>
        </w:tc>
        <w:tc>
          <w:tcPr>
            <w:tcW w:type="dxa" w:w="71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Source-specific, season-aware interventions backed by counterfactual benefit estimates, in place of blanket restrictions.</w:t>
            </w:r>
          </w:p>
        </w:tc>
      </w:tr>
      <w:tr>
        <w:trPr>
          <w:cantSplit/>
        </w:trPr>
        <w:tc>
          <w:tcPr>
            <w:tcW w:type="dxa" w:w="2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Public and press</w:t>
            </w:r>
          </w:p>
        </w:tc>
        <w:tc>
          <w:tcPr>
            <w:tcW w:type="dxa" w:w="71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Transparent, falsifiable accountability for every severe-air episode.</w:t>
            </w:r>
          </w:p>
        </w:tc>
      </w:tr>
      <w:tr>
        <w:trPr>
          <w:cantSplit/>
        </w:trPr>
        <w:tc>
          <w:tcPr>
            <w:tcW w:type="dxa" w:w="2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Health systems</w:t>
            </w:r>
          </w:p>
        </w:tc>
        <w:tc>
          <w:tcPr>
            <w:tcW w:type="dxa" w:w="71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spacing w:after="0"/>
              <w:jc w:val="left"/>
            </w:pPr>
            <w:r>
              <w:rPr>
                <w:rFonts w:ascii="Calibri" w:cs="Calibri" w:eastAsia="Calibri" w:hAnsi="Calibri"/>
                <w:b w:val="false"/>
                <w:bCs w:val="false"/>
                <w:color w:val="1B1D21"/>
                <w:sz w:val="20"/>
                <w:szCs w:val="20"/>
              </w:rPr>
              <w:t xml:space="preserve">Anticipatory estimates of episode-attributable morbidity.</w:t>
            </w:r>
          </w:p>
        </w:tc>
      </w:tr>
      <w:tr>
        <w:trPr>
          <w:cantSplit/>
        </w:trPr>
        <w:tc>
          <w:tcPr>
            <w:tcW w:type="dxa" w:w="2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color w:val="1B1D21"/>
                <w:sz w:val="20"/>
                <w:szCs w:val="20"/>
              </w:rPr>
              <w:t xml:space="preserve">Researchers</w:t>
            </w:r>
          </w:p>
        </w:tc>
        <w:tc>
          <w:tcPr>
            <w:tcW w:type="dxa" w:w="7138"/>
            <w:tcBorders>
              <w:top w:val="single" w:color="D9D7D0" w:sz="4"/>
              <w:left w:val="single" w:color="D9D7D0" w:sz="4"/>
              <w:bottom w:val="single" w:color="D9D7D0" w:sz="4"/>
              <w:right w:val="single" w:color="D9D7D0"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color w:val="1B1D21"/>
                <w:sz w:val="20"/>
                <w:szCs w:val="20"/>
              </w:rPr>
              <w:t xml:space="preserve">A reproducible, open benchmark portable to other airsheds (SDG 3, 11, 13, 16).</w:t>
            </w:r>
          </w:p>
        </w:tc>
      </w:tr>
    </w:tbl>
    <w:p>
      <w:pPr>
        <w:pStyle w:val="Heading1"/>
        <w:spacing w:after="140" w:before="360"/>
      </w:pPr>
      <w:r>
        <w:rPr>
          <w:rFonts w:ascii="Calibri" w:cs="Calibri" w:eastAsia="Calibri" w:hAnsi="Calibri"/>
          <w:b/>
          <w:bCs/>
          <w:color w:val="1B1D21"/>
          <w:sz w:val="32"/>
          <w:szCs w:val="32"/>
        </w:rPr>
        <w:t xml:space="preserve">Appendix: reproducing the results</w:t>
      </w:r>
    </w:p>
    <w:p>
      <w:pPr>
        <w:shd w:fill="F3F2EE" w:val="clear"/>
        <w:spacing w:after="60"/>
        <w:ind w:left="200"/>
      </w:pPr>
      <w:r>
        <w:rPr>
          <w:rFonts w:ascii="Consolas" w:cs="Consolas" w:eastAsia="Consolas" w:hAnsi="Consolas"/>
          <w:color w:val="1B1D21"/>
          <w:sz w:val="19"/>
          <w:szCs w:val="19"/>
        </w:rPr>
        <w:t xml:space="preserve">pip install -r requirements.txt</w:t>
      </w:r>
    </w:p>
    <w:p>
      <w:pPr>
        <w:shd w:fill="F3F2EE" w:val="clear"/>
        <w:spacing w:after="60"/>
        <w:ind w:left="200"/>
      </w:pPr>
      <w:r>
        <w:rPr>
          <w:rFonts w:ascii="Consolas" w:cs="Consolas" w:eastAsia="Consolas" w:hAnsi="Consolas"/>
          <w:color w:val="1B1D21"/>
          <w:sz w:val="19"/>
          <w:szCs w:val="19"/>
        </w:rPr>
        <w:t xml:space="preserve">python run.py --demo                    # full run (~10 min)</w:t>
      </w:r>
    </w:p>
    <w:p>
      <w:pPr>
        <w:shd w:fill="F3F2EE" w:val="clear"/>
        <w:spacing w:after="60"/>
        <w:ind w:left="200"/>
      </w:pPr>
      <w:r>
        <w:rPr>
          <w:rFonts w:ascii="Consolas" w:cs="Consolas" w:eastAsia="Consolas" w:hAnsi="Consolas"/>
          <w:color w:val="1B1D21"/>
          <w:sz w:val="19"/>
          <w:szCs w:val="19"/>
        </w:rPr>
        <w:t xml:space="preserve">python run.py --demo --skip-validation  # reuse saved calibration (~30 s)</w:t>
      </w:r>
    </w:p>
    <w:p>
      <w:pPr>
        <w:shd w:fill="F3F2EE" w:val="clear"/>
        <w:spacing w:after="60"/>
        <w:ind w:left="200"/>
      </w:pPr>
      <w:r>
        <w:rPr>
          <w:rFonts w:ascii="Consolas" w:cs="Consolas" w:eastAsia="Consolas" w:hAnsi="Consolas"/>
          <w:color w:val="1B1D21"/>
          <w:sz w:val="19"/>
          <w:szCs w:val="19"/>
        </w:rPr>
        <w:t xml:space="preserve">python -m pytest tests                  # offline tests</w:t>
      </w:r>
    </w:p>
    <w:p>
      <w:pPr>
        <w:spacing w:after="80" w:before="100"/>
      </w:pPr>
      <w:r>
        <w:rPr>
          <w:rFonts w:ascii="Calibri" w:cs="Calibri" w:eastAsia="Calibri" w:hAnsi="Calibri"/>
          <w:color w:val="1B1D21"/>
          <w:sz w:val="22"/>
          <w:szCs w:val="22"/>
        </w:rPr>
        <w:t xml:space="preserve">Real data: prepare a stations file (station, lat, lon, pop_m), then run:</w:t>
      </w:r>
    </w:p>
    <w:p>
      <w:pPr>
        <w:shd w:fill="F3F2EE" w:val="clear"/>
        <w:spacing w:after="60"/>
        <w:ind w:left="200"/>
      </w:pPr>
      <w:r>
        <w:rPr>
          <w:rFonts w:ascii="Consolas" w:cs="Consolas" w:eastAsia="Consolas" w:hAnsi="Consolas"/>
          <w:color w:val="1B1D21"/>
          <w:sz w:val="19"/>
          <w:szCs w:val="19"/>
        </w:rPr>
        <w:t xml:space="preserve">python -m ledger.ingest --cpcb data/cpcb/ --firms data/firms.csv --stations data/stations.csv --start 2025-11-01 --end 2025-11-10 --out data/episode</w:t>
      </w:r>
    </w:p>
    <w:p>
      <w:pPr>
        <w:shd w:fill="F3F2EE" w:val="clear"/>
        <w:spacing w:after="60"/>
        <w:ind w:left="200"/>
      </w:pPr>
      <w:r>
        <w:rPr>
          <w:rFonts w:ascii="Consolas" w:cs="Consolas" w:eastAsia="Consolas" w:hAnsi="Consolas"/>
          <w:color w:val="1B1D21"/>
          <w:sz w:val="19"/>
          <w:szCs w:val="19"/>
        </w:rPr>
        <w:t xml:space="preserve">python run.py --csv data/episode/observations.csv --stations data/episode/stations.csv</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670"/>
        <w:sz w:val="17"/>
        <w:szCs w:val="17"/>
      </w:rPr>
      <w:t xml:space="preserve">Research prototype, synthetic data  |  Page </w:t>
    </w:r>
    <w:r>
      <w:rPr>
        <w:rFonts w:ascii="Calibri" w:cs="Calibri" w:eastAsia="Calibri" w:hAnsi="Calibri"/>
        <w:color w:val="5F6670"/>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7D0" w:sz="4" w:space="4"/>
      </w:pBdr>
      <w:jc w:val="right"/>
    </w:pPr>
    <w:r>
      <w:rPr>
        <w:rFonts w:ascii="Calibri" w:cs="Calibri" w:eastAsia="Calibri" w:hAnsi="Calibri"/>
        <w:color w:val="5F6670"/>
        <w:sz w:val="17"/>
        <w:szCs w:val="17"/>
      </w:rPr>
      <w:t xml:space="preserve">The Pollution Blame Ledger  |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adc345ad6c4254972310aea62b6ced96ea8b289.png"/><Relationship Id="rId12" Type="http://schemas.openxmlformats.org/officeDocument/2006/relationships/image" Target="media/0c99b791e437c4c731b3eb38c3d5944511a144ef.png"/><Relationship Id="rId13" Type="http://schemas.openxmlformats.org/officeDocument/2006/relationships/image" Target="media/d9c7e5698a33d29e6c49da71494ad92324585b42.png"/><Relationship Id="rId14" Type="http://schemas.openxmlformats.org/officeDocument/2006/relationships/image" Target="media/25d0181f3b03f235994a91602d4fb43933241ed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Pollution Blame Ledger - Project Report</dc:title>
  <dc:creator>Aryan Arora</dc:creator>
  <cp:lastModifiedBy>Un-named</cp:lastModifiedBy>
  <cp:revision>1</cp:revision>
  <dcterms:created xsi:type="dcterms:W3CDTF">2026-10-18T06:29:41.127Z</dcterms:created>
  <dcterms:modified xsi:type="dcterms:W3CDTF">2026-10-18T06:29:41.127Z</dcterms:modified>
</cp:coreProperties>
</file>

<file path=docProps/custom.xml><?xml version="1.0" encoding="utf-8"?>
<Properties xmlns="http://schemas.openxmlformats.org/officeDocument/2006/custom-properties" xmlns:vt="http://schemas.openxmlformats.org/officeDocument/2006/docPropsVTypes"/>
</file>