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Retail Sales &amp; Profit Analysis</w:t>
      </w:r>
    </w:p>
    <w:p>
      <w:pPr>
        <w:jc w:val="center"/>
      </w:pPr>
      <w:r>
        <w:rPr>
          <w:i/>
          <w:sz w:val="22"/>
        </w:rPr>
        <w:t>Final Internship Project Submission | Mentor: Tarun Kumar</w:t>
      </w:r>
    </w:p>
    <w:p>
      <w:pPr>
        <w:jc w:val="center"/>
      </w:pPr>
      <w:r>
        <w:rPr>
          <w:b/>
        </w:rPr>
        <w:t>Prepared by: Nithin Medipelly</w:t>
      </w:r>
      <w:r>
        <w:t xml:space="preserve">  |  Date: June 30, 2026</w:t>
      </w:r>
    </w:p>
    <w:p/>
    <w:p>
      <w:pPr>
        <w:pStyle w:val="Heading1"/>
      </w:pPr>
      <w:r>
        <w:t>1. Project Objective</w:t>
      </w:r>
    </w:p>
    <w:p>
      <w:r>
        <w:t>The objective of this project is to analyze a retail sales dataset, clean the data, calculate business KPIs, identify sales and profit patterns, and create a dashboard-style analysis file for business decision-making. The project demonstrates core Data Analyst skills including data cleaning, KPI development, business insight generation, and dashboard creation.</w:t>
      </w:r>
    </w:p>
    <w:p>
      <w:pPr>
        <w:pStyle w:val="Heading1"/>
      </w:pPr>
      <w:r>
        <w:t>2. Dataset Overview</w:t>
      </w:r>
    </w:p>
    <w:p>
      <w:r>
        <w:t>The cleaned dataset contains 8,399 records covering orders, sales, discount, shipping cost, profit, customer segment, region, product categories, product names, and shipment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color w:val="FFFFFF"/>
              </w:rPr>
            </w:r>
            <w:r>
              <w:rPr>
                <w:b/>
                <w:sz w:val="18"/>
              </w:rPr>
              <w:t>Dataset Feature</w:t>
            </w:r>
          </w:p>
        </w:tc>
        <w:tc>
          <w:tcPr>
            <w:tcW w:type="dxa" w:w="5112"/>
            <w:shd w:fill="1F4E78"/>
          </w:tcPr>
          <w:p>
            <w:r>
              <w:rPr>
                <w:color w:val="FFFFFF"/>
              </w:rPr>
            </w:r>
            <w:r>
              <w:rPr>
                <w:b/>
                <w:sz w:val="18"/>
              </w:rPr>
              <w:t>Description</w:t>
            </w:r>
          </w:p>
        </w:tc>
      </w:tr>
      <w:tr>
        <w:tc>
          <w:tcPr>
            <w:tcW w:type="dxa" w:w="5112"/>
          </w:tcPr>
          <w:p>
            <w:r/>
            <w:r>
              <w:rPr>
                <w:b/>
                <w:sz w:val="18"/>
              </w:rPr>
              <w:t>Date Fields</w:t>
            </w:r>
          </w:p>
        </w:tc>
        <w:tc>
          <w:tcPr>
            <w:tcW w:type="dxa" w:w="5112"/>
          </w:tcPr>
          <w:p>
            <w:r/>
            <w:r>
              <w:rPr>
                <w:b w:val="0"/>
                <w:sz w:val="18"/>
              </w:rPr>
              <w:t>Order Date and Ship Date</w:t>
            </w:r>
          </w:p>
        </w:tc>
      </w:tr>
      <w:tr>
        <w:tc>
          <w:tcPr>
            <w:tcW w:type="dxa" w:w="5112"/>
          </w:tcPr>
          <w:p>
            <w:r/>
            <w:r>
              <w:rPr>
                <w:b/>
                <w:sz w:val="18"/>
              </w:rPr>
              <w:t>Financial Fields</w:t>
            </w:r>
          </w:p>
        </w:tc>
        <w:tc>
          <w:tcPr>
            <w:tcW w:type="dxa" w:w="5112"/>
          </w:tcPr>
          <w:p>
            <w:r/>
            <w:r>
              <w:rPr>
                <w:b w:val="0"/>
                <w:sz w:val="18"/>
              </w:rPr>
              <w:t>Sales, Profit, Discount, Unit Price, Shipping Cost</w:t>
            </w:r>
          </w:p>
        </w:tc>
      </w:tr>
      <w:tr>
        <w:tc>
          <w:tcPr>
            <w:tcW w:type="dxa" w:w="5112"/>
          </w:tcPr>
          <w:p>
            <w:r/>
            <w:r>
              <w:rPr>
                <w:b/>
                <w:sz w:val="18"/>
              </w:rPr>
              <w:t>Customer Fields</w:t>
            </w:r>
          </w:p>
        </w:tc>
        <w:tc>
          <w:tcPr>
            <w:tcW w:type="dxa" w:w="5112"/>
          </w:tcPr>
          <w:p>
            <w:r/>
            <w:r>
              <w:rPr>
                <w:b w:val="0"/>
                <w:sz w:val="18"/>
              </w:rPr>
              <w:t>Customer Name, Province, Region, Customer Segment</w:t>
            </w:r>
          </w:p>
        </w:tc>
      </w:tr>
      <w:tr>
        <w:tc>
          <w:tcPr>
            <w:tcW w:type="dxa" w:w="5112"/>
          </w:tcPr>
          <w:p>
            <w:r/>
            <w:r>
              <w:rPr>
                <w:b/>
                <w:sz w:val="18"/>
              </w:rPr>
              <w:t>Product Fields</w:t>
            </w:r>
          </w:p>
        </w:tc>
        <w:tc>
          <w:tcPr>
            <w:tcW w:type="dxa" w:w="5112"/>
          </w:tcPr>
          <w:p>
            <w:r/>
            <w:r>
              <w:rPr>
                <w:b w:val="0"/>
                <w:sz w:val="18"/>
              </w:rPr>
              <w:t>Product Category, Sub-Category, Product Name, Product Container, Product Base Margin</w:t>
            </w:r>
          </w:p>
        </w:tc>
      </w:tr>
      <w:tr>
        <w:tc>
          <w:tcPr>
            <w:tcW w:type="dxa" w:w="5112"/>
          </w:tcPr>
          <w:p>
            <w:r/>
            <w:r>
              <w:rPr>
                <w:b/>
                <w:sz w:val="18"/>
              </w:rPr>
              <w:t>Order Fields</w:t>
            </w:r>
          </w:p>
        </w:tc>
        <w:tc>
          <w:tcPr>
            <w:tcW w:type="dxa" w:w="5112"/>
          </w:tcPr>
          <w:p>
            <w:r/>
            <w:r>
              <w:rPr>
                <w:b w:val="0"/>
                <w:sz w:val="18"/>
              </w:rPr>
              <w:t>Order ID, Order Priority, Order Quantity, Ship Mode</w:t>
            </w:r>
          </w:p>
        </w:tc>
      </w:tr>
    </w:tbl>
    <w:p>
      <w:pPr>
        <w:pStyle w:val="Heading1"/>
      </w:pPr>
      <w:r>
        <w:t>3. Data Cleaning Process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color w:val="FFFFFF"/>
              </w:rPr>
            </w:r>
            <w:r>
              <w:rPr>
                <w:b/>
                <w:sz w:val="18"/>
              </w:rPr>
              <w:t>Cleaning Step</w:t>
            </w:r>
          </w:p>
        </w:tc>
        <w:tc>
          <w:tcPr>
            <w:tcW w:type="dxa" w:w="5112"/>
            <w:shd w:fill="1F4E78"/>
          </w:tcPr>
          <w:p>
            <w:r>
              <w:rPr>
                <w:color w:val="FFFFFF"/>
              </w:rPr>
            </w:r>
            <w:r>
              <w:rPr>
                <w:b/>
                <w:sz w:val="18"/>
              </w:rPr>
              <w:t>Action Completed</w:t>
            </w:r>
          </w:p>
        </w:tc>
      </w:tr>
      <w:tr>
        <w:tc>
          <w:tcPr>
            <w:tcW w:type="dxa" w:w="5112"/>
          </w:tcPr>
          <w:p>
            <w:r/>
            <w:r>
              <w:rPr>
                <w:b/>
                <w:sz w:val="18"/>
              </w:rPr>
              <w:t>Duplicate records</w:t>
            </w:r>
          </w:p>
        </w:tc>
        <w:tc>
          <w:tcPr>
            <w:tcW w:type="dxa" w:w="5112"/>
          </w:tcPr>
          <w:p>
            <w:r/>
            <w:r>
              <w:rPr>
                <w:b w:val="0"/>
                <w:sz w:val="18"/>
              </w:rPr>
              <w:t>0 duplicate rows removed</w:t>
            </w:r>
          </w:p>
        </w:tc>
      </w:tr>
      <w:tr>
        <w:tc>
          <w:tcPr>
            <w:tcW w:type="dxa" w:w="5112"/>
          </w:tcPr>
          <w:p>
            <w:r/>
            <w:r>
              <w:rPr>
                <w:b/>
                <w:sz w:val="18"/>
              </w:rPr>
              <w:t>Missing values</w:t>
            </w:r>
          </w:p>
        </w:tc>
        <w:tc>
          <w:tcPr>
            <w:tcW w:type="dxa" w:w="5112"/>
          </w:tcPr>
          <w:p>
            <w:r/>
            <w:r>
              <w:rPr>
                <w:b w:val="0"/>
                <w:sz w:val="18"/>
              </w:rPr>
              <w:t>63 missing values detected before cleaning</w:t>
            </w:r>
          </w:p>
        </w:tc>
      </w:tr>
      <w:tr>
        <w:tc>
          <w:tcPr>
            <w:tcW w:type="dxa" w:w="5112"/>
          </w:tcPr>
          <w:p>
            <w:r/>
            <w:r>
              <w:rPr>
                <w:b/>
                <w:sz w:val="18"/>
              </w:rPr>
              <w:t>Product Base Margin</w:t>
            </w:r>
          </w:p>
        </w:tc>
        <w:tc>
          <w:tcPr>
            <w:tcW w:type="dxa" w:w="5112"/>
          </w:tcPr>
          <w:p>
            <w:r/>
            <w:r>
              <w:rPr>
                <w:b w:val="0"/>
                <w:sz w:val="18"/>
              </w:rPr>
              <w:t>63 blanks filled using median value 0.52</w:t>
            </w:r>
          </w:p>
        </w:tc>
      </w:tr>
      <w:tr>
        <w:tc>
          <w:tcPr>
            <w:tcW w:type="dxa" w:w="5112"/>
          </w:tcPr>
          <w:p>
            <w:r/>
            <w:r>
              <w:rPr>
                <w:b/>
                <w:sz w:val="18"/>
              </w:rPr>
              <w:t>Date formatting</w:t>
            </w:r>
          </w:p>
        </w:tc>
        <w:tc>
          <w:tcPr>
            <w:tcW w:type="dxa" w:w="5112"/>
          </w:tcPr>
          <w:p>
            <w:r/>
            <w:r>
              <w:rPr>
                <w:b w:val="0"/>
                <w:sz w:val="18"/>
              </w:rPr>
              <w:t>Order Date and Ship Date converted to yyyy-mm-dd format</w:t>
            </w:r>
          </w:p>
        </w:tc>
      </w:tr>
      <w:tr>
        <w:tc>
          <w:tcPr>
            <w:tcW w:type="dxa" w:w="5112"/>
          </w:tcPr>
          <w:p>
            <w:r/>
            <w:r>
              <w:rPr>
                <w:b/>
                <w:sz w:val="18"/>
              </w:rPr>
              <w:t>Numeric formatting</w:t>
            </w:r>
          </w:p>
        </w:tc>
        <w:tc>
          <w:tcPr>
            <w:tcW w:type="dxa" w:w="5112"/>
          </w:tcPr>
          <w:p>
            <w:r/>
            <w:r>
              <w:rPr>
                <w:b w:val="0"/>
                <w:sz w:val="18"/>
              </w:rPr>
              <w:t>Sales, Profit, Discount, Shipping Cost, Unit Price, and Product Base Margin formatted correctly</w:t>
            </w:r>
          </w:p>
        </w:tc>
      </w:tr>
      <w:tr>
        <w:tc>
          <w:tcPr>
            <w:tcW w:type="dxa" w:w="5112"/>
          </w:tcPr>
          <w:p>
            <w:r/>
            <w:r>
              <w:rPr>
                <w:b/>
                <w:sz w:val="18"/>
              </w:rPr>
              <w:t>Column names</w:t>
            </w:r>
          </w:p>
        </w:tc>
        <w:tc>
          <w:tcPr>
            <w:tcW w:type="dxa" w:w="5112"/>
          </w:tcPr>
          <w:p>
            <w:r/>
            <w:r>
              <w:rPr>
                <w:b w:val="0"/>
                <w:sz w:val="18"/>
              </w:rPr>
              <w:t>Column names standardized for consistency and readability</w:t>
            </w:r>
          </w:p>
        </w:tc>
      </w:tr>
    </w:tbl>
    <w:p>
      <w:pPr>
        <w:pStyle w:val="Heading1"/>
      </w:pPr>
      <w:r>
        <w:t>4. KPI Summary</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color w:val="FFFFFF"/>
              </w:rPr>
            </w:r>
            <w:r>
              <w:rPr>
                <w:b/>
                <w:sz w:val="18"/>
              </w:rPr>
              <w:t>KPI</w:t>
            </w:r>
          </w:p>
        </w:tc>
        <w:tc>
          <w:tcPr>
            <w:tcW w:type="dxa" w:w="5112"/>
            <w:shd w:fill="1F4E78"/>
          </w:tcPr>
          <w:p>
            <w:r>
              <w:rPr>
                <w:color w:val="FFFFFF"/>
              </w:rPr>
            </w:r>
            <w:r>
              <w:rPr>
                <w:b/>
                <w:sz w:val="18"/>
              </w:rPr>
              <w:t>Value</w:t>
            </w:r>
          </w:p>
        </w:tc>
      </w:tr>
      <w:tr>
        <w:tc>
          <w:tcPr>
            <w:tcW w:type="dxa" w:w="5112"/>
          </w:tcPr>
          <w:p>
            <w:r/>
            <w:r>
              <w:rPr>
                <w:b/>
                <w:sz w:val="18"/>
              </w:rPr>
              <w:t>Total Sales</w:t>
            </w:r>
          </w:p>
        </w:tc>
        <w:tc>
          <w:tcPr>
            <w:tcW w:type="dxa" w:w="5112"/>
          </w:tcPr>
          <w:p>
            <w:r/>
            <w:r>
              <w:rPr>
                <w:b w:val="0"/>
                <w:sz w:val="18"/>
              </w:rPr>
              <w:t>$14,915,600.82</w:t>
            </w:r>
          </w:p>
        </w:tc>
      </w:tr>
      <w:tr>
        <w:tc>
          <w:tcPr>
            <w:tcW w:type="dxa" w:w="5112"/>
          </w:tcPr>
          <w:p>
            <w:r/>
            <w:r>
              <w:rPr>
                <w:b/>
                <w:sz w:val="18"/>
              </w:rPr>
              <w:t>Total Profit</w:t>
            </w:r>
          </w:p>
        </w:tc>
        <w:tc>
          <w:tcPr>
            <w:tcW w:type="dxa" w:w="5112"/>
          </w:tcPr>
          <w:p>
            <w:r/>
            <w:r>
              <w:rPr>
                <w:b w:val="0"/>
                <w:sz w:val="18"/>
              </w:rPr>
              <w:t>$1,521,767.98</w:t>
            </w:r>
          </w:p>
        </w:tc>
      </w:tr>
      <w:tr>
        <w:tc>
          <w:tcPr>
            <w:tcW w:type="dxa" w:w="5112"/>
          </w:tcPr>
          <w:p>
            <w:r/>
            <w:r>
              <w:rPr>
                <w:b/>
                <w:sz w:val="18"/>
              </w:rPr>
              <w:t>Total Orders</w:t>
            </w:r>
          </w:p>
        </w:tc>
        <w:tc>
          <w:tcPr>
            <w:tcW w:type="dxa" w:w="5112"/>
          </w:tcPr>
          <w:p>
            <w:r/>
            <w:r>
              <w:rPr>
                <w:b w:val="0"/>
                <w:sz w:val="18"/>
              </w:rPr>
              <w:t>5,496</w:t>
            </w:r>
          </w:p>
        </w:tc>
      </w:tr>
      <w:tr>
        <w:tc>
          <w:tcPr>
            <w:tcW w:type="dxa" w:w="5112"/>
          </w:tcPr>
          <w:p>
            <w:r/>
            <w:r>
              <w:rPr>
                <w:b/>
                <w:sz w:val="18"/>
              </w:rPr>
              <w:t>Average Discount</w:t>
            </w:r>
          </w:p>
        </w:tc>
        <w:tc>
          <w:tcPr>
            <w:tcW w:type="dxa" w:w="5112"/>
          </w:tcPr>
          <w:p>
            <w:r/>
            <w:r>
              <w:rPr>
                <w:b w:val="0"/>
                <w:sz w:val="18"/>
              </w:rPr>
              <w:t>4.97%</w:t>
            </w:r>
          </w:p>
        </w:tc>
      </w:tr>
      <w:tr>
        <w:tc>
          <w:tcPr>
            <w:tcW w:type="dxa" w:w="5112"/>
          </w:tcPr>
          <w:p>
            <w:r/>
            <w:r>
              <w:rPr>
                <w:b/>
                <w:sz w:val="18"/>
              </w:rPr>
              <w:t>Total Shipping Cost</w:t>
            </w:r>
          </w:p>
        </w:tc>
        <w:tc>
          <w:tcPr>
            <w:tcW w:type="dxa" w:w="5112"/>
          </w:tcPr>
          <w:p>
            <w:r/>
            <w:r>
              <w:rPr>
                <w:b w:val="0"/>
                <w:sz w:val="18"/>
              </w:rPr>
              <w:t>$107,831.04</w:t>
            </w:r>
          </w:p>
        </w:tc>
      </w:tr>
      <w:tr>
        <w:tc>
          <w:tcPr>
            <w:tcW w:type="dxa" w:w="5112"/>
          </w:tcPr>
          <w:p>
            <w:r/>
            <w:r>
              <w:rPr>
                <w:b/>
                <w:sz w:val="18"/>
              </w:rPr>
              <w:t>Profit Margin</w:t>
            </w:r>
          </w:p>
        </w:tc>
        <w:tc>
          <w:tcPr>
            <w:tcW w:type="dxa" w:w="5112"/>
          </w:tcPr>
          <w:p>
            <w:r/>
            <w:r>
              <w:rPr>
                <w:b w:val="0"/>
                <w:sz w:val="18"/>
              </w:rPr>
              <w:t>10.20%</w:t>
            </w:r>
          </w:p>
        </w:tc>
      </w:tr>
    </w:tbl>
    <w:p>
      <w:pPr>
        <w:pStyle w:val="Heading1"/>
      </w:pPr>
      <w:r>
        <w:t>5. Business Insights</w:t>
      </w:r>
    </w:p>
    <w:p>
      <w:r>
        <w:rPr>
          <w:b/>
        </w:rPr>
        <w:t>Which region generates the highest sales?</w:t>
      </w:r>
    </w:p>
    <w:p>
      <w:r>
        <w:t>West generated the highest sales with $3,597,549.28.</w:t>
      </w:r>
    </w:p>
    <w:p>
      <w:r>
        <w:rPr>
          <w:b/>
        </w:rPr>
        <w:t>Which product category is the most profitable?</w:t>
      </w:r>
    </w:p>
    <w:p>
      <w:r>
        <w:t>Technology is the most profitable category with $886,313.52 in profit.</w:t>
      </w:r>
    </w:p>
    <w:p>
      <w:r>
        <w:rPr>
          <w:b/>
        </w:rPr>
        <w:t>Which products generate the highest revenue?</w:t>
      </w:r>
    </w:p>
    <w:p>
      <w:r>
        <w:t>The top revenue product is Global Troyª Executive Leather Low-Back Tilter, generating $275,941.52.</w:t>
      </w:r>
    </w:p>
    <w:p>
      <w:r>
        <w:rPr>
          <w:b/>
        </w:rPr>
        <w:t>Which customer segment contributes the most profit?</w:t>
      </w:r>
    </w:p>
    <w:p>
      <w:r>
        <w:t>Corporate contributes the most profit with $599,746.00.</w:t>
      </w:r>
    </w:p>
    <w:p>
      <w:r>
        <w:rPr>
          <w:b/>
        </w:rPr>
        <w:t>What is the monthly sales trend?</w:t>
      </w:r>
    </w:p>
    <w:p>
      <w:r>
        <w:t>Sales fluctuate month by month, with the strongest month being 2010-09 at $463,269.22. The lowest month was 2012-08 at $183,279.71.</w:t>
      </w:r>
    </w:p>
    <w:p>
      <w:pPr>
        <w:pStyle w:val="Heading1"/>
      </w:pPr>
      <w:r>
        <w:t>6. Dashboard Visuals</w:t>
      </w:r>
    </w:p>
    <w:p>
      <w:pPr>
        <w:jc w:val="center"/>
      </w:pPr>
    </w:p>
    <w:p>
      <w:r>
        <w:drawing>
          <wp:inline xmlns:a="http://schemas.openxmlformats.org/drawingml/2006/main" xmlns:pic="http://schemas.openxmlformats.org/drawingml/2006/picture">
            <wp:extent cx="6035040" cy="3913090"/>
            <wp:docPr id="1" name="Picture 1"/>
            <wp:cNvGraphicFramePr>
              <a:graphicFrameLocks noChangeAspect="1"/>
            </wp:cNvGraphicFramePr>
            <a:graphic>
              <a:graphicData uri="http://schemas.openxmlformats.org/drawingml/2006/picture">
                <pic:pic>
                  <pic:nvPicPr>
                    <pic:cNvPr id="0" name="Retail_Sales_Dashboard_Overview.png"/>
                    <pic:cNvPicPr/>
                  </pic:nvPicPr>
                  <pic:blipFill>
                    <a:blip r:embed="rId9"/>
                    <a:stretch>
                      <a:fillRect/>
                    </a:stretch>
                  </pic:blipFill>
                  <pic:spPr>
                    <a:xfrm>
                      <a:off x="0" y="0"/>
                      <a:ext cx="6035040" cy="3913090"/>
                    </a:xfrm>
                    <a:prstGeom prst="rect"/>
                  </pic:spPr>
                </pic:pic>
              </a:graphicData>
            </a:graphic>
          </wp:inline>
        </w:drawing>
      </w:r>
    </w:p>
    <w:p>
      <w:pPr>
        <w:jc w:val="center"/>
      </w:pPr>
      <w:r>
        <w:rPr>
          <w:i/>
        </w:rPr>
        <w:t>Dashboard overview with KPIs and key charts</w:t>
      </w:r>
    </w:p>
    <w:p>
      <w:pPr>
        <w:jc w:val="center"/>
      </w:pPr>
    </w:p>
    <w:p>
      <w:r>
        <w:drawing>
          <wp:inline xmlns:a="http://schemas.openxmlformats.org/drawingml/2006/main" xmlns:pic="http://schemas.openxmlformats.org/drawingml/2006/picture">
            <wp:extent cx="6035040" cy="3132109"/>
            <wp:docPr id="2" name="Picture 2"/>
            <wp:cNvGraphicFramePr>
              <a:graphicFrameLocks noChangeAspect="1"/>
            </wp:cNvGraphicFramePr>
            <a:graphic>
              <a:graphicData uri="http://schemas.openxmlformats.org/drawingml/2006/picture">
                <pic:pic>
                  <pic:nvPicPr>
                    <pic:cNvPr id="0" name="sales_by_region.png"/>
                    <pic:cNvPicPr/>
                  </pic:nvPicPr>
                  <pic:blipFill>
                    <a:blip r:embed="rId10"/>
                    <a:stretch>
                      <a:fillRect/>
                    </a:stretch>
                  </pic:blipFill>
                  <pic:spPr>
                    <a:xfrm>
                      <a:off x="0" y="0"/>
                      <a:ext cx="6035040" cy="3132109"/>
                    </a:xfrm>
                    <a:prstGeom prst="rect"/>
                  </pic:spPr>
                </pic:pic>
              </a:graphicData>
            </a:graphic>
          </wp:inline>
        </w:drawing>
      </w:r>
    </w:p>
    <w:p>
      <w:pPr>
        <w:jc w:val="center"/>
      </w:pPr>
      <w:r>
        <w:rPr>
          <w:i/>
        </w:rPr>
        <w:t>Sales by Region</w:t>
      </w:r>
    </w:p>
    <w:p>
      <w:pPr>
        <w:jc w:val="center"/>
      </w:pPr>
    </w:p>
    <w:p>
      <w:r>
        <w:drawing>
          <wp:inline xmlns:a="http://schemas.openxmlformats.org/drawingml/2006/main" xmlns:pic="http://schemas.openxmlformats.org/drawingml/2006/picture">
            <wp:extent cx="6035040" cy="3132109"/>
            <wp:docPr id="3" name="Picture 3"/>
            <wp:cNvGraphicFramePr>
              <a:graphicFrameLocks noChangeAspect="1"/>
            </wp:cNvGraphicFramePr>
            <a:graphic>
              <a:graphicData uri="http://schemas.openxmlformats.org/drawingml/2006/picture">
                <pic:pic>
                  <pic:nvPicPr>
                    <pic:cNvPr id="0" name="profit_by_category.png"/>
                    <pic:cNvPicPr/>
                  </pic:nvPicPr>
                  <pic:blipFill>
                    <a:blip r:embed="rId11"/>
                    <a:stretch>
                      <a:fillRect/>
                    </a:stretch>
                  </pic:blipFill>
                  <pic:spPr>
                    <a:xfrm>
                      <a:off x="0" y="0"/>
                      <a:ext cx="6035040" cy="3132109"/>
                    </a:xfrm>
                    <a:prstGeom prst="rect"/>
                  </pic:spPr>
                </pic:pic>
              </a:graphicData>
            </a:graphic>
          </wp:inline>
        </w:drawing>
      </w:r>
    </w:p>
    <w:p>
      <w:pPr>
        <w:jc w:val="center"/>
      </w:pPr>
      <w:r>
        <w:rPr>
          <w:i/>
        </w:rPr>
        <w:t>Profit by Product Category</w:t>
      </w:r>
    </w:p>
    <w:p>
      <w:pPr>
        <w:jc w:val="center"/>
      </w:pPr>
    </w:p>
    <w:p>
      <w:r>
        <w:drawing>
          <wp:inline xmlns:a="http://schemas.openxmlformats.org/drawingml/2006/main" xmlns:pic="http://schemas.openxmlformats.org/drawingml/2006/picture">
            <wp:extent cx="6035040" cy="3132109"/>
            <wp:docPr id="4" name="Picture 4"/>
            <wp:cNvGraphicFramePr>
              <a:graphicFrameLocks noChangeAspect="1"/>
            </wp:cNvGraphicFramePr>
            <a:graphic>
              <a:graphicData uri="http://schemas.openxmlformats.org/drawingml/2006/picture">
                <pic:pic>
                  <pic:nvPicPr>
                    <pic:cNvPr id="0" name="top10_products.png"/>
                    <pic:cNvPicPr/>
                  </pic:nvPicPr>
                  <pic:blipFill>
                    <a:blip r:embed="rId12"/>
                    <a:stretch>
                      <a:fillRect/>
                    </a:stretch>
                  </pic:blipFill>
                  <pic:spPr>
                    <a:xfrm>
                      <a:off x="0" y="0"/>
                      <a:ext cx="6035040" cy="3132109"/>
                    </a:xfrm>
                    <a:prstGeom prst="rect"/>
                  </pic:spPr>
                </pic:pic>
              </a:graphicData>
            </a:graphic>
          </wp:inline>
        </w:drawing>
      </w:r>
    </w:p>
    <w:p>
      <w:pPr>
        <w:jc w:val="center"/>
      </w:pPr>
      <w:r>
        <w:rPr>
          <w:i/>
        </w:rPr>
        <w:t>Top 10 Products by Sales</w:t>
      </w:r>
    </w:p>
    <w:p>
      <w:pPr>
        <w:jc w:val="center"/>
      </w:pPr>
    </w:p>
    <w:p>
      <w:r>
        <w:drawing>
          <wp:inline xmlns:a="http://schemas.openxmlformats.org/drawingml/2006/main" xmlns:pic="http://schemas.openxmlformats.org/drawingml/2006/picture">
            <wp:extent cx="6035040" cy="2782140"/>
            <wp:docPr id="5" name="Picture 5"/>
            <wp:cNvGraphicFramePr>
              <a:graphicFrameLocks noChangeAspect="1"/>
            </wp:cNvGraphicFramePr>
            <a:graphic>
              <a:graphicData uri="http://schemas.openxmlformats.org/drawingml/2006/picture">
                <pic:pic>
                  <pic:nvPicPr>
                    <pic:cNvPr id="0" name="monthly_sales_trend.png"/>
                    <pic:cNvPicPr/>
                  </pic:nvPicPr>
                  <pic:blipFill>
                    <a:blip r:embed="rId13"/>
                    <a:stretch>
                      <a:fillRect/>
                    </a:stretch>
                  </pic:blipFill>
                  <pic:spPr>
                    <a:xfrm>
                      <a:off x="0" y="0"/>
                      <a:ext cx="6035040" cy="2782140"/>
                    </a:xfrm>
                    <a:prstGeom prst="rect"/>
                  </pic:spPr>
                </pic:pic>
              </a:graphicData>
            </a:graphic>
          </wp:inline>
        </w:drawing>
      </w:r>
    </w:p>
    <w:p>
      <w:pPr>
        <w:jc w:val="center"/>
      </w:pPr>
      <w:r>
        <w:rPr>
          <w:i/>
        </w:rPr>
        <w:t>Monthly Sales Trend</w:t>
      </w:r>
    </w:p>
    <w:p>
      <w:pPr>
        <w:jc w:val="center"/>
      </w:pPr>
    </w:p>
    <w:p>
      <w:r>
        <w:drawing>
          <wp:inline xmlns:a="http://schemas.openxmlformats.org/drawingml/2006/main" xmlns:pic="http://schemas.openxmlformats.org/drawingml/2006/picture">
            <wp:extent cx="6035040" cy="3132109"/>
            <wp:docPr id="6" name="Picture 6"/>
            <wp:cNvGraphicFramePr>
              <a:graphicFrameLocks noChangeAspect="1"/>
            </wp:cNvGraphicFramePr>
            <a:graphic>
              <a:graphicData uri="http://schemas.openxmlformats.org/drawingml/2006/picture">
                <pic:pic>
                  <pic:nvPicPr>
                    <pic:cNvPr id="0" name="profit_by_segment.png"/>
                    <pic:cNvPicPr/>
                  </pic:nvPicPr>
                  <pic:blipFill>
                    <a:blip r:embed="rId14"/>
                    <a:stretch>
                      <a:fillRect/>
                    </a:stretch>
                  </pic:blipFill>
                  <pic:spPr>
                    <a:xfrm>
                      <a:off x="0" y="0"/>
                      <a:ext cx="6035040" cy="3132109"/>
                    </a:xfrm>
                    <a:prstGeom prst="rect"/>
                  </pic:spPr>
                </pic:pic>
              </a:graphicData>
            </a:graphic>
          </wp:inline>
        </w:drawing>
      </w:r>
    </w:p>
    <w:p>
      <w:pPr>
        <w:jc w:val="center"/>
      </w:pPr>
      <w:r>
        <w:rPr>
          <w:i/>
        </w:rPr>
        <w:t>Profit by Customer Segment</w:t>
      </w:r>
    </w:p>
    <w:p>
      <w:pPr>
        <w:pStyle w:val="Heading1"/>
      </w:pPr>
      <w:r>
        <w:t>7. Important Details to Keep in Mind</w:t>
      </w:r>
    </w:p>
    <w:p>
      <w:pPr>
        <w:pStyle w:val="ListBullet"/>
      </w:pPr>
      <w:r>
        <w:t>Use distinct Order ID count for Total Orders because each order can contain multiple product rows.</w:t>
      </w:r>
    </w:p>
    <w:p>
      <w:pPr>
        <w:pStyle w:val="ListBullet"/>
      </w:pPr>
      <w:r>
        <w:t>Date fields must be converted before building monthly trend charts.</w:t>
      </w:r>
    </w:p>
    <w:p>
      <w:pPr>
        <w:pStyle w:val="ListBullet"/>
      </w:pPr>
      <w:r>
        <w:t>Profit should be evaluated along with sales because high sales do not always mean high profitability.</w:t>
      </w:r>
    </w:p>
    <w:p>
      <w:pPr>
        <w:pStyle w:val="ListBullet"/>
      </w:pPr>
      <w:r>
        <w:t>Discount and shipping cost can reduce profitability, so they should be monitored carefully.</w:t>
      </w:r>
    </w:p>
    <w:p>
      <w:pPr>
        <w:pStyle w:val="ListBullet"/>
      </w:pPr>
      <w:r>
        <w:t>Region and category slicers are recommended in Power BI for interactive analysis.</w:t>
      </w:r>
    </w:p>
    <w:p>
      <w:pPr>
        <w:pStyle w:val="Heading1"/>
      </w:pPr>
      <w:r>
        <w:t>8. Hurdles Faced and How They Were Solved</w:t>
      </w:r>
    </w:p>
    <w:p>
      <w:r>
        <w:rPr>
          <w:b/>
        </w:rPr>
        <w:t xml:space="preserve">Mixed date formats: </w:t>
      </w:r>
      <w:r>
        <w:t>Some dates appeared as text while others appeared as Excel serial values. The dates were converted into a consistent yyyy-mm-dd format.</w:t>
      </w:r>
    </w:p>
    <w:p>
      <w:r>
        <w:rPr>
          <w:b/>
        </w:rPr>
        <w:t xml:space="preserve">Missing Product Base Margin values: </w:t>
      </w:r>
      <w:r>
        <w:t>Blank Product Base Margin values were filled using the median value to avoid losing records.</w:t>
      </w:r>
    </w:p>
    <w:p>
      <w:r>
        <w:rPr>
          <w:b/>
        </w:rPr>
        <w:t xml:space="preserve">Multiple rows per order: </w:t>
      </w:r>
      <w:r>
        <w:t>Total Orders was calculated using distinct Order IDs rather than raw row count.</w:t>
      </w:r>
    </w:p>
    <w:p>
      <w:r>
        <w:rPr>
          <w:b/>
        </w:rPr>
        <w:t xml:space="preserve">Dashboard design clarity: </w:t>
      </w:r>
      <w:r>
        <w:t>The dashboard was organized into KPI cards first, followed by business charts for region, category, products, monthly trend, and customer segment.</w:t>
      </w:r>
    </w:p>
    <w:p>
      <w:pPr>
        <w:pStyle w:val="Heading1"/>
      </w:pPr>
      <w:r>
        <w:t>9. Recommendations</w:t>
      </w:r>
    </w:p>
    <w:p>
      <w:pPr>
        <w:pStyle w:val="ListBullet"/>
      </w:pPr>
      <w:r>
        <w:t>Focus growth strategies on the West region while investigating lower-performing regions for improvement opportunities.</w:t>
      </w:r>
    </w:p>
    <w:p>
      <w:pPr>
        <w:pStyle w:val="ListBullet"/>
      </w:pPr>
      <w:r>
        <w:t>Prioritize Technology because it delivers the strongest profit contribution.</w:t>
      </w:r>
    </w:p>
    <w:p>
      <w:pPr>
        <w:pStyle w:val="ListBullet"/>
      </w:pPr>
      <w:r>
        <w:t>Review products with high sales but low or negative profit to improve pricing, discounting, and shipping cost control.</w:t>
      </w:r>
    </w:p>
    <w:p>
      <w:pPr>
        <w:pStyle w:val="ListBullet"/>
      </w:pPr>
      <w:r>
        <w:t>Use customer segment targeting, especially for the Corporate segment, to improve profitability.</w:t>
      </w:r>
    </w:p>
    <w:p>
      <w:pPr>
        <w:pStyle w:val="ListBullet"/>
      </w:pPr>
      <w:r>
        <w:t>Monitor monthly sales trends to plan inventory, promotions, and staffing around peak demand periods.</w:t>
      </w:r>
    </w:p>
    <w:p>
      <w:pPr>
        <w:pStyle w:val="Heading1"/>
      </w:pPr>
      <w:r>
        <w:t>10. Conclusion</w:t>
      </w:r>
    </w:p>
    <w:p>
      <w:r>
        <w:t>This project successfully completed the required retail sales analysis workflow: cleaning the dataset, calculating KPIs, generating business insights, building an Excel dashboard, and preparing supporting files for Power BI dashboard creation. The final submission package is ready for internship mentor review and certificate processing.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