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2.png" ContentType="image/png"/>
  <Override PartName="/word/media/rId35.png" ContentType="image/png"/>
  <Override PartName="/word/media/rId3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2019-12-06</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in ADG between the two groups of steers; however, the most efficient animals had a lower DMI and lower RFI. The less-efficient steers had a higher population of Methanobrevibacter in their rumens during the feedlot period and tended to have greater abundances of Methanosphaera. In the rumen of the high-efficient steers, abundance of Ruminococcaceae was significantly greater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and do those changes differ between groups resulting in variance in performance levles.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3" w:name="materials-and-methods"/>
      <w:r>
        <w:t xml:space="preserve">Materials and Methods</w:t>
      </w:r>
      <w:bookmarkEnd w:id="23"/>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4">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5" w:name="data-aquisition"/>
      <w:r>
        <w:t xml:space="preserve">Data aquisition</w:t>
      </w:r>
      <w:bookmarkEnd w:id="25"/>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6" w:name="data-import-and-cleaning"/>
      <w:r>
        <w:t xml:space="preserve">Data import and cleaning</w:t>
      </w:r>
      <w:bookmarkEnd w:id="26"/>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7" w:name="results-and-discussion-full-analysis"/>
      <w:r>
        <w:t xml:space="preserve">Results and Discussion (Full Analysis)</w:t>
      </w:r>
      <w:bookmarkEnd w:id="27"/>
    </w:p>
    <w:p>
      <w:pPr>
        <w:pStyle w:val="Heading1"/>
      </w:pPr>
      <w:bookmarkStart w:id="28" w:name="animal-performance"/>
      <w:r>
        <w:t xml:space="preserve">Animal Performance</w:t>
      </w:r>
      <w:bookmarkEnd w:id="28"/>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29">
        <w:r>
          <w:rPr>
            <w:rStyle w:val="Hyperlink"/>
          </w:rPr>
          <w:t xml:space="preserve">feed:gain</w:t>
        </w:r>
      </w:hyperlink>
      <w:r>
        <w:t xml:space="preserve"> </w:t>
      </w:r>
      <w:r>
        <w:t xml:space="preserve">ratio, RFI, and subsequently using information on carcass traits such as hot carcass weights (HCW) and carcass marbling scores (Table 1). The most efficient steers (low-RFI) had a lower average DMI than did the least efficient (high-RFI). In addition, the average difference in RFI between the least and the most efficient groups was 1.85 kg DMI/day.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5, Figure 6; discussed in more detail below) was possibly related to their lower feed efficiency. Moreover, more efficient animals (low-RFI) had a lower</w:t>
      </w:r>
      <w:r>
        <w:t xml:space="preserve"> </w:t>
      </w:r>
      <w:hyperlink r:id="rId29">
        <w:r>
          <w:rPr>
            <w:rStyle w:val="Hyperlink"/>
          </w:rPr>
          <w:t xml:space="preserve">feed:gain</w:t>
        </w:r>
      </w:hyperlink>
      <w:r>
        <w:t xml:space="preserve"> </w:t>
      </w:r>
      <w:r>
        <w:t xml:space="preserve">ratio than did the lower efficiency animals (high-RFI), although this was not statistically significant. Marbling scores, HCW, and ADG were very similar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0">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1" w:name="bacterial-populations"/>
      <w:r>
        <w:t xml:space="preserve">Bacterial Populations</w:t>
      </w:r>
      <w:bookmarkEnd w:id="31"/>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2.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2.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(Figure 1, Figure 2).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by the end of the feedlot period (Figure 2); however, a similar increase occurred in the least efficient animals (high-RFI), although this increase was not as extensive (Figure 1). Additionally, there was a decrease in the abundance of Bacteroidetes in the rumen of least efficient animals during the feedlot period. Interestingly, a lower phylum with a lower abundance in the rumen, Euryarchaeota, was significantly higher in the least efficient steers (Figure 1).The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3, Figure 4). However, at the end of the feedlot period, Prevotellaceae were significantly decreased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4), whereas, in the least efficient animals, this increase was less extensive.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3.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3.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4.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4.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while the family Methanobacteriaceae decreased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and in Methanosphaera during the feedlot period (Figure 5, Figure 6). In the most efficient (low-RFI) steers however, the changes in Methanobrevibacter and Methanosphaera populations were not significant.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5.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5.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6.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6. Bacterial abundance at the genus level in ruminal samples collected at the beginning and end of the feedlot period in Low-RFI steers</w:t>
      </w:r>
    </w:p>
    <w:p>
      <w:pPr>
        <w:pStyle w:val="Heading1"/>
      </w:pPr>
      <w:bookmarkStart w:id="38" w:name="univariate-analysis-alpha-diversity"/>
      <w:r>
        <w:t xml:space="preserve">Univariate analysis: Alpha Diversity</w:t>
      </w:r>
      <w:bookmarkEnd w:id="38"/>
    </w:p>
    <w:p>
      <w:pPr>
        <w:pStyle w:val="FirstParagraph"/>
      </w:pPr>
      <w:r>
        <w:t xml:space="preserve">The number of observed OTUs increased numerically in both low and high RFI groups during the feedlot period, however, those differences were not statistically significant (Table 4). The Chao1 index was also increased in both groups of steers during the feedlot phase, especially in high-RFI steers, for which a trend compared with low-RFI steers .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at the end of the feedlot phase, whereas, no differences were observed in low-RFI steers. Faith’s Phylogenetic Diversity index measures the phylogenetic history of taxa in a sample [33], and. did not indicate differences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1"/>
      </w:pPr>
      <w:bookmarkStart w:id="39" w:name="bivariate-analysis-anova-and-linear-models"/>
      <w:r>
        <w:t xml:space="preserve">Bivariate analysis: ANOVA and Linear Models</w:t>
      </w:r>
      <w:bookmarkEnd w:id="39"/>
    </w:p>
    <w:p>
      <w:pPr>
        <w:pStyle w:val="FirstParagraph"/>
      </w:pPr>
      <w:r>
        <w:t xml:space="preserve">The changes in the abundance of phyla over the duration of the feedlot period are difficult to view in Fig. 1 and Fig.1. To take a closer look at the relation between period and RFI group, factors beginning, end, and phyla will be analyzed using a linear fit model and ANOVA.</w:t>
      </w:r>
    </w:p>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5655</w:t>
            </w:r>
          </w:p>
        </w:tc>
        <w:tc>
          <w:p>
            <w:pPr>
              <w:pStyle w:val="Compact"/>
              <w:jc w:val="center"/>
            </w:pPr>
            <w:r>
              <w:t xml:space="preserve">565.5</w:t>
            </w:r>
          </w:p>
        </w:tc>
        <w:tc>
          <w:p>
            <w:pPr>
              <w:pStyle w:val="Compact"/>
              <w:jc w:val="center"/>
            </w:pPr>
            <w:r>
              <w:t xml:space="preserve">18.02</w:t>
            </w:r>
          </w:p>
        </w:tc>
        <w:tc>
          <w:p>
            <w:pPr>
              <w:pStyle w:val="Compact"/>
              <w:jc w:val="center"/>
            </w:pPr>
            <w:r>
              <w:t xml:space="preserve">2.029e-05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345.1</w:t>
            </w:r>
          </w:p>
        </w:tc>
        <w:tc>
          <w:p>
            <w:pPr>
              <w:pStyle w:val="Compact"/>
              <w:jc w:val="center"/>
            </w:pPr>
            <w:r>
              <w:t xml:space="preserve">31.37</w:t>
            </w:r>
          </w:p>
        </w:tc>
        <w:tc>
          <w:p>
            <w:pPr>
              <w:pStyle w:val="Compact"/>
              <w:jc w:val="center"/>
            </w:pPr>
            <w:r>
              <w:t xml:space="preserve">NA</w:t>
            </w:r>
          </w:p>
        </w:tc>
        <w:tc>
          <w:p>
            <w:pPr>
              <w:pStyle w:val="Compact"/>
              <w:jc w:val="center"/>
            </w:pPr>
            <w:r>
              <w:t xml:space="preserve">NA</w:t>
            </w:r>
          </w:p>
        </w:tc>
      </w:tr>
    </w:tbl>
    <w:p>
      <w:pPr>
        <w:pStyle w:val="BodyText"/>
      </w:pPr>
      <w:r>
        <w:t xml:space="preserve">ANOVA allows us to see that there is variance between the bacterial abundance at beginning and end of the feedlot period in High-RFI steers (Table 5, Table 6). This indicates that the microbiome did experieience changes over the course of the feedlot period.</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1.591</w:t>
            </w:r>
          </w:p>
        </w:tc>
        <w:tc>
          <w:p>
            <w:pPr>
              <w:pStyle w:val="Compact"/>
              <w:jc w:val="center"/>
            </w:pPr>
            <w:r>
              <w:t xml:space="preserve">3.034</w:t>
            </w:r>
          </w:p>
        </w:tc>
        <w:tc>
          <w:p>
            <w:pPr>
              <w:pStyle w:val="Compact"/>
              <w:jc w:val="center"/>
            </w:pPr>
            <w:r>
              <w:t xml:space="preserve">0.5245</w:t>
            </w:r>
          </w:p>
        </w:tc>
        <w:tc>
          <w:p>
            <w:pPr>
              <w:pStyle w:val="Compact"/>
              <w:jc w:val="center"/>
            </w:pPr>
            <w:r>
              <w:t xml:space="preserve">0.6126</w:t>
            </w:r>
          </w:p>
        </w:tc>
      </w:tr>
      <w:tr>
        <w:tc>
          <w:p>
            <w:pPr>
              <w:pStyle w:val="Compact"/>
              <w:jc w:val="center"/>
            </w:pPr>
            <w:r>
              <w:t xml:space="preserve">End</w:t>
            </w:r>
          </w:p>
        </w:tc>
        <w:tc>
          <w:p>
            <w:pPr>
              <w:pStyle w:val="Compact"/>
              <w:jc w:val="center"/>
            </w:pPr>
            <w:r>
              <w:t xml:space="preserve">0.8251</w:t>
            </w:r>
          </w:p>
        </w:tc>
        <w:tc>
          <w:p>
            <w:pPr>
              <w:pStyle w:val="Compact"/>
              <w:jc w:val="center"/>
            </w:pPr>
            <w:r>
              <w:t xml:space="preserve">0.1526</w:t>
            </w:r>
          </w:p>
        </w:tc>
        <w:tc>
          <w:p>
            <w:pPr>
              <w:pStyle w:val="Compact"/>
              <w:jc w:val="center"/>
            </w:pPr>
            <w:r>
              <w:t xml:space="preserve">5.408</w:t>
            </w:r>
          </w:p>
        </w:tc>
        <w:tc>
          <w:p>
            <w:pPr>
              <w:pStyle w:val="Compact"/>
              <w:jc w:val="center"/>
            </w:pPr>
            <w:r>
              <w:t xml:space="preserve">0.0004286</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1.653</w:t>
            </w:r>
          </w:p>
        </w:tc>
        <w:tc>
          <w:p>
            <w:pPr>
              <w:pStyle w:val="Compact"/>
              <w:jc w:val="center"/>
            </w:pPr>
            <w:r>
              <w:t xml:space="preserve">2.745</w:t>
            </w:r>
          </w:p>
        </w:tc>
        <w:tc>
          <w:p>
            <w:pPr>
              <w:pStyle w:val="Compact"/>
              <w:jc w:val="center"/>
            </w:pPr>
            <w:r>
              <w:t xml:space="preserve">0.6022</w:t>
            </w:r>
          </w:p>
        </w:tc>
        <w:tc>
          <w:p>
            <w:pPr>
              <w:pStyle w:val="Compact"/>
              <w:jc w:val="center"/>
            </w:pPr>
            <w:r>
              <w:t xml:space="preserve">0.5619</w:t>
            </w:r>
          </w:p>
        </w:tc>
      </w:tr>
      <w:tr>
        <w:tc>
          <w:p>
            <w:pPr>
              <w:pStyle w:val="Compact"/>
              <w:jc w:val="center"/>
            </w:pPr>
            <w:r>
              <w:t xml:space="preserve">End</w:t>
            </w:r>
          </w:p>
        </w:tc>
        <w:tc>
          <w:p>
            <w:pPr>
              <w:pStyle w:val="Compact"/>
              <w:jc w:val="center"/>
            </w:pPr>
            <w:r>
              <w:t xml:space="preserve">0.818</w:t>
            </w:r>
          </w:p>
        </w:tc>
        <w:tc>
          <w:p>
            <w:pPr>
              <w:pStyle w:val="Compact"/>
              <w:jc w:val="center"/>
            </w:pPr>
            <w:r>
              <w:t xml:space="preserve">0.1412</w:t>
            </w:r>
          </w:p>
        </w:tc>
        <w:tc>
          <w:p>
            <w:pPr>
              <w:pStyle w:val="Compact"/>
              <w:jc w:val="center"/>
            </w:pPr>
            <w:r>
              <w:t xml:space="preserve">5.792</w:t>
            </w:r>
          </w:p>
        </w:tc>
        <w:tc>
          <w:p>
            <w:pPr>
              <w:pStyle w:val="Compact"/>
              <w:jc w:val="center"/>
            </w:pPr>
            <w:r>
              <w:t xml:space="preserve">0.0002622</w:t>
            </w:r>
          </w:p>
        </w:tc>
      </w:tr>
    </w:tbl>
    <w:p>
      <w:pPr>
        <w:pStyle w:val="Heading2"/>
      </w:pPr>
      <w:bookmarkStart w:id="40" w:name="summary-and-interpretation"/>
      <w:r>
        <w:t xml:space="preserve">Summary and Interpretation</w:t>
      </w:r>
      <w:bookmarkEnd w:id="40"/>
    </w:p>
    <w:p>
      <w:pPr>
        <w:pStyle w:val="FirstParagraph"/>
      </w:pPr>
      <w:r>
        <w:t xml:space="preserve">In my statistical analysis I looked at bacterial abundance verses time period. ANOVA allows us to see that there is variance between the bacterial abundance at beginning and end of the feedlot period in High-RFI steers and Low-RFI steers (Table 6, Table 7). This indicates that the microbiome did experieience changes over the course of the feedlot period. In my supplemental materials file I also looked at the correlation bewteen factors, we can see that there is a high positive correlation between the change from the beginning of the feedlot period to the end of the feeddlot period for phyla in each group. Therefore the correlation between them will be closer to 1, as shown to be .88 in this analysis. The shifts in the microbiome differ between the RFI groups, which is indictive that microbial composition can effect animal performance.</w:t>
      </w:r>
    </w:p>
    <w:p>
      <w:pPr>
        <w:pStyle w:val="Heading2"/>
      </w:pPr>
      <w:bookmarkStart w:id="41" w:name="strengths-and-limitations"/>
      <w:r>
        <w:t xml:space="preserve">Strengths and Limitations</w:t>
      </w:r>
      <w:bookmarkEnd w:id="41"/>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42" w:name="conclusions"/>
      <w:r>
        <w:t xml:space="preserve">Conclusions</w:t>
      </w:r>
      <w:bookmarkEnd w:id="42"/>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(low-RFI),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43" w:name="references"/>
      <w:r>
        <w:t xml:space="preserve">References</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24"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24"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2019-12-06T05:01:24Z</dcterms:created>
  <dcterms:modified xsi:type="dcterms:W3CDTF">2019-12-06T05:01:24Z</dcterms:modified>
</cp:coreProperties>
</file>