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Nomic Platform</w:t>
      </w:r>
    </w:p>
    <w:p>
      <w:pPr>
        <w:spacing w:after="220"/>
      </w:pPr>
      <w:r>
        <w:rPr>
          <w:sz w:val="26"/>
          <w:szCs w:val="26"/>
        </w:rPr>
        <w:t xml:space="preserve">Evaluation &amp; Feedback Report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Nithin Reddy Nagapur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6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Hands-on evaluation of Assistant mode, Workflow mode, and the Platform API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 cases tested</w:t>
            </w:r>
          </w:p>
        </w:tc>
        <w:tc>
          <w:tcPr>
            <w:tcW w:type="dxa" w:w="6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Equipment extraction from mechanical drawings; code-compliance review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July 1, 2026</w:t>
            </w:r>
          </w:p>
        </w:tc>
      </w:tr>
    </w:tbl>
    <w:p>
      <w:pPr>
        <w:pStyle w:val="Heading1"/>
      </w:pPr>
      <w:r>
        <w:t xml:space="preserve">1. Overall Impression</w:t>
      </w:r>
    </w:p>
    <w:p>
      <w:pPr>
        <w:spacing w:after="140" w:line="276"/>
      </w:pPr>
      <w:r>
        <w:rPr>
          <w:b/>
          <w:bCs/>
        </w:rPr>
        <w:t xml:space="preserve">This is a fantastic platform. </w:t>
      </w:r>
      <w:r>
        <w:t xml:space="preserve">Across every mode we tested, the capabilities worked as intended and delivered genuinely strong results. The document understanding, the domain-specific reasoning over mechanical drawings, the citation-backed code search, and the structured extraction are all impressive and well-executed. The interface is polished and the workflow builder is intuitive. The feedback below is offered in that spirit — the product is very good, and these notes are refinements that would make it excellent for our use cases.</w:t>
      </w:r>
    </w:p>
    <w:p>
      <w:pPr>
        <w:pStyle w:val="Heading1"/>
      </w:pPr>
      <w:r>
        <w:t xml:space="preserve">2. What We Tested</w:t>
      </w:r>
    </w:p>
    <w:p>
      <w:pPr>
        <w:spacing w:after="140" w:line="276"/>
      </w:pPr>
      <w:r>
        <w:t xml:space="preserve">We evaluated the platform across three modes, plus image handling and a code-compliance use case: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Assistant mode </w:t>
      </w:r>
      <w:r>
        <w:t xml:space="preserve">— interactive extraction and analysis over uploaded drawings.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Workflow mode </w:t>
      </w:r>
      <w:r>
        <w:t xml:space="preserve">— a custom “Energy Equipment Extraction” workflow producing structured (JSON) output.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Platform API </w:t>
      </w:r>
      <w:r>
        <w:t xml:space="preserve">— Parse and Agent methods, run programmatically across multiple documents.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Code compliance </w:t>
      </w:r>
      <w:r>
        <w:t xml:space="preserve">— code-search-backed review of a drawing against New York State fire code.</w:t>
      </w:r>
    </w:p>
    <w:p>
      <w:pPr>
        <w:spacing w:after="140" w:line="276"/>
      </w:pPr>
      <w:r>
        <w:t xml:space="preserve">Overall verdict: the platform performs well. Extraction accuracy on clean documents is high, absence of equipment is reported honestly rather than fabricated, and the code-search results are citation-backed and traceable to source documents. The items below are the specific frictions and feature requests we encountered.</w:t>
      </w:r>
    </w:p>
    <w:p>
      <w:pPr>
        <w:pStyle w:val="Heading1"/>
      </w:pPr>
      <w:r>
        <w:t xml:space="preserve">3. Feedback &amp; Feature Requests</w:t>
      </w:r>
    </w:p>
    <w:p>
      <w:pPr>
        <w:pStyle w:val="Heading2"/>
      </w:pPr>
      <w:r>
        <w:t xml:space="preserve">3.1  Assistant mode — output scroll behavior</w:t>
      </w:r>
    </w:p>
    <w:p>
      <w:pPr>
        <w:spacing w:after="140" w:line="276"/>
      </w:pPr>
      <w:r>
        <w:t xml:space="preserve">While the assistant is streaming a response, the view scrolls </w:t>
      </w:r>
      <w:r>
        <w:rPr>
          <w:b/>
          <w:bCs/>
        </w:rPr>
        <w:t xml:space="preserve">upward</w:t>
      </w:r>
      <w:r>
        <w:t xml:space="preserve">, so the streaming tokens and the reasoning steps move out of view and earlier prompts/outputs are shown instead. We have to manually scroll back down to watch the reasoning as it happens. Once the output completes, the final view is fine. </w:t>
      </w:r>
      <w:r>
        <w:rPr>
          <w:b/>
          <w:bCs/>
        </w:rPr>
        <w:t xml:space="preserve">Request: </w:t>
      </w:r>
      <w:r>
        <w:t xml:space="preserve">keep the viewport pinned to the live streaming output (auto-scroll to follow the newest tokens) so the reasoning process is visible as it generates.</w:t>
      </w:r>
    </w:p>
    <w:p>
      <w:pPr>
        <w:pStyle w:val="Heading2"/>
      </w:pPr>
      <w:r>
        <w:t xml:space="preserve">3.2  Artifact export — columns truncated in PDF / Word</w:t>
      </w:r>
    </w:p>
    <w:p>
      <w:pPr>
        <w:spacing w:after="140" w:line="276"/>
      </w:pPr>
      <w:r>
        <w:t xml:space="preserve">Exporting an artifact to Markdown works well. However, exporting to </w:t>
      </w:r>
      <w:r>
        <w:rPr>
          <w:b/>
          <w:bCs/>
        </w:rPr>
        <w:t xml:space="preserve">PDF or Word truncates wide tables</w:t>
      </w:r>
      <w:r>
        <w:t xml:space="preserve"> — a table with, say, ten columns renders only the first four or five, and the remaining columns are lost off the page. </w:t>
      </w:r>
      <w:r>
        <w:rPr>
          <w:b/>
          <w:bCs/>
        </w:rPr>
        <w:t xml:space="preserve">Request: </w:t>
      </w:r>
      <w:r>
        <w:t xml:space="preserve">preserve all columns on export (e.g., auto-fit, scale-to-fit, landscape, or column wrapping) so no data is dropped when exporting wide tables to PDF or Word.</w:t>
      </w:r>
    </w:p>
    <w:p>
      <w:pPr>
        <w:pStyle w:val="Heading2"/>
      </w:pPr>
      <w:r>
        <w:t xml:space="preserve">3.3  Workflow mode — allow true JSON / text artifact output</w:t>
      </w:r>
    </w:p>
    <w:p>
      <w:pPr>
        <w:spacing w:after="140" w:line="276"/>
      </w:pPr>
      <w:r>
        <w:t xml:space="preserve">Our workflow is designed to produce JSON. The output arrives as valid JSON </w:t>
      </w:r>
      <w:r>
        <w:rPr>
          <w:i/>
          <w:iCs/>
        </w:rPr>
        <w:t xml:space="preserve">content</w:t>
      </w:r>
      <w:r>
        <w:t xml:space="preserve">, but it is delivered inside a </w:t>
      </w:r>
      <w:r>
        <w:rPr>
          <w:b/>
          <w:bCs/>
        </w:rPr>
        <w:t xml:space="preserve">Markdown-document artifact (a string)</w:t>
      </w:r>
      <w:r>
        <w:t xml:space="preserve">, not as a JSON or text file. Because the artifact is treated as plain text, there is no server-side validation that the string is well-formed JSON — and in one run the JSON came back structurally invalid (an array closed early) yet was still saved and served successfully. </w:t>
      </w:r>
      <w:r>
        <w:rPr>
          <w:b/>
          <w:bCs/>
        </w:rPr>
        <w:t xml:space="preserve">Request: </w:t>
      </w:r>
      <w:r>
        <w:t xml:space="preserve">let the workflow output the file type the user specifies (e.g., a .json or .txt artifact), ideally with JSON validation when JSON is requested. This would let us consume the output directly without repair logic.</w:t>
      </w:r>
    </w:p>
    <w:p>
      <w:pPr>
        <w:pStyle w:val="Heading2"/>
      </w:pPr>
      <w:r>
        <w:t xml:space="preserve">3.4  Image input — auto-convert images to PDF</w:t>
      </w:r>
    </w:p>
    <w:p>
      <w:pPr>
        <w:spacing w:after="140" w:line="276"/>
      </w:pPr>
      <w:r>
        <w:t xml:space="preserve">This was consistent across Assistant mode, Workflow mode, and the API: uploading an </w:t>
      </w:r>
      <w:r>
        <w:rPr>
          <w:b/>
          <w:bCs/>
        </w:rPr>
        <w:t xml:space="preserve">image (PNG/JPG) is accepted, but the visual-analysis tools cannot render or read it</w:t>
      </w:r>
      <w:r>
        <w:t xml:space="preserve"> — they support PDF only. We confirmed this with a clean A/B test: the identical drawing and prompt returned “I cannot see the drawing” as a PNG, and a full, correct visual review as a PDF. For our product we offer a drag-and-drop that must accept any file (PDF, image, sketch, photo). </w:t>
      </w:r>
      <w:r>
        <w:rPr>
          <w:b/>
          <w:bCs/>
        </w:rPr>
        <w:t xml:space="preserve">Request: </w:t>
      </w:r>
      <w:r>
        <w:t xml:space="preserve">detect image uploads and convert them to PDF automatically (server-side, or client-side on upload) so images flow into the same analysis path as PDFs, transparently to the user.</w:t>
      </w:r>
    </w:p>
    <w:p>
      <w:pPr>
        <w:pStyle w:val="Heading2"/>
      </w:pPr>
      <w:r>
        <w:t xml:space="preserve">3.5  Context / token consumption on small inputs</w:t>
      </w:r>
    </w:p>
    <w:p>
      <w:pPr>
        <w:spacing w:after="140" w:line="276"/>
      </w:pPr>
      <w:r>
        <w:t xml:space="preserve">Even a </w:t>
      </w:r>
      <w:r>
        <w:rPr>
          <w:b/>
          <w:bCs/>
        </w:rPr>
        <w:t xml:space="preserve">simple image plus a short prompt consumed ~55,000 tokens on the very first run</w:t>
      </w:r>
      <w:r>
        <w:t xml:space="preserve">. That is high for a minimal input and worth understanding — it may be driven by tool/context setup. We also have not yet been able to test </w:t>
      </w:r>
      <w:r>
        <w:rPr>
          <w:b/>
          <w:bCs/>
        </w:rPr>
        <w:t xml:space="preserve">what happens once a session crosses the ~200,000-token context window</w:t>
      </w:r>
      <w:r>
        <w:t xml:space="preserve"> — whether it compacts/summarizes and continues gracefully, or fails. We did not have a configuration to exercise this, so it remains untested. </w:t>
      </w:r>
      <w:r>
        <w:rPr>
          <w:b/>
          <w:bCs/>
        </w:rPr>
        <w:t xml:space="preserve">Request: </w:t>
      </w:r>
      <w:r>
        <w:t xml:space="preserve">guidance on baseline token overhead per run, and confirmation of context-window behavior (compaction/continuation) at the limit.</w:t>
      </w:r>
    </w:p>
    <w:p>
      <w:pPr>
        <w:pStyle w:val="Heading2"/>
      </w:pPr>
      <w:r>
        <w:t xml:space="preserve">3.6  MCP server for deployment</w:t>
      </w:r>
    </w:p>
    <w:p>
      <w:pPr>
        <w:spacing w:after="140" w:line="276"/>
      </w:pPr>
      <w:r>
        <w:t xml:space="preserve">For integrating Nomic into our own applications, we would value an </w:t>
      </w:r>
      <w:r>
        <w:rPr>
          <w:b/>
          <w:bCs/>
        </w:rPr>
        <w:t xml:space="preserve">MCP server</w:t>
      </w:r>
      <w:r>
        <w:t xml:space="preserve"> we could deploy against. If it is not available on our current instance, this is noted as a forward-looking request rather than a defect.</w:t>
      </w:r>
    </w:p>
    <w:p>
      <w:pPr>
        <w:pStyle w:val="Heading1"/>
      </w:pPr>
      <w:r>
        <w:t xml:space="preserve">4. Feedback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700"/>
        <w:gridCol w:w="1900"/>
      </w:tblGrid>
      <w:tr>
        <w:trPr>
          <w:tblHeader/>
        </w:trP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4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3.1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Assistant mode</w:t>
            </w:r>
          </w:p>
        </w:tc>
        <w:tc>
          <w:tcPr>
            <w:tcW w:type="dxa" w:w="4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View scrolls up during streaming; reasoning not visible live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UX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Artifact export</w:t>
            </w:r>
          </w:p>
        </w:tc>
        <w:tc>
          <w:tcPr>
            <w:tcW w:type="dxa" w:w="4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Wide tables truncated in PDF/Word export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Bug / UX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mode</w:t>
            </w:r>
          </w:p>
        </w:tc>
        <w:tc>
          <w:tcPr>
            <w:tcW w:type="dxa" w:w="4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Allow true JSON/text artifact output with validation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Feature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3.4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Image input</w:t>
            </w:r>
          </w:p>
        </w:tc>
        <w:tc>
          <w:tcPr>
            <w:tcW w:type="dxa" w:w="4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Auto-convert images to PDF for visual analysis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Feature / blocker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3.5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Context / tokens</w:t>
            </w:r>
          </w:p>
        </w:tc>
        <w:tc>
          <w:tcPr>
            <w:tcW w:type="dxa" w:w="4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High baseline token use; context-limit behavior untested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Question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3.6</w:t>
            </w:r>
          </w:p>
        </w:tc>
        <w:tc>
          <w:tcPr>
            <w:tcW w:type="dxa" w:w="2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4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MCP server for application integration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Feature request</w:t>
            </w:r>
          </w:p>
        </w:tc>
      </w:tr>
    </w:tbl>
    <w:p>
      <w:pPr>
        <w:pStyle w:val="Heading1"/>
      </w:pPr>
      <w:r>
        <w:t xml:space="preserve">5. Closing</w:t>
      </w:r>
    </w:p>
    <w:p>
      <w:pPr>
        <w:spacing w:after="140" w:line="276"/>
      </w:pPr>
      <w:r>
        <w:rPr>
          <w:b/>
          <w:bCs/>
        </w:rPr>
        <w:t xml:space="preserve">To reiterate: the platform is impressive and works as intended across the modes we tested. </w:t>
      </w:r>
      <w:r>
        <w:t xml:space="preserve">The items above are refinements and requests, not blockers to the core value we saw. We are keen to continue and would welcome discussion on the image-to-PDF handling, JSON artifact output, and MCP availability, as those most directly affect how we would integrate Nomic into our applications.</w:t>
      </w:r>
    </w:p>
    <w:p>
      <w:pPr>
        <w:spacing w:after="140" w:line="276"/>
      </w:pPr>
      <w:r>
        <w:rPr>
          <w:i/>
          <w:iCs/>
          <w:sz w:val="19"/>
          <w:szCs w:val="19"/>
        </w:rPr>
        <w:t xml:space="preserve">Note: specific source drawings and extracted outputs are omitted from this document by design; we are not sharing the underlying PDFs. Examples can be walked through live if useful.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— Internal / JCI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jc w:val="right"/>
    </w:pPr>
    <w:r>
      <w:rPr>
        <w:color w:val="000000"/>
        <w:sz w:val="16"/>
        <w:szCs w:val="16"/>
      </w:rPr>
      <w:t xml:space="preserve">Nomic Platform — Evaluation &amp; Feedback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3"/>
      </w:pBdr>
      <w:spacing w:after="140" w:before="300"/>
    </w:pPr>
    <w:rPr>
      <w:rFonts w:ascii="Calibri" w:cs="Calibri" w:eastAsia="Calibri" w:hAnsi="Calibri"/>
      <w:b/>
      <w:bCs/>
      <w:color w:val="000000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