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B5FA0"/>
          <w:sz w:val="18"/>
        </w:rPr>
        <w:t>JOHNSON CONTROLS · LIVING SPACES</w:t>
      </w:r>
    </w:p>
    <w:p>
      <w:pPr>
        <w:pStyle w:val="Heading1"/>
        <w:spacing w:after="80"/>
      </w:pPr>
      <w:r>
        <w:rPr>
          <w:b w:val="0"/>
          <w:i w:val="0"/>
        </w:rPr>
        <w:t>Affordable-Housing Targeting Data: The Requests and What We Delivered</w:t>
      </w:r>
    </w:p>
    <w:p>
      <w:pPr>
        <w:spacing w:after="200"/>
      </w:pPr>
      <w:r>
        <w:rPr>
          <w:b w:val="0"/>
          <w:i/>
          <w:color w:val="55606B"/>
        </w:rPr>
        <w:t>Each request as it came in, and what went back for it.</w:t>
      </w:r>
    </w:p>
    <w:tbl>
      <w:tblPr>
        <w:tblStyle w:val="LightGrid-Accent1"/>
        <w:tblW w:type="auto" w:w="0"/>
        <w:jc w:val="left"/>
        <w:tblLook w:firstColumn="1" w:firstRow="1" w:lastColumn="0" w:lastRow="0" w:noHBand="0" w:noVBand="1" w:val="04A0"/>
      </w:tblPr>
      <w:tblGrid>
        <w:gridCol w:w="4824"/>
        <w:gridCol w:w="4824"/>
      </w:tblGrid>
      <w:tr>
        <w:tc>
          <w:tcPr>
            <w:tcW w:type="dxa" w:w="2160"/>
          </w:tcPr>
          <w:p>
            <w:r/>
            <w:r>
              <w:rPr>
                <w:b/>
                <w:sz w:val="19"/>
              </w:rPr>
              <w:t>Field</w:t>
            </w:r>
          </w:p>
        </w:tc>
        <w:tc>
          <w:tcPr>
            <w:tcW w:type="dxa" w:w="7488"/>
          </w:tcPr>
          <w:p>
            <w:r/>
            <w:r>
              <w:rPr>
                <w:b/>
                <w:sz w:val="19"/>
              </w:rPr>
              <w:t>Value</w:t>
            </w:r>
          </w:p>
        </w:tc>
      </w:tr>
      <w:tr>
        <w:tc>
          <w:tcPr>
            <w:tcW w:type="dxa" w:w="2160"/>
          </w:tcPr>
          <w:p>
            <w:r/>
            <w:r>
              <w:rPr>
                <w:sz w:val="19"/>
              </w:rPr>
              <w:t>Client</w:t>
            </w:r>
          </w:p>
        </w:tc>
        <w:tc>
          <w:tcPr>
            <w:tcW w:type="dxa" w:w="7488"/>
          </w:tcPr>
          <w:p>
            <w:r/>
            <w:r>
              <w:rPr>
                <w:sz w:val="19"/>
              </w:rPr>
              <w:t>Johnson Controls (JCI) — Living Spaces</w:t>
            </w:r>
          </w:p>
        </w:tc>
      </w:tr>
      <w:tr>
        <w:tc>
          <w:tcPr>
            <w:tcW w:type="dxa" w:w="2160"/>
          </w:tcPr>
          <w:p>
            <w:r/>
            <w:r>
              <w:rPr>
                <w:sz w:val="19"/>
              </w:rPr>
              <w:t>Requester</w:t>
            </w:r>
          </w:p>
        </w:tc>
        <w:tc>
          <w:tcPr>
            <w:tcW w:type="dxa" w:w="7488"/>
          </w:tcPr>
          <w:p>
            <w:r/>
            <w:r>
              <w:rPr>
                <w:sz w:val="19"/>
              </w:rPr>
              <w:t>Mary Fox</w:t>
            </w:r>
          </w:p>
        </w:tc>
      </w:tr>
      <w:tr>
        <w:tc>
          <w:tcPr>
            <w:tcW w:type="dxa" w:w="2160"/>
          </w:tcPr>
          <w:p>
            <w:r/>
            <w:r>
              <w:rPr>
                <w:sz w:val="19"/>
              </w:rPr>
              <w:t>Built by</w:t>
            </w:r>
          </w:p>
        </w:tc>
        <w:tc>
          <w:tcPr>
            <w:tcW w:type="dxa" w:w="7488"/>
          </w:tcPr>
          <w:p>
            <w:r/>
            <w:r>
              <w:rPr>
                <w:sz w:val="19"/>
              </w:rPr>
              <w:t>Nithin Nagapur</w:t>
            </w:r>
          </w:p>
        </w:tc>
      </w:tr>
      <w:tr>
        <w:tc>
          <w:tcPr>
            <w:tcW w:type="dxa" w:w="2160"/>
          </w:tcPr>
          <w:p>
            <w:r/>
            <w:r>
              <w:rPr>
                <w:sz w:val="19"/>
              </w:rPr>
              <w:t>Also contributing</w:t>
            </w:r>
          </w:p>
        </w:tc>
        <w:tc>
          <w:tcPr>
            <w:tcW w:type="dxa" w:w="7488"/>
          </w:tcPr>
          <w:p>
            <w:r/>
            <w:r>
              <w:rPr>
                <w:sz w:val="19"/>
              </w:rPr>
              <w:t>Venkat (filtered target list)</w:t>
            </w:r>
          </w:p>
        </w:tc>
      </w:tr>
      <w:tr>
        <w:tc>
          <w:tcPr>
            <w:tcW w:type="dxa" w:w="2160"/>
          </w:tcPr>
          <w:p>
            <w:r/>
            <w:r>
              <w:rPr>
                <w:sz w:val="19"/>
              </w:rPr>
              <w:t>Data sources</w:t>
            </w:r>
          </w:p>
        </w:tc>
        <w:tc>
          <w:tcPr>
            <w:tcW w:type="dxa" w:w="7488"/>
          </w:tcPr>
          <w:p>
            <w:r/>
            <w:r>
              <w:rPr>
                <w:sz w:val="19"/>
              </w:rPr>
              <w:t>HUD LIHTC database · HUD PHA contact reports · HUD RAD rents · National Housing Preservation Database (NHPD)</w:t>
            </w:r>
          </w:p>
        </w:tc>
      </w:tr>
      <w:tr>
        <w:tc>
          <w:tcPr>
            <w:tcW w:type="dxa" w:w="2160"/>
          </w:tcPr>
          <w:p>
            <w:r/>
            <w:r>
              <w:rPr>
                <w:sz w:val="19"/>
              </w:rPr>
              <w:t>Period</w:t>
            </w:r>
          </w:p>
        </w:tc>
        <w:tc>
          <w:tcPr>
            <w:tcW w:type="dxa" w:w="7488"/>
          </w:tcPr>
          <w:p>
            <w:r/>
            <w:r>
              <w:rPr>
                <w:sz w:val="19"/>
              </w:rPr>
              <w:t>June 2026 – August 2026</w:t>
            </w:r>
          </w:p>
        </w:tc>
      </w:tr>
      <w:tr>
        <w:tc>
          <w:tcPr>
            <w:tcW w:type="dxa" w:w="2160"/>
          </w:tcPr>
          <w:p>
            <w:r/>
            <w:r>
              <w:rPr>
                <w:sz w:val="19"/>
              </w:rPr>
              <w:t>Document date</w:t>
            </w:r>
          </w:p>
        </w:tc>
        <w:tc>
          <w:tcPr>
            <w:tcW w:type="dxa" w:w="7488"/>
          </w:tcPr>
          <w:p>
            <w:r/>
            <w:r>
              <w:rPr>
                <w:sz w:val="19"/>
              </w:rPr>
              <w:t>9 September 2026</w:t>
            </w:r>
          </w:p>
        </w:tc>
      </w:tr>
    </w:tbl>
    <w:p>
      <w:pPr>
        <w:spacing w:after="40"/>
      </w:pPr>
    </w:p>
    <w:p>
      <w:r>
        <w:rPr>
          <w:b w:val="0"/>
          <w:i w:val="0"/>
        </w:rPr>
        <w:t>Six requests came in over roughly three months. They arrived separately, and each one added a piece the previous one was missing — starting with a list of projects and ending with a tool a sales rep can search on their own.</w:t>
      </w:r>
    </w:p>
    <w:p>
      <w:pPr>
        <w:pStyle w:val="Heading1"/>
      </w:pPr>
      <w:r>
        <w:rPr>
          <w:b w:val="0"/>
          <w:i w:val="0"/>
        </w:rPr>
        <w:t>Request 1 — The LIHTC Excel file</w:t>
      </w:r>
    </w:p>
    <w:p>
      <w:pPr>
        <w:pStyle w:val="Heading3"/>
      </w:pPr>
      <w:r>
        <w:rPr>
          <w:b w:val="0"/>
          <w:i w:val="0"/>
        </w:rPr>
        <w:t>What we received</w:t>
      </w:r>
    </w:p>
    <w:p>
      <w:r>
        <w:rPr>
          <w:b w:val="0"/>
          <w:i w:val="0"/>
        </w:rPr>
        <w:t>Mary sent an Excel workbook built on HUD's LIHTC database. The main tab holds roughly 50,000 affordable-housing projects nationwide, with project name, address, unit counts, year placed in service, and percentage of low-income units. The ask was to narrow it down to a usable target list using set criteria — state, year range, minimum units, minimum percentage low-income, and exclusions for resyndications and inactive projects.</w:t>
      </w:r>
    </w:p>
    <w:p>
      <w:pPr>
        <w:pStyle w:val="Heading3"/>
      </w:pPr>
      <w:r>
        <w:rPr>
          <w:b w:val="0"/>
          <w:i w:val="0"/>
        </w:rPr>
        <w:t>What was missing from it</w:t>
      </w:r>
    </w:p>
    <w:p>
      <w:r>
        <w:rPr>
          <w:b w:val="0"/>
        </w:rPr>
        <w:t xml:space="preserve">The file tells you </w:t>
      </w:r>
      <w:r>
        <w:rPr>
          <w:b/>
        </w:rPr>
        <w:t>which projects exist. It does not tell you who owns them.</w:t>
      </w:r>
      <w:r>
        <w:rPr>
          <w:b w:val="0"/>
        </w:rPr>
        <w:t xml:space="preserve"> There is no owner name in it, no owner type, and no contact details of any kind. A sales team cannot call a project — it calls the owner. So however well the list was filtered, on its own it was not something anyone could sell from. That gap is what drove most of the work that followed.</w:t>
      </w:r>
    </w:p>
    <w:p>
      <w:pPr>
        <w:pStyle w:val="Heading3"/>
      </w:pPr>
      <w:r>
        <w:rPr>
          <w:b w:val="0"/>
          <w:i w:val="0"/>
        </w:rPr>
        <w:t>What Venkat built</w:t>
      </w:r>
    </w:p>
    <w:p>
      <w:r>
        <w:rPr>
          <w:b w:val="0"/>
          <w:i w:val="0"/>
        </w:rPr>
        <w:t>A tab that reads the full 50,000-project master and automatically pulls out only the projects matching the chosen criteria, sorted and ranked — the "Year 15 Preservation Candidates" shortlist, 180 projects. It re-filters itself: change a parameter and the list re-derives rather than needing to be rebuilt by hand.</w:t>
      </w:r>
    </w:p>
    <w:p>
      <w:pPr>
        <w:spacing w:after="200"/>
      </w:pPr>
      <w:r>
        <w:rPr>
          <w:b/>
        </w:rPr>
        <w:t xml:space="preserve">Delivered: </w:t>
      </w:r>
      <w:r>
        <w:rPr>
          <w:b w:val="0"/>
        </w:rPr>
        <w:t>the filtered shortlist, carried through as the LIHTC_Targets sheet in the final workbook.</w:t>
      </w:r>
    </w:p>
    <w:p>
      <w:pPr>
        <w:pStyle w:val="Heading1"/>
      </w:pPr>
      <w:r>
        <w:rPr>
          <w:b w:val="0"/>
          <w:i w:val="0"/>
        </w:rPr>
        <w:t>Request 2 — Process the PHA contact PDFs</w:t>
      </w:r>
    </w:p>
    <w:p>
      <w:pPr>
        <w:pStyle w:val="Heading3"/>
      </w:pPr>
      <w:r>
        <w:rPr>
          <w:b w:val="0"/>
          <w:i w:val="0"/>
        </w:rPr>
        <w:t>What we received</w:t>
      </w:r>
    </w:p>
    <w:p>
      <w:r>
        <w:rPr>
          <w:b w:val="0"/>
          <w:i w:val="0"/>
        </w:rPr>
        <w:t>A link to HUD's PHA contact reports, with the ask to process them. These are the public housing authority contact lists, published as PDFs — one per state and territory, 55 files in total.</w:t>
      </w:r>
    </w:p>
    <w:p>
      <w:pPr>
        <w:pStyle w:val="Heading3"/>
      </w:pPr>
      <w:r>
        <w:rPr>
          <w:b w:val="0"/>
          <w:i w:val="0"/>
        </w:rPr>
        <w:t>What we did</w:t>
      </w:r>
    </w:p>
    <w:p>
      <w:r>
        <w:rPr>
          <w:b w:val="0"/>
          <w:i w:val="0"/>
        </w:rPr>
        <w:t>Downloaded all 55 and extracted them out of PDF into a single structured contact table keyed on PHA code, carrying each authority's name, phone, extension, email, and street address. PDFs are read-only documents; nothing can be joined or looked up against them until the content is pulled into rows and columns. This step is what later made it possible to attach a phone number and an email address to a project automatically.</w:t>
      </w:r>
    </w:p>
    <w:p>
      <w:pPr>
        <w:spacing w:after="200"/>
      </w:pPr>
      <w:r>
        <w:rPr>
          <w:b/>
        </w:rPr>
        <w:t xml:space="preserve">Delivered: </w:t>
      </w:r>
      <w:r>
        <w:rPr>
          <w:b w:val="0"/>
        </w:rPr>
        <w:t>PHA_Contacts_20260608_234445.xlsx — the structured contact table. The 55 source PDFs are kept in data/raw/.</w:t>
      </w:r>
    </w:p>
    <w:p>
      <w:pPr>
        <w:pStyle w:val="Heading1"/>
      </w:pPr>
      <w:r>
        <w:rPr>
          <w:b w:val="0"/>
          <w:i w:val="0"/>
        </w:rPr>
        <w:t>Request 3 — Extract PHA codes and size each authority</w:t>
      </w:r>
    </w:p>
    <w:p>
      <w:pPr>
        <w:pStyle w:val="Heading3"/>
      </w:pPr>
      <w:r>
        <w:rPr>
          <w:b w:val="0"/>
          <w:i w:val="0"/>
        </w:rPr>
        <w:t>What we received</w:t>
      </w:r>
    </w:p>
    <w:p>
      <w:r>
        <w:rPr>
          <w:b w:val="0"/>
          <w:i w:val="0"/>
        </w:rPr>
        <w:t>Mary sent a raw file — the RAD rents file (FY24, property level) — and asked us to pull the PHA code out of it and work out how many properties each authority holds.</w:t>
      </w:r>
    </w:p>
    <w:p>
      <w:pPr>
        <w:pStyle w:val="Heading3"/>
      </w:pPr>
      <w:r>
        <w:rPr>
          <w:b w:val="0"/>
          <w:i w:val="0"/>
        </w:rPr>
        <w:t>What we did</w:t>
      </w:r>
    </w:p>
    <w:p>
      <w:r>
        <w:rPr>
          <w:b w:val="0"/>
          <w:i w:val="0"/>
        </w:rPr>
        <w:t>Extracted the PHA code from every row, then rolled the file up to one row per housing authority, joined against the contact table from Request 2. Each authority now shows its number of public-housing properties and its total public-housing units, with its contact details attached.</w:t>
      </w:r>
    </w:p>
    <w:p>
      <w:r>
        <w:rPr>
          <w:b/>
        </w:rPr>
        <w:t xml:space="preserve">Why this matters commercially: </w:t>
      </w:r>
      <w:r>
        <w:rPr>
          <w:b w:val="0"/>
        </w:rPr>
        <w:t>it answers how big the customer is. When a target turns out to be authority-owned, you can see immediately whether the owner runs three properties or a hundred and thirty-nine — which is the difference between a small account and a major one, and it changes who makes the call.</w:t>
      </w:r>
    </w:p>
    <w:p>
      <w:pPr>
        <w:spacing w:after="200"/>
      </w:pPr>
      <w:r>
        <w:rPr>
          <w:b/>
        </w:rPr>
        <w:t xml:space="preserve">Delivered: </w:t>
      </w:r>
      <w:r>
        <w:rPr>
          <w:b w:val="0"/>
        </w:rPr>
        <w:t>PHA_Authority_Profile.xlsx — one row per housing authority, with property counts, unit counts and contacts.</w:t>
      </w:r>
    </w:p>
    <w:p>
      <w:pPr>
        <w:pStyle w:val="Heading1"/>
      </w:pPr>
      <w:r>
        <w:rPr>
          <w:b w:val="0"/>
          <w:i w:val="0"/>
        </w:rPr>
        <w:t>Request 4 — Enrich the LIHTC list with ownership (Deliverable 1)</w:t>
      </w:r>
    </w:p>
    <w:p>
      <w:pPr>
        <w:pStyle w:val="Heading3"/>
      </w:pPr>
      <w:r>
        <w:rPr>
          <w:b w:val="0"/>
          <w:i w:val="0"/>
        </w:rPr>
        <w:t>Where the data came from</w:t>
      </w:r>
    </w:p>
    <w:p>
      <w:r>
        <w:rPr>
          <w:b w:val="0"/>
        </w:rPr>
        <w:t xml:space="preserve">While exploring for a source that could fill the ownership gap from Request 1, we identified the </w:t>
      </w:r>
      <w:r>
        <w:rPr>
          <w:b/>
        </w:rPr>
        <w:t>National Housing Preservation Database (NHPD)</w:t>
      </w:r>
      <w:r>
        <w:rPr>
          <w:b w:val="0"/>
        </w:rPr>
        <w:t xml:space="preserve">, a property-level national database that carries owner name, owner type, manager, and the public-housing link for affordable properties. </w:t>
      </w:r>
      <w:r>
        <w:rPr>
          <w:b/>
        </w:rPr>
        <w:t>We acquired the NHPD dataset</w:t>
      </w:r>
      <w:r>
        <w:rPr>
          <w:b w:val="0"/>
        </w:rPr>
        <w:t xml:space="preserve"> and built the enrichment on it.</w:t>
      </w:r>
    </w:p>
    <w:p>
      <w:pPr>
        <w:pStyle w:val="Heading3"/>
      </w:pPr>
      <w:r>
        <w:rPr>
          <w:b w:val="0"/>
          <w:i w:val="0"/>
        </w:rPr>
        <w:t>Scope</w:t>
      </w:r>
    </w:p>
    <w:p>
      <w:r>
        <w:rPr>
          <w:b w:val="0"/>
        </w:rPr>
        <w:t xml:space="preserve">Enrichment was applied to the </w:t>
      </w:r>
      <w:r>
        <w:rPr>
          <w:b/>
        </w:rPr>
        <w:t>entire national LIHTC master — all 50,567 projects, unfiltered</w:t>
      </w:r>
      <w:r>
        <w:rPr>
          <w:b w:val="0"/>
        </w:rPr>
        <w:t xml:space="preserve">. Venkat's parameters were treated as a </w:t>
      </w:r>
      <w:r>
        <w:rPr>
          <w:b/>
        </w:rPr>
        <w:t>view</w:t>
      </w:r>
      <w:r>
        <w:rPr>
          <w:b w:val="0"/>
        </w:rPr>
        <w:t xml:space="preserve"> of the data, not a limit on which rows get enriched. Every row receives the new columns, and the filter sits on top as an optional toggle. This is what makes the result a reusable national asset rather than a single-state pull that has to be rebuilt for the next campaign.</w:t>
      </w:r>
    </w:p>
    <w:p>
      <w:pPr>
        <w:pStyle w:val="Heading3"/>
      </w:pPr>
      <w:r>
        <w:rPr>
          <w:b w:val="0"/>
          <w:i w:val="0"/>
        </w:rPr>
        <w:t>What was added to every project</w:t>
      </w:r>
    </w:p>
    <w:p>
      <w:r>
        <w:rPr>
          <w:b w:val="0"/>
          <w:i w:val="0"/>
        </w:rPr>
        <w:t>Owner Name · Owner Type · Manager Name · PHA Code · PHA Name · Phone · Phone Ext · Email · Street · City · State · ZIP · Total PH Units · # PH Properties</w:t>
      </w:r>
    </w:p>
    <w:p>
      <w:r>
        <w:rPr>
          <w:b w:val="0"/>
          <w:i w:val="0"/>
        </w:rPr>
        <w:t>The last two come straight from the authority profile built in Request 3 — which is where the three earlier requests come together in one row.</w:t>
      </w:r>
    </w:p>
    <w:p>
      <w:pPr>
        <w:pStyle w:val="Heading3"/>
      </w:pPr>
      <w:r>
        <w:rPr>
          <w:b w:val="0"/>
          <w:i w:val="0"/>
        </w:rPr>
        <w:t>The workbook</w:t>
      </w:r>
    </w:p>
    <w:tbl>
      <w:tblPr>
        <w:tblStyle w:val="LightGrid-Accent1"/>
        <w:tblW w:type="auto" w:w="0"/>
        <w:jc w:val="left"/>
        <w:tblLook w:firstColumn="1" w:firstRow="1" w:lastColumn="0" w:lastRow="0" w:noHBand="0" w:noVBand="1" w:val="04A0"/>
      </w:tblPr>
      <w:tblGrid>
        <w:gridCol w:w="3216"/>
        <w:gridCol w:w="3216"/>
        <w:gridCol w:w="3216"/>
      </w:tblGrid>
      <w:tr>
        <w:tc>
          <w:tcPr>
            <w:tcW w:type="dxa" w:w="1872"/>
          </w:tcPr>
          <w:p>
            <w:r/>
            <w:r>
              <w:rPr>
                <w:b/>
                <w:sz w:val="19"/>
              </w:rPr>
              <w:t>Sheet</w:t>
            </w:r>
          </w:p>
        </w:tc>
        <w:tc>
          <w:tcPr>
            <w:tcW w:type="dxa" w:w="2304"/>
          </w:tcPr>
          <w:p>
            <w:r/>
            <w:r>
              <w:rPr>
                <w:b/>
                <w:sz w:val="19"/>
              </w:rPr>
              <w:t>Size</w:t>
            </w:r>
          </w:p>
        </w:tc>
        <w:tc>
          <w:tcPr>
            <w:tcW w:type="dxa" w:w="5472"/>
          </w:tcPr>
          <w:p>
            <w:r/>
            <w:r>
              <w:rPr>
                <w:b/>
                <w:sz w:val="19"/>
              </w:rPr>
              <w:t>What it is</w:t>
            </w:r>
          </w:p>
        </w:tc>
      </w:tr>
      <w:tr>
        <w:tc>
          <w:tcPr>
            <w:tcW w:type="dxa" w:w="1872"/>
          </w:tcPr>
          <w:p>
            <w:r/>
            <w:r>
              <w:rPr>
                <w:sz w:val="19"/>
              </w:rPr>
              <w:t>LIHTC_Targets</w:t>
            </w:r>
          </w:p>
        </w:tc>
        <w:tc>
          <w:tcPr>
            <w:tcW w:type="dxa" w:w="2304"/>
          </w:tcPr>
          <w:p>
            <w:r/>
            <w:r>
              <w:rPr>
                <w:sz w:val="19"/>
              </w:rPr>
              <w:t>180 rows × 30 cols</w:t>
            </w:r>
          </w:p>
        </w:tc>
        <w:tc>
          <w:tcPr>
            <w:tcW w:type="dxa" w:w="5472"/>
          </w:tcPr>
          <w:p>
            <w:r/>
            <w:r>
              <w:rPr>
                <w:sz w:val="19"/>
              </w:rPr>
              <w:t>Venkat's filtered shortlist (Request 1)</w:t>
            </w:r>
          </w:p>
        </w:tc>
      </w:tr>
      <w:tr>
        <w:tc>
          <w:tcPr>
            <w:tcW w:type="dxa" w:w="1872"/>
          </w:tcPr>
          <w:p>
            <w:r/>
            <w:r>
              <w:rPr>
                <w:sz w:val="19"/>
              </w:rPr>
              <w:t>LIHTCPUB</w:t>
            </w:r>
          </w:p>
        </w:tc>
        <w:tc>
          <w:tcPr>
            <w:tcW w:type="dxa" w:w="2304"/>
          </w:tcPr>
          <w:p>
            <w:r/>
            <w:r>
              <w:rPr>
                <w:sz w:val="19"/>
              </w:rPr>
              <w:t>50,567 rows × 76 cols</w:t>
            </w:r>
          </w:p>
        </w:tc>
        <w:tc>
          <w:tcPr>
            <w:tcW w:type="dxa" w:w="5472"/>
          </w:tcPr>
          <w:p>
            <w:r/>
            <w:r>
              <w:rPr>
                <w:sz w:val="19"/>
              </w:rPr>
              <w:t>The complete HUD LIHTC national master, untouched</w:t>
            </w:r>
          </w:p>
        </w:tc>
      </w:tr>
      <w:tr>
        <w:tc>
          <w:tcPr>
            <w:tcW w:type="dxa" w:w="1872"/>
          </w:tcPr>
          <w:p>
            <w:r/>
            <w:r>
              <w:rPr>
                <w:sz w:val="19"/>
              </w:rPr>
              <w:t>NHPD_Enrich</w:t>
            </w:r>
          </w:p>
        </w:tc>
        <w:tc>
          <w:tcPr>
            <w:tcW w:type="dxa" w:w="2304"/>
          </w:tcPr>
          <w:p>
            <w:r/>
            <w:r>
              <w:rPr>
                <w:sz w:val="19"/>
              </w:rPr>
              <w:t>50,567 rows × 15 cols</w:t>
            </w:r>
          </w:p>
        </w:tc>
        <w:tc>
          <w:tcPr>
            <w:tcW w:type="dxa" w:w="5472"/>
          </w:tcPr>
          <w:p>
            <w:r/>
            <w:r>
              <w:rPr>
                <w:sz w:val="19"/>
              </w:rPr>
              <w:t>The ownership and contact enrichment</w:t>
            </w:r>
          </w:p>
        </w:tc>
      </w:tr>
    </w:tbl>
    <w:p>
      <w:pPr>
        <w:spacing w:after="40"/>
      </w:pPr>
    </w:p>
    <w:p>
      <w:pPr>
        <w:pStyle w:val="Heading3"/>
      </w:pPr>
      <w:r>
        <w:rPr>
          <w:b w:val="0"/>
          <w:i w:val="0"/>
        </w:rPr>
        <w:t>Results</w:t>
      </w:r>
    </w:p>
    <w:tbl>
      <w:tblPr>
        <w:tblStyle w:val="LightGrid-Accent1"/>
        <w:tblW w:type="auto" w:w="0"/>
        <w:jc w:val="left"/>
        <w:tblLook w:firstColumn="1" w:firstRow="1" w:lastColumn="0" w:lastRow="0" w:noHBand="0" w:noVBand="1" w:val="04A0"/>
      </w:tblPr>
      <w:tblGrid>
        <w:gridCol w:w="4824"/>
        <w:gridCol w:w="4824"/>
      </w:tblGrid>
      <w:tr>
        <w:tc>
          <w:tcPr>
            <w:tcW w:type="dxa" w:w="5184"/>
          </w:tcPr>
          <w:p>
            <w:r/>
            <w:r>
              <w:rPr>
                <w:b/>
                <w:sz w:val="19"/>
              </w:rPr>
              <w:t>Measure</w:t>
            </w:r>
          </w:p>
        </w:tc>
        <w:tc>
          <w:tcPr>
            <w:tcW w:type="dxa" w:w="4464"/>
          </w:tcPr>
          <w:p>
            <w:r/>
            <w:r>
              <w:rPr>
                <w:b/>
                <w:sz w:val="19"/>
              </w:rPr>
              <w:t>Result</w:t>
            </w:r>
          </w:p>
        </w:tc>
      </w:tr>
      <w:tr>
        <w:tc>
          <w:tcPr>
            <w:tcW w:type="dxa" w:w="5184"/>
          </w:tcPr>
          <w:p>
            <w:r/>
            <w:r>
              <w:rPr>
                <w:sz w:val="19"/>
              </w:rPr>
              <w:t>LIHTC projects enriched</w:t>
            </w:r>
          </w:p>
        </w:tc>
        <w:tc>
          <w:tcPr>
            <w:tcW w:type="dxa" w:w="4464"/>
          </w:tcPr>
          <w:p>
            <w:r/>
            <w:r>
              <w:rPr>
                <w:sz w:val="19"/>
              </w:rPr>
              <w:t>50,567</w:t>
            </w:r>
          </w:p>
        </w:tc>
      </w:tr>
      <w:tr>
        <w:tc>
          <w:tcPr>
            <w:tcW w:type="dxa" w:w="5184"/>
          </w:tcPr>
          <w:p>
            <w:r/>
            <w:r>
              <w:rPr>
                <w:sz w:val="19"/>
              </w:rPr>
              <w:t>Matched to owner data</w:t>
            </w:r>
          </w:p>
        </w:tc>
        <w:tc>
          <w:tcPr>
            <w:tcW w:type="dxa" w:w="4464"/>
          </w:tcPr>
          <w:p>
            <w:r/>
            <w:r>
              <w:rPr>
                <w:sz w:val="19"/>
              </w:rPr>
              <w:t>47,366  (93.7%)</w:t>
            </w:r>
          </w:p>
        </w:tc>
      </w:tr>
      <w:tr>
        <w:tc>
          <w:tcPr>
            <w:tcW w:type="dxa" w:w="5184"/>
          </w:tcPr>
          <w:p>
            <w:r/>
            <w:r>
              <w:rPr>
                <w:sz w:val="19"/>
              </w:rPr>
              <w:t>No match — left blank, not dropped</w:t>
            </w:r>
          </w:p>
        </w:tc>
        <w:tc>
          <w:tcPr>
            <w:tcW w:type="dxa" w:w="4464"/>
          </w:tcPr>
          <w:p>
            <w:r/>
            <w:r>
              <w:rPr>
                <w:sz w:val="19"/>
              </w:rPr>
              <w:t>3,201</w:t>
            </w:r>
          </w:p>
        </w:tc>
      </w:tr>
      <w:tr>
        <w:tc>
          <w:tcPr>
            <w:tcW w:type="dxa" w:w="5184"/>
          </w:tcPr>
          <w:p>
            <w:r/>
            <w:r>
              <w:rPr>
                <w:sz w:val="19"/>
              </w:rPr>
              <w:t>Contact completeness on matched rows</w:t>
            </w:r>
          </w:p>
        </w:tc>
        <w:tc>
          <w:tcPr>
            <w:tcW w:type="dxa" w:w="4464"/>
          </w:tcPr>
          <w:p>
            <w:r/>
            <w:r>
              <w:rPr>
                <w:sz w:val="19"/>
              </w:rPr>
              <w:t>99.8% phone  ·  96.4% email</w:t>
            </w:r>
          </w:p>
        </w:tc>
      </w:tr>
    </w:tbl>
    <w:p>
      <w:pPr>
        <w:spacing w:after="40"/>
      </w:pPr>
    </w:p>
    <w:p>
      <w:pPr>
        <w:pStyle w:val="Heading3"/>
      </w:pPr>
      <w:r>
        <w:rPr>
          <w:b w:val="0"/>
          <w:i w:val="0"/>
        </w:rPr>
        <w:t>How the data is reported</w:t>
      </w:r>
    </w:p>
    <w:p>
      <w:r>
        <w:rPr>
          <w:b/>
        </w:rPr>
        <w:t>Source values are passed through exactly as they appear — nothing is relabelled, capped, or interpreted.</w:t>
      </w:r>
      <w:r>
        <w:rPr>
          <w:b w:val="0"/>
        </w:rPr>
        <w:t xml:space="preserve"> Owner Type carries NHPD's own value verbatim. An earlier draft included a derived Public/Private flag; that was removed, because a judgement call baked into a column is not something the client can check. Where source data looks odd, it is left alone and noted. Every figure stays traceable back to where it came from.</w:t>
      </w:r>
    </w:p>
    <w:p>
      <w:pPr>
        <w:spacing w:after="200"/>
      </w:pPr>
      <w:r>
        <w:rPr>
          <w:b/>
        </w:rPr>
        <w:t xml:space="preserve">Delivered: </w:t>
      </w:r>
      <w:r>
        <w:rPr>
          <w:b w:val="0"/>
        </w:rPr>
        <w:t>LIHTCPUB_Deliverable1.xlsx — which projects → who owns them → how big that customer is → how to reach them.</w:t>
      </w:r>
    </w:p>
    <w:p>
      <w:pPr>
        <w:pStyle w:val="Heading1"/>
      </w:pPr>
      <w:r>
        <w:rPr>
          <w:b w:val="0"/>
          <w:i w:val="0"/>
        </w:rPr>
        <w:t>Request 5 — The property database on Mary's specified fields (Deliverable 2)</w:t>
      </w:r>
    </w:p>
    <w:p>
      <w:pPr>
        <w:pStyle w:val="Heading3"/>
      </w:pPr>
      <w:r>
        <w:rPr>
          <w:b w:val="0"/>
          <w:i w:val="0"/>
        </w:rPr>
        <w:t>What we received</w:t>
      </w:r>
    </w:p>
    <w:p>
      <w:r>
        <w:rPr>
          <w:b w:val="0"/>
          <w:i w:val="0"/>
        </w:rPr>
        <w:t>Mary sent through the specific fields she wanted: an internal, sortable master list of every active affordable-housing property in the country, so account executives can filter to a target in seconds. Sortable by state, city, zip, county, funding stream, property name, owner name, manager name, unit range and occupancy range.</w:t>
      </w:r>
    </w:p>
    <w:p>
      <w:r>
        <w:rPr>
          <w:b/>
        </w:rPr>
        <w:t xml:space="preserve">The behaviour she asked for specifically: </w:t>
      </w:r>
      <w:r>
        <w:rPr>
          <w:b w:val="0"/>
        </w:rPr>
        <w:t xml:space="preserve">searching an owner or manager name — her example was "Guttenberg Housing Authority" — has to return </w:t>
      </w:r>
      <w:r>
        <w:rPr>
          <w:b/>
        </w:rPr>
        <w:t xml:space="preserve">all </w:t>
      </w:r>
      <w:r>
        <w:rPr>
          <w:b w:val="0"/>
        </w:rPr>
        <w:t>of that owner's properties together, not just one. The owner is the customer; the buildings are the opportunities.</w:t>
      </w:r>
    </w:p>
    <w:p>
      <w:pPr>
        <w:pStyle w:val="Heading3"/>
      </w:pPr>
      <w:r>
        <w:rPr>
          <w:b w:val="0"/>
          <w:i w:val="0"/>
        </w:rPr>
        <w:t>What we built</w:t>
      </w:r>
    </w:p>
    <w:p>
      <w:r>
        <w:rPr>
          <w:b w:val="0"/>
          <w:i w:val="0"/>
        </w:rPr>
        <w:t>Filtered the NHPD dataset down to active properties and shaped it to her field list.</w:t>
      </w:r>
    </w:p>
    <w:tbl>
      <w:tblPr>
        <w:tblStyle w:val="LightGrid-Accent1"/>
        <w:tblW w:type="auto" w:w="0"/>
        <w:jc w:val="left"/>
        <w:tblLook w:firstColumn="1" w:firstRow="1" w:lastColumn="0" w:lastRow="0" w:noHBand="0" w:noVBand="1" w:val="04A0"/>
      </w:tblPr>
      <w:tblGrid>
        <w:gridCol w:w="4824"/>
        <w:gridCol w:w="4824"/>
      </w:tblGrid>
      <w:tr>
        <w:tc>
          <w:tcPr>
            <w:tcW w:type="dxa" w:w="4176"/>
          </w:tcPr>
          <w:p>
            <w:r/>
            <w:r>
              <w:rPr>
                <w:b/>
                <w:sz w:val="19"/>
              </w:rPr>
              <w:t>Measure</w:t>
            </w:r>
          </w:p>
        </w:tc>
        <w:tc>
          <w:tcPr>
            <w:tcW w:type="dxa" w:w="5472"/>
          </w:tcPr>
          <w:p>
            <w:r/>
            <w:r>
              <w:rPr>
                <w:b/>
                <w:sz w:val="19"/>
              </w:rPr>
              <w:t>Value</w:t>
            </w:r>
          </w:p>
        </w:tc>
      </w:tr>
      <w:tr>
        <w:tc>
          <w:tcPr>
            <w:tcW w:type="dxa" w:w="4176"/>
          </w:tcPr>
          <w:p>
            <w:r/>
            <w:r>
              <w:rPr>
                <w:sz w:val="19"/>
              </w:rPr>
              <w:t>Active properties</w:t>
            </w:r>
          </w:p>
        </w:tc>
        <w:tc>
          <w:tcPr>
            <w:tcW w:type="dxa" w:w="5472"/>
          </w:tcPr>
          <w:p>
            <w:r/>
            <w:r>
              <w:rPr>
                <w:sz w:val="19"/>
              </w:rPr>
              <w:t>76,987</w:t>
            </w:r>
          </w:p>
        </w:tc>
      </w:tr>
      <w:tr>
        <w:tc>
          <w:tcPr>
            <w:tcW w:type="dxa" w:w="4176"/>
          </w:tcPr>
          <w:p>
            <w:r/>
            <w:r>
              <w:rPr>
                <w:sz w:val="19"/>
              </w:rPr>
              <w:t>Columns</w:t>
            </w:r>
          </w:p>
        </w:tc>
        <w:tc>
          <w:tcPr>
            <w:tcW w:type="dxa" w:w="5472"/>
          </w:tcPr>
          <w:p>
            <w:r/>
            <w:r>
              <w:rPr>
                <w:sz w:val="19"/>
              </w:rPr>
              <w:t>39</w:t>
            </w:r>
          </w:p>
        </w:tc>
      </w:tr>
      <w:tr>
        <w:tc>
          <w:tcPr>
            <w:tcW w:type="dxa" w:w="4176"/>
          </w:tcPr>
          <w:p>
            <w:r/>
            <w:r>
              <w:rPr>
                <w:sz w:val="19"/>
              </w:rPr>
              <w:t>Coverage</w:t>
            </w:r>
          </w:p>
        </w:tc>
        <w:tc>
          <w:tcPr>
            <w:tcW w:type="dxa" w:w="5472"/>
          </w:tcPr>
          <w:p>
            <w:r/>
            <w:r>
              <w:rPr>
                <w:sz w:val="19"/>
              </w:rPr>
              <w:t>All 50 states, nationwide</w:t>
            </w:r>
          </w:p>
        </w:tc>
      </w:tr>
      <w:tr>
        <w:tc>
          <w:tcPr>
            <w:tcW w:type="dxa" w:w="4176"/>
          </w:tcPr>
          <w:p>
            <w:r/>
            <w:r>
              <w:rPr>
                <w:sz w:val="19"/>
              </w:rPr>
              <w:t>Funding programs flagged individually</w:t>
            </w:r>
          </w:p>
        </w:tc>
        <w:tc>
          <w:tcPr>
            <w:tcW w:type="dxa" w:w="5472"/>
          </w:tcPr>
          <w:p>
            <w:r/>
            <w:r>
              <w:rPr>
                <w:sz w:val="19"/>
              </w:rPr>
              <w:t>16</w:t>
            </w:r>
          </w:p>
        </w:tc>
      </w:tr>
      <w:tr>
        <w:tc>
          <w:tcPr>
            <w:tcW w:type="dxa" w:w="4176"/>
          </w:tcPr>
          <w:p>
            <w:r/>
            <w:r>
              <w:rPr>
                <w:sz w:val="19"/>
              </w:rPr>
              <w:t>Row model</w:t>
            </w:r>
          </w:p>
        </w:tc>
        <w:tc>
          <w:tcPr>
            <w:tcW w:type="dxa" w:w="5472"/>
          </w:tcPr>
          <w:p>
            <w:r/>
            <w:r>
              <w:rPr>
                <w:sz w:val="19"/>
              </w:rPr>
              <w:t>One clean row per property — no double counting</w:t>
            </w:r>
          </w:p>
        </w:tc>
      </w:tr>
      <w:tr>
        <w:tc>
          <w:tcPr>
            <w:tcW w:type="dxa" w:w="4176"/>
          </w:tcPr>
          <w:p>
            <w:r/>
            <w:r>
              <w:rPr>
                <w:sz w:val="19"/>
              </w:rPr>
              <w:t>Format</w:t>
            </w:r>
          </w:p>
        </w:tc>
        <w:tc>
          <w:tcPr>
            <w:tcW w:type="dxa" w:w="5472"/>
          </w:tcPr>
          <w:p>
            <w:r/>
            <w:r>
              <w:rPr>
                <w:sz w:val="19"/>
              </w:rPr>
              <w:t>Excel with AutoFilter and frozen header, plus CSV</w:t>
            </w:r>
          </w:p>
        </w:tc>
      </w:tr>
    </w:tbl>
    <w:p>
      <w:pPr>
        <w:spacing w:after="40"/>
      </w:pPr>
    </w:p>
    <w:p>
      <w:pPr>
        <w:pStyle w:val="Heading3"/>
      </w:pPr>
      <w:r>
        <w:rPr>
          <w:b w:val="0"/>
          <w:i w:val="0"/>
        </w:rPr>
        <w:t>Two fields had to be worked out rather than copied</w:t>
      </w:r>
    </w:p>
    <w:p>
      <w:pPr>
        <w:pStyle w:val="ListBullet"/>
        <w:spacing w:after="60"/>
      </w:pPr>
      <w:r>
        <w:rPr>
          <w:b/>
        </w:rPr>
        <w:t xml:space="preserve">Primary Funding Stream. </w:t>
      </w:r>
      <w:r>
        <w:rPr>
          <w:b w:val="0"/>
        </w:rPr>
        <w:t>Does not exist in the source — derived from the per-program subsidy flags. It lists a property's actual active programs joined by a semicolon: "Public Housing", or "Section 8; LIHTC". Deliberately unranked and nothing hidden, with a Yes/No column per program so any single one can be filtered on directly.</w:t>
      </w:r>
    </w:p>
    <w:p>
      <w:pPr>
        <w:pStyle w:val="ListBullet"/>
        <w:spacing w:after="60"/>
      </w:pPr>
      <w:r>
        <w:rPr>
          <w:b/>
        </w:rPr>
        <w:t xml:space="preserve">Assisted Units. </w:t>
      </w:r>
      <w:r>
        <w:rPr>
          <w:b w:val="0"/>
        </w:rPr>
        <w:t>Taken as the highest figure across active subsidies, not the total. Overlapping subsidies cover the same physical units, so adding them together would inflate every multi-program property.</w:t>
      </w:r>
    </w:p>
    <w:p>
      <w:pPr>
        <w:pStyle w:val="Heading3"/>
      </w:pPr>
      <w:r>
        <w:rPr>
          <w:b w:val="0"/>
          <w:i w:val="0"/>
        </w:rPr>
        <w:t>Checking</w:t>
      </w:r>
    </w:p>
    <w:p>
      <w:r>
        <w:rPr>
          <w:b w:val="0"/>
          <w:i w:val="0"/>
        </w:rPr>
        <w:t>Built as a documented notebook — 33 cells across 10 sections, from initial exploration through the derivations to nine verification checks printing PASS or FAIL, and export. It re-runs step by step, so any number in the output can be traced to the step that produced it. All checks pass, and Mary's own reference cases (Guttenberg, Corona Community Villas) were spot-checked against her sample and match.</w:t>
      </w:r>
    </w:p>
    <w:p>
      <w:pPr>
        <w:spacing w:after="200"/>
      </w:pPr>
      <w:r>
        <w:rPr>
          <w:b/>
        </w:rPr>
        <w:t xml:space="preserve">Delivered: </w:t>
      </w:r>
      <w:r>
        <w:rPr>
          <w:b w:val="0"/>
        </w:rPr>
        <w:t>JCI_Property_Database.xlsx (and .csv), plus the notebook that builds it.</w:t>
      </w:r>
    </w:p>
    <w:p>
      <w:pPr>
        <w:pStyle w:val="Heading1"/>
      </w:pPr>
      <w:r>
        <w:rPr>
          <w:b w:val="0"/>
          <w:i w:val="0"/>
        </w:rPr>
        <w:t>Request 6 — A pivot-style way to work the data</w:t>
      </w:r>
    </w:p>
    <w:p>
      <w:pPr>
        <w:pStyle w:val="Heading3"/>
      </w:pPr>
      <w:r>
        <w:rPr>
          <w:b w:val="0"/>
          <w:i w:val="0"/>
        </w:rPr>
        <w:t>What we received</w:t>
      </w:r>
    </w:p>
    <w:p>
      <w:r>
        <w:rPr>
          <w:b w:val="0"/>
          <w:i w:val="0"/>
        </w:rPr>
        <w:t>The team wanted to slice the property database the way you would with a pivot table — filter it down, group it, and see the totals move — without needing Excel skills or waiting on someone to run a query.</w:t>
      </w:r>
    </w:p>
    <w:p>
      <w:pPr>
        <w:pStyle w:val="Heading3"/>
      </w:pPr>
      <w:r>
        <w:rPr>
          <w:b w:val="0"/>
          <w:i w:val="0"/>
        </w:rPr>
        <w:t>What we built</w:t>
      </w:r>
    </w:p>
    <w:p>
      <w:r>
        <w:rPr>
          <w:b/>
        </w:rPr>
        <w:t xml:space="preserve">A standalone search tool: </w:t>
      </w:r>
      <w:r>
        <w:rPr>
          <w:b w:val="0"/>
        </w:rPr>
        <w:t>a single HTML file you open in a browser and point at the property database. It runs entirely on your own machine — no server, no upload, nothing leaves the laptop, which matters for an internal-use dataset.</w:t>
      </w:r>
    </w:p>
    <w:p>
      <w:pPr>
        <w:pStyle w:val="ListBullet"/>
        <w:spacing w:after="60"/>
      </w:pPr>
      <w:r>
        <w:rPr>
          <w:b/>
        </w:rPr>
        <w:t xml:space="preserve">Filters: </w:t>
      </w:r>
      <w:r>
        <w:rPr>
          <w:b w:val="0"/>
        </w:rPr>
        <w:t>state, city, county, owner name, manager name, owner type, unit range, occupancy range, and any combination of the 16 funding programs.</w:t>
      </w:r>
    </w:p>
    <w:p>
      <w:pPr>
        <w:pStyle w:val="ListBullet"/>
        <w:spacing w:after="60"/>
      </w:pPr>
      <w:r>
        <w:rPr>
          <w:b/>
        </w:rPr>
        <w:t xml:space="preserve">Two views: </w:t>
      </w:r>
      <w:r>
        <w:rPr>
          <w:b w:val="0"/>
        </w:rPr>
        <w:t>a property list, and a pivot that groups and rolls up — the same owner seen two ways.</w:t>
      </w:r>
    </w:p>
    <w:p>
      <w:pPr>
        <w:pStyle w:val="ListBullet"/>
        <w:spacing w:after="60"/>
      </w:pPr>
      <w:r>
        <w:rPr>
          <w:b/>
        </w:rPr>
        <w:t xml:space="preserve">Live totals: </w:t>
      </w:r>
      <w:r>
        <w:rPr>
          <w:b w:val="0"/>
        </w:rPr>
        <w:t>property count, total units, assisted units, occupancy and extremely-low-income share, all updating as filters change.</w:t>
      </w:r>
    </w:p>
    <w:p>
      <w:pPr>
        <w:pStyle w:val="ListBullet"/>
        <w:spacing w:after="60"/>
      </w:pPr>
      <w:r>
        <w:rPr>
          <w:b/>
        </w:rPr>
        <w:t xml:space="preserve">Export: </w:t>
      </w:r>
      <w:r>
        <w:rPr>
          <w:b w:val="0"/>
        </w:rPr>
        <w:t>any filtered view straight out to CSV or Excel.</w:t>
      </w:r>
    </w:p>
    <w:p>
      <w:pPr>
        <w:pStyle w:val="ListBullet"/>
        <w:spacing w:after="60"/>
      </w:pPr>
      <w:r>
        <w:rPr>
          <w:b/>
        </w:rPr>
        <w:t>Light and dark themes.</w:t>
      </w:r>
    </w:p>
    <w:p>
      <w:pPr>
        <w:spacing w:after="200"/>
      </w:pPr>
      <w:r>
        <w:rPr>
          <w:b/>
        </w:rPr>
        <w:t xml:space="preserve">Delivered: </w:t>
      </w:r>
      <w:r>
        <w:rPr>
          <w:b w:val="0"/>
        </w:rPr>
        <w:t>tools/property_finder.html, with JCI_Property_Finder.xlsx — a 35-column cut of the database shaped for the tool and for direct use in Excel.</w:t>
      </w:r>
    </w:p>
    <w:p>
      <w:pPr>
        <w:pStyle w:val="Heading3"/>
      </w:pPr>
      <w:r>
        <w:rPr>
          <w:b w:val="0"/>
          <w:i w:val="0"/>
        </w:rPr>
        <w:t>Supporting material</w:t>
      </w:r>
    </w:p>
    <w:p>
      <w:r>
        <w:rPr>
          <w:b w:val="0"/>
          <w:i w:val="0"/>
        </w:rPr>
        <w:t>A 10-slide walkthrough (NHPD_Overview_Demo.pptx) was also produced for the JCI audience: what the NHPD is, what sits inside each property record, the two ways to search, and how the inventory splits by funding program. It closes by asking the client which view they want built next.</w:t>
      </w:r>
    </w:p>
    <w:p>
      <w:pPr>
        <w:pStyle w:val="Heading1"/>
      </w:pPr>
      <w:r>
        <w:rPr>
          <w:b w:val="0"/>
          <w:i w:val="0"/>
        </w:rPr>
        <w:t>File inventory</w:t>
      </w:r>
    </w:p>
    <w:tbl>
      <w:tblPr>
        <w:tblStyle w:val="LightGrid-Accent1"/>
        <w:tblW w:type="auto" w:w="0"/>
        <w:jc w:val="left"/>
        <w:tblLook w:firstColumn="1" w:firstRow="1" w:lastColumn="0" w:lastRow="0" w:noHBand="0" w:noVBand="1" w:val="04A0"/>
      </w:tblPr>
      <w:tblGrid>
        <w:gridCol w:w="3216"/>
        <w:gridCol w:w="3216"/>
        <w:gridCol w:w="3216"/>
      </w:tblGrid>
      <w:tr>
        <w:tc>
          <w:tcPr>
            <w:tcW w:type="dxa" w:w="4176"/>
          </w:tcPr>
          <w:p>
            <w:r/>
            <w:r>
              <w:rPr>
                <w:b/>
                <w:sz w:val="19"/>
              </w:rPr>
              <w:t>File</w:t>
            </w:r>
          </w:p>
        </w:tc>
        <w:tc>
          <w:tcPr>
            <w:tcW w:type="dxa" w:w="1080"/>
          </w:tcPr>
          <w:p>
            <w:r/>
            <w:r>
              <w:rPr>
                <w:b/>
                <w:sz w:val="19"/>
              </w:rPr>
              <w:t>Size</w:t>
            </w:r>
          </w:p>
        </w:tc>
        <w:tc>
          <w:tcPr>
            <w:tcW w:type="dxa" w:w="4464"/>
          </w:tcPr>
          <w:p>
            <w:r/>
            <w:r>
              <w:rPr>
                <w:b/>
                <w:sz w:val="19"/>
              </w:rPr>
              <w:t>What it is</w:t>
            </w:r>
          </w:p>
        </w:tc>
      </w:tr>
      <w:tr>
        <w:tc>
          <w:tcPr>
            <w:tcW w:type="dxa" w:w="4176"/>
          </w:tcPr>
          <w:p>
            <w:r/>
            <w:r>
              <w:rPr>
                <w:sz w:val="19"/>
              </w:rPr>
              <w:t>data/LIHTCPUB_Deliverable1.xlsx</w:t>
            </w:r>
          </w:p>
        </w:tc>
        <w:tc>
          <w:tcPr>
            <w:tcW w:type="dxa" w:w="1080"/>
          </w:tcPr>
          <w:p>
            <w:r/>
            <w:r>
              <w:rPr>
                <w:sz w:val="19"/>
              </w:rPr>
              <w:t>15.9 MB</w:t>
            </w:r>
          </w:p>
        </w:tc>
        <w:tc>
          <w:tcPr>
            <w:tcW w:type="dxa" w:w="4464"/>
          </w:tcPr>
          <w:p>
            <w:r/>
            <w:r>
              <w:rPr>
                <w:sz w:val="19"/>
              </w:rPr>
              <w:t>DELIVERABLE 1 — enriched national LIHTC package (3 sheets)</w:t>
            </w:r>
          </w:p>
        </w:tc>
      </w:tr>
      <w:tr>
        <w:tc>
          <w:tcPr>
            <w:tcW w:type="dxa" w:w="4176"/>
          </w:tcPr>
          <w:p>
            <w:r/>
            <w:r>
              <w:rPr>
                <w:sz w:val="19"/>
              </w:rPr>
              <w:t>data/JCI_Property_Database.xlsx</w:t>
            </w:r>
          </w:p>
        </w:tc>
        <w:tc>
          <w:tcPr>
            <w:tcW w:type="dxa" w:w="1080"/>
          </w:tcPr>
          <w:p>
            <w:r/>
            <w:r>
              <w:rPr>
                <w:sz w:val="19"/>
              </w:rPr>
              <w:t>15.1 MB</w:t>
            </w:r>
          </w:p>
        </w:tc>
        <w:tc>
          <w:tcPr>
            <w:tcW w:type="dxa" w:w="4464"/>
          </w:tcPr>
          <w:p>
            <w:r/>
            <w:r>
              <w:rPr>
                <w:sz w:val="19"/>
              </w:rPr>
              <w:t>DELIVERABLE 2 — 76,987 active properties × 39 columns</w:t>
            </w:r>
          </w:p>
        </w:tc>
      </w:tr>
      <w:tr>
        <w:tc>
          <w:tcPr>
            <w:tcW w:type="dxa" w:w="4176"/>
          </w:tcPr>
          <w:p>
            <w:r/>
            <w:r>
              <w:rPr>
                <w:sz w:val="19"/>
              </w:rPr>
              <w:t>data/JCI_Property_Database.csv</w:t>
            </w:r>
          </w:p>
        </w:tc>
        <w:tc>
          <w:tcPr>
            <w:tcW w:type="dxa" w:w="1080"/>
          </w:tcPr>
          <w:p>
            <w:r/>
            <w:r>
              <w:rPr>
                <w:sz w:val="19"/>
              </w:rPr>
              <w:t>18.4 MB</w:t>
            </w:r>
          </w:p>
        </w:tc>
        <w:tc>
          <w:tcPr>
            <w:tcW w:type="dxa" w:w="4464"/>
          </w:tcPr>
          <w:p>
            <w:r/>
            <w:r>
              <w:rPr>
                <w:sz w:val="19"/>
              </w:rPr>
              <w:t>Deliverable 2 as a flat file</w:t>
            </w:r>
          </w:p>
        </w:tc>
      </w:tr>
      <w:tr>
        <w:tc>
          <w:tcPr>
            <w:tcW w:type="dxa" w:w="4176"/>
          </w:tcPr>
          <w:p>
            <w:r/>
            <w:r>
              <w:rPr>
                <w:sz w:val="19"/>
              </w:rPr>
              <w:t>data/JCI_Property_Finder.xlsx</w:t>
            </w:r>
          </w:p>
        </w:tc>
        <w:tc>
          <w:tcPr>
            <w:tcW w:type="dxa" w:w="1080"/>
          </w:tcPr>
          <w:p>
            <w:r/>
            <w:r>
              <w:rPr>
                <w:sz w:val="19"/>
              </w:rPr>
              <w:t>13.2 MB</w:t>
            </w:r>
          </w:p>
        </w:tc>
        <w:tc>
          <w:tcPr>
            <w:tcW w:type="dxa" w:w="4464"/>
          </w:tcPr>
          <w:p>
            <w:r/>
            <w:r>
              <w:rPr>
                <w:sz w:val="19"/>
              </w:rPr>
              <w:t>35-column cut shaped for the finder tool</w:t>
            </w:r>
          </w:p>
        </w:tc>
      </w:tr>
      <w:tr>
        <w:tc>
          <w:tcPr>
            <w:tcW w:type="dxa" w:w="4176"/>
          </w:tcPr>
          <w:p>
            <w:r/>
            <w:r>
              <w:rPr>
                <w:sz w:val="19"/>
              </w:rPr>
              <w:t>tools/property_finder.html</w:t>
            </w:r>
          </w:p>
        </w:tc>
        <w:tc>
          <w:tcPr>
            <w:tcW w:type="dxa" w:w="1080"/>
          </w:tcPr>
          <w:p>
            <w:r/>
            <w:r>
              <w:rPr>
                <w:sz w:val="19"/>
              </w:rPr>
              <w:t>—</w:t>
            </w:r>
          </w:p>
        </w:tc>
        <w:tc>
          <w:tcPr>
            <w:tcW w:type="dxa" w:w="4464"/>
          </w:tcPr>
          <w:p>
            <w:r/>
            <w:r>
              <w:rPr>
                <w:sz w:val="19"/>
              </w:rPr>
              <w:t>Standalone offline search and pivot tool</w:t>
            </w:r>
          </w:p>
        </w:tc>
      </w:tr>
      <w:tr>
        <w:tc>
          <w:tcPr>
            <w:tcW w:type="dxa" w:w="4176"/>
          </w:tcPr>
          <w:p>
            <w:r/>
            <w:r>
              <w:rPr>
                <w:sz w:val="19"/>
              </w:rPr>
              <w:t>notebooks/deliverable2_property_database.ipynb</w:t>
            </w:r>
          </w:p>
        </w:tc>
        <w:tc>
          <w:tcPr>
            <w:tcW w:type="dxa" w:w="1080"/>
          </w:tcPr>
          <w:p>
            <w:r/>
            <w:r>
              <w:rPr>
                <w:sz w:val="19"/>
              </w:rPr>
              <w:t>—</w:t>
            </w:r>
          </w:p>
        </w:tc>
        <w:tc>
          <w:tcPr>
            <w:tcW w:type="dxa" w:w="4464"/>
          </w:tcPr>
          <w:p>
            <w:r/>
            <w:r>
              <w:rPr>
                <w:sz w:val="19"/>
              </w:rPr>
              <w:t>Documented, re-runnable build for Deliverable 2</w:t>
            </w:r>
          </w:p>
        </w:tc>
      </w:tr>
      <w:tr>
        <w:tc>
          <w:tcPr>
            <w:tcW w:type="dxa" w:w="4176"/>
          </w:tcPr>
          <w:p>
            <w:r/>
            <w:r>
              <w:rPr>
                <w:sz w:val="19"/>
              </w:rPr>
              <w:t>NHPD_Overview_Demo.pptx</w:t>
            </w:r>
          </w:p>
        </w:tc>
        <w:tc>
          <w:tcPr>
            <w:tcW w:type="dxa" w:w="1080"/>
          </w:tcPr>
          <w:p>
            <w:r/>
            <w:r>
              <w:rPr>
                <w:sz w:val="19"/>
              </w:rPr>
              <w:t>51 KB</w:t>
            </w:r>
          </w:p>
        </w:tc>
        <w:tc>
          <w:tcPr>
            <w:tcW w:type="dxa" w:w="4464"/>
          </w:tcPr>
          <w:p>
            <w:r/>
            <w:r>
              <w:rPr>
                <w:sz w:val="19"/>
              </w:rPr>
              <w:t>10-slide client walkthrough</w:t>
            </w:r>
          </w:p>
        </w:tc>
      </w:tr>
      <w:tr>
        <w:tc>
          <w:tcPr>
            <w:tcW w:type="dxa" w:w="4176"/>
          </w:tcPr>
          <w:p>
            <w:r/>
            <w:r>
              <w:rPr>
                <w:sz w:val="19"/>
              </w:rPr>
              <w:t>data/PHA_and_RAD_files/PHA_Authority_Profile.xlsx</w:t>
            </w:r>
          </w:p>
        </w:tc>
        <w:tc>
          <w:tcPr>
            <w:tcW w:type="dxa" w:w="1080"/>
          </w:tcPr>
          <w:p>
            <w:r/>
            <w:r>
              <w:rPr>
                <w:sz w:val="19"/>
              </w:rPr>
              <w:t>402 KB</w:t>
            </w:r>
          </w:p>
        </w:tc>
        <w:tc>
          <w:tcPr>
            <w:tcW w:type="dxa" w:w="4464"/>
          </w:tcPr>
          <w:p>
            <w:r/>
            <w:r>
              <w:rPr>
                <w:sz w:val="19"/>
              </w:rPr>
              <w:t>One row per authority — property and unit counts (Request 3)</w:t>
            </w:r>
          </w:p>
        </w:tc>
      </w:tr>
      <w:tr>
        <w:tc>
          <w:tcPr>
            <w:tcW w:type="dxa" w:w="4176"/>
          </w:tcPr>
          <w:p>
            <w:r/>
            <w:r>
              <w:rPr>
                <w:sz w:val="19"/>
              </w:rPr>
              <w:t>data/PHA_and_RAD_files/PHA_Contacts_20260608.xlsx</w:t>
            </w:r>
          </w:p>
        </w:tc>
        <w:tc>
          <w:tcPr>
            <w:tcW w:type="dxa" w:w="1080"/>
          </w:tcPr>
          <w:p>
            <w:r/>
            <w:r>
              <w:rPr>
                <w:sz w:val="19"/>
              </w:rPr>
              <w:t>401 KB</w:t>
            </w:r>
          </w:p>
        </w:tc>
        <w:tc>
          <w:tcPr>
            <w:tcW w:type="dxa" w:w="4464"/>
          </w:tcPr>
          <w:p>
            <w:r/>
            <w:r>
              <w:rPr>
                <w:sz w:val="19"/>
              </w:rPr>
              <w:t>Structured contact table extracted from the PDFs (Request 2)</w:t>
            </w:r>
          </w:p>
        </w:tc>
      </w:tr>
      <w:tr>
        <w:tc>
          <w:tcPr>
            <w:tcW w:type="dxa" w:w="4176"/>
          </w:tcPr>
          <w:p>
            <w:r/>
            <w:r>
              <w:rPr>
                <w:sz w:val="19"/>
              </w:rPr>
              <w:t>data/PHA_and_RAD_files/RAD_Rents_With_Blends_Web_20250620.xlsx</w:t>
            </w:r>
          </w:p>
        </w:tc>
        <w:tc>
          <w:tcPr>
            <w:tcW w:type="dxa" w:w="1080"/>
          </w:tcPr>
          <w:p>
            <w:r/>
            <w:r>
              <w:rPr>
                <w:sz w:val="19"/>
              </w:rPr>
              <w:t>2.9 MB</w:t>
            </w:r>
          </w:p>
        </w:tc>
        <w:tc>
          <w:tcPr>
            <w:tcW w:type="dxa" w:w="4464"/>
          </w:tcPr>
          <w:p>
            <w:r/>
            <w:r>
              <w:rPr>
                <w:sz w:val="19"/>
              </w:rPr>
              <w:t>Mary's raw RAD rents file (Request 3 input)</w:t>
            </w:r>
          </w:p>
        </w:tc>
      </w:tr>
      <w:tr>
        <w:tc>
          <w:tcPr>
            <w:tcW w:type="dxa" w:w="4176"/>
          </w:tcPr>
          <w:p>
            <w:r/>
            <w:r>
              <w:rPr>
                <w:sz w:val="19"/>
              </w:rPr>
              <w:t>data/LIHTCPUB_Target.xlsx</w:t>
            </w:r>
          </w:p>
        </w:tc>
        <w:tc>
          <w:tcPr>
            <w:tcW w:type="dxa" w:w="1080"/>
          </w:tcPr>
          <w:p>
            <w:r/>
            <w:r>
              <w:rPr>
                <w:sz w:val="19"/>
              </w:rPr>
              <w:t>24.6 MB</w:t>
            </w:r>
          </w:p>
        </w:tc>
        <w:tc>
          <w:tcPr>
            <w:tcW w:type="dxa" w:w="4464"/>
          </w:tcPr>
          <w:p>
            <w:r/>
            <w:r>
              <w:rPr>
                <w:sz w:val="19"/>
              </w:rPr>
              <w:t>Mary's original source workbook (Request 1)</w:t>
            </w:r>
          </w:p>
        </w:tc>
      </w:tr>
      <w:tr>
        <w:tc>
          <w:tcPr>
            <w:tcW w:type="dxa" w:w="4176"/>
          </w:tcPr>
          <w:p>
            <w:r/>
            <w:r>
              <w:rPr>
                <w:sz w:val="19"/>
              </w:rPr>
              <w:t>data/raw/ (55 PDFs)</w:t>
            </w:r>
          </w:p>
        </w:tc>
        <w:tc>
          <w:tcPr>
            <w:tcW w:type="dxa" w:w="1080"/>
          </w:tcPr>
          <w:p>
            <w:r/>
            <w:r>
              <w:rPr>
                <w:sz w:val="19"/>
              </w:rPr>
              <w:t>—</w:t>
            </w:r>
          </w:p>
        </w:tc>
        <w:tc>
          <w:tcPr>
            <w:tcW w:type="dxa" w:w="4464"/>
          </w:tcPr>
          <w:p>
            <w:r/>
            <w:r>
              <w:rPr>
                <w:sz w:val="19"/>
              </w:rPr>
              <w:t>HUD PHA contact reports, one per state and territory</w:t>
            </w:r>
          </w:p>
        </w:tc>
      </w:tr>
    </w:tbl>
    <w:p>
      <w:pPr>
        <w:spacing w:after="40"/>
      </w:pPr>
    </w:p>
    <w:p>
      <w:pPr>
        <w:pStyle w:val="Heading1"/>
      </w:pPr>
      <w:r>
        <w:rPr>
          <w:b w:val="0"/>
          <w:i w:val="0"/>
        </w:rPr>
        <w:t>The whole thing in short</w:t>
      </w:r>
    </w:p>
    <w:tbl>
      <w:tblPr>
        <w:tblStyle w:val="LightGrid-Accent1"/>
        <w:tblW w:type="auto" w:w="0"/>
        <w:jc w:val="left"/>
        <w:tblLook w:firstColumn="1" w:firstRow="1" w:lastColumn="0" w:lastRow="0" w:noHBand="0" w:noVBand="1" w:val="04A0"/>
      </w:tblPr>
      <w:tblGrid>
        <w:gridCol w:w="3216"/>
        <w:gridCol w:w="3216"/>
        <w:gridCol w:w="3216"/>
      </w:tblGrid>
      <w:tr>
        <w:tc>
          <w:tcPr>
            <w:tcW w:type="dxa" w:w="432"/>
          </w:tcPr>
          <w:p>
            <w:r/>
            <w:r>
              <w:rPr>
                <w:b/>
                <w:sz w:val="19"/>
              </w:rPr>
              <w:t>#</w:t>
            </w:r>
          </w:p>
        </w:tc>
        <w:tc>
          <w:tcPr>
            <w:tcW w:type="dxa" w:w="4176"/>
          </w:tcPr>
          <w:p>
            <w:r/>
            <w:r>
              <w:rPr>
                <w:b/>
                <w:sz w:val="19"/>
              </w:rPr>
              <w:t>Request</w:t>
            </w:r>
          </w:p>
        </w:tc>
        <w:tc>
          <w:tcPr>
            <w:tcW w:type="dxa" w:w="5112"/>
          </w:tcPr>
          <w:p>
            <w:r/>
            <w:r>
              <w:rPr>
                <w:b/>
                <w:sz w:val="19"/>
              </w:rPr>
              <w:t>What went back</w:t>
            </w:r>
          </w:p>
        </w:tc>
      </w:tr>
      <w:tr>
        <w:tc>
          <w:tcPr>
            <w:tcW w:type="dxa" w:w="432"/>
          </w:tcPr>
          <w:p>
            <w:r/>
            <w:r>
              <w:rPr>
                <w:sz w:val="19"/>
              </w:rPr>
              <w:t>1</w:t>
            </w:r>
          </w:p>
        </w:tc>
        <w:tc>
          <w:tcPr>
            <w:tcW w:type="dxa" w:w="4176"/>
          </w:tcPr>
          <w:p>
            <w:r/>
            <w:r>
              <w:rPr>
                <w:sz w:val="19"/>
              </w:rPr>
              <w:t>Filter the LIHTC Excel file to a target list</w:t>
            </w:r>
          </w:p>
        </w:tc>
        <w:tc>
          <w:tcPr>
            <w:tcW w:type="dxa" w:w="5112"/>
          </w:tcPr>
          <w:p>
            <w:r/>
            <w:r>
              <w:rPr>
                <w:sz w:val="19"/>
              </w:rPr>
              <w:t>Self-refiltering shortlist — but with no owner in the source, it could not be sold from</w:t>
            </w:r>
          </w:p>
        </w:tc>
      </w:tr>
      <w:tr>
        <w:tc>
          <w:tcPr>
            <w:tcW w:type="dxa" w:w="432"/>
          </w:tcPr>
          <w:p>
            <w:r/>
            <w:r>
              <w:rPr>
                <w:sz w:val="19"/>
              </w:rPr>
              <w:t>2</w:t>
            </w:r>
          </w:p>
        </w:tc>
        <w:tc>
          <w:tcPr>
            <w:tcW w:type="dxa" w:w="4176"/>
          </w:tcPr>
          <w:p>
            <w:r/>
            <w:r>
              <w:rPr>
                <w:sz w:val="19"/>
              </w:rPr>
              <w:t>Process the PHA contact PDFs from the link</w:t>
            </w:r>
          </w:p>
        </w:tc>
        <w:tc>
          <w:tcPr>
            <w:tcW w:type="dxa" w:w="5112"/>
          </w:tcPr>
          <w:p>
            <w:r/>
            <w:r>
              <w:rPr>
                <w:sz w:val="19"/>
              </w:rPr>
              <w:t>55 PDFs turned into one structured, searchable contact table</w:t>
            </w:r>
          </w:p>
        </w:tc>
      </w:tr>
      <w:tr>
        <w:tc>
          <w:tcPr>
            <w:tcW w:type="dxa" w:w="432"/>
          </w:tcPr>
          <w:p>
            <w:r/>
            <w:r>
              <w:rPr>
                <w:sz w:val="19"/>
              </w:rPr>
              <w:t>3</w:t>
            </w:r>
          </w:p>
        </w:tc>
        <w:tc>
          <w:tcPr>
            <w:tcW w:type="dxa" w:w="4176"/>
          </w:tcPr>
          <w:p>
            <w:r/>
            <w:r>
              <w:rPr>
                <w:sz w:val="19"/>
              </w:rPr>
              <w:t>Pull PHA codes from the raw file, count properties per authority</w:t>
            </w:r>
          </w:p>
        </w:tc>
        <w:tc>
          <w:tcPr>
            <w:tcW w:type="dxa" w:w="5112"/>
          </w:tcPr>
          <w:p>
            <w:r/>
            <w:r>
              <w:rPr>
                <w:sz w:val="19"/>
              </w:rPr>
              <w:t>Authority profile — how big each customer is, with contacts</w:t>
            </w:r>
          </w:p>
        </w:tc>
      </w:tr>
      <w:tr>
        <w:tc>
          <w:tcPr>
            <w:tcW w:type="dxa" w:w="432"/>
          </w:tcPr>
          <w:p>
            <w:r/>
            <w:r>
              <w:rPr>
                <w:sz w:val="19"/>
              </w:rPr>
              <w:t>4</w:t>
            </w:r>
          </w:p>
        </w:tc>
        <w:tc>
          <w:tcPr>
            <w:tcW w:type="dxa" w:w="4176"/>
          </w:tcPr>
          <w:p>
            <w:r/>
            <w:r>
              <w:rPr>
                <w:sz w:val="19"/>
              </w:rPr>
              <w:t>Fill the ownership gap</w:t>
            </w:r>
          </w:p>
        </w:tc>
        <w:tc>
          <w:tcPr>
            <w:tcW w:type="dxa" w:w="5112"/>
          </w:tcPr>
          <w:p>
            <w:r/>
            <w:r>
              <w:rPr>
                <w:sz w:val="19"/>
              </w:rPr>
              <w:t>NHPD acquired; all 50,567 LIHTC projects enriched with owner and contact, 93.7% matched</w:t>
            </w:r>
          </w:p>
        </w:tc>
      </w:tr>
      <w:tr>
        <w:tc>
          <w:tcPr>
            <w:tcW w:type="dxa" w:w="432"/>
          </w:tcPr>
          <w:p>
            <w:r/>
            <w:r>
              <w:rPr>
                <w:sz w:val="19"/>
              </w:rPr>
              <w:t>5</w:t>
            </w:r>
          </w:p>
        </w:tc>
        <w:tc>
          <w:tcPr>
            <w:tcW w:type="dxa" w:w="4176"/>
          </w:tcPr>
          <w:p>
            <w:r/>
            <w:r>
              <w:rPr>
                <w:sz w:val="19"/>
              </w:rPr>
              <w:t>Build the property database on the specified fields</w:t>
            </w:r>
          </w:p>
        </w:tc>
        <w:tc>
          <w:tcPr>
            <w:tcW w:type="dxa" w:w="5112"/>
          </w:tcPr>
          <w:p>
            <w:r/>
            <w:r>
              <w:rPr>
                <w:sz w:val="19"/>
              </w:rPr>
              <w:t>76,987 active properties × 39 columns, sortable, one row each</w:t>
            </w:r>
          </w:p>
        </w:tc>
      </w:tr>
      <w:tr>
        <w:tc>
          <w:tcPr>
            <w:tcW w:type="dxa" w:w="432"/>
          </w:tcPr>
          <w:p>
            <w:r/>
            <w:r>
              <w:rPr>
                <w:sz w:val="19"/>
              </w:rPr>
              <w:t>6</w:t>
            </w:r>
          </w:p>
        </w:tc>
        <w:tc>
          <w:tcPr>
            <w:tcW w:type="dxa" w:w="4176"/>
          </w:tcPr>
          <w:p>
            <w:r/>
            <w:r>
              <w:rPr>
                <w:sz w:val="19"/>
              </w:rPr>
              <w:t>Give us a pivot-table way to work it</w:t>
            </w:r>
          </w:p>
        </w:tc>
        <w:tc>
          <w:tcPr>
            <w:tcW w:type="dxa" w:w="5112"/>
          </w:tcPr>
          <w:p>
            <w:r/>
            <w:r>
              <w:rPr>
                <w:sz w:val="19"/>
              </w:rPr>
              <w:t>Offline HTML property finder — filter, group, total, export</w:t>
            </w:r>
          </w:p>
        </w:tc>
      </w:tr>
    </w:tbl>
    <w:p>
      <w:pPr>
        <w:spacing w:after="40"/>
      </w:pPr>
    </w:p>
    <w:p>
      <w:r>
        <w:rPr>
          <w:b w:val="0"/>
          <w:i/>
        </w:rPr>
        <w:t>Started as a list of projects nobody could act on. Ended as a national dataset with the owner, the size of that owner, and the phone number attached to every row — plus a tool the sales team can search without help.</w:t>
      </w:r>
    </w:p>
    <w:p/>
    <w:p>
      <w:r>
        <w:rPr>
          <w:b w:val="0"/>
          <w:i/>
          <w:color w:val="55606B"/>
          <w:sz w:val="18"/>
        </w:rPr>
        <w:t>Prepared for internal use. Built on HUD's LIHTC database, HUD PHA contact reports, HUD RAD rents, and the National Housing Preservation Database.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Calibri" w:hAnsi="Calibri"/>
      <w:b/>
      <w:bCs/>
      <w:color w:val="1B5FA0"/>
      <w:sz w:val="30"/>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Calibri" w:hAnsi="Calibri"/>
      <w:b/>
      <w:bCs/>
      <w:color w:val="1B5FA0"/>
      <w:sz w:val="25"/>
      <w:szCs w:val="26"/>
    </w:rPr>
  </w:style>
  <w:style w:type="paragraph" w:styleId="Heading3">
    <w:name w:val="heading 3"/>
    <w:basedOn w:val="Normal"/>
    <w:next w:val="Normal"/>
    <w:link w:val="Heading3Char"/>
    <w:uiPriority w:val="9"/>
    <w:unhideWhenUsed/>
    <w:qFormat/>
    <w:rsid w:val="00FC693F"/>
    <w:pPr>
      <w:keepNext/>
      <w:keepLines/>
      <w:spacing w:before="260" w:after="80"/>
      <w:outlineLvl w:val="2"/>
    </w:pPr>
    <w:rPr>
      <w:rFonts w:asciiTheme="majorHAnsi" w:eastAsiaTheme="majorEastAsia" w:hAnsiTheme="majorHAnsi" w:cstheme="majorBidi" w:ascii="Calibri" w:hAnsi="Calibr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