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Arial" w:hAnsi="Arial"/>
          <w:b/>
          <w:color w:val="0F172A"/>
          <w:sz w:val="28"/>
        </w:rPr>
        <w:t>VELLORE INSTITUTE OF TECHNOLOGY (VIT), CHENNAI</w:t>
        <w:br/>
      </w:r>
      <w:r>
        <w:rPr>
          <w:rFonts w:ascii="Arial" w:hAnsi="Arial"/>
          <w:color w:val="334155"/>
          <w:sz w:val="24"/>
        </w:rPr>
        <w:t>School of Computer Science and Engineering (SCOPE)</w:t>
        <w:br/>
      </w:r>
      <w:r>
        <w:rPr>
          <w:rFonts w:ascii="Arial" w:hAnsi="Arial"/>
          <w:color w:val="64748B"/>
          <w:sz w:val="20"/>
        </w:rPr>
        <w:t>B.Tech. in Computer Science and Engineering • Academic Year 2025–2026</w:t>
      </w:r>
    </w:p>
    <w:p>
      <w:pPr>
        <w:spacing w:before="320" w:after="320"/>
        <w:jc w:val="center"/>
      </w:pPr>
      <w:r>
        <w:rPr>
          <w:b/>
          <w:color w:val="2563EB"/>
        </w:rPr>
        <w:t>――――――――――――――――――――――――――――――――</w:t>
      </w:r>
    </w:p>
    <w:p>
      <w:pPr>
        <w:spacing w:after="240"/>
        <w:jc w:val="center"/>
      </w:pPr>
      <w:r>
        <w:rPr>
          <w:rFonts w:ascii="Arial" w:hAnsi="Arial"/>
          <w:b/>
          <w:color w:val="2563EB"/>
          <w:sz w:val="22"/>
        </w:rPr>
        <w:t>DIGITAL ASSIGNMENT 1 (DA1) EVALUATION REPORT</w:t>
        <w:br/>
      </w:r>
      <w:r>
        <w:rPr>
          <w:rFonts w:ascii="Arial" w:hAnsi="Arial"/>
          <w:b/>
          <w:color w:val="0F172A"/>
          <w:sz w:val="40"/>
        </w:rPr>
        <w:t>VMotion AI: Intelligent Virtual Machine Migration using Reinforcement Learning</w:t>
      </w:r>
    </w:p>
    <w:p>
      <w:pPr>
        <w:spacing w:after="720"/>
        <w:jc w:val="center"/>
      </w:pPr>
      <w:r>
        <w:rPr>
          <w:rFonts w:ascii="Arial" w:hAnsi="Arial"/>
          <w:i/>
          <w:color w:val="334155"/>
          <w:sz w:val="21"/>
        </w:rPr>
        <w:t>A Complete Project Architecture Combining Proximal Policy Optimization (PPO), a Deterministic 16-Check Safety Gate, Human Operator Approval, and Real Oracle VirtualBox Live Teleportation.</w:t>
      </w:r>
    </w:p>
    <w:tbl>
      <w:tblPr>
        <w:tblW w:type="auto" w:w="0"/>
        <w:jc w:val="center"/>
        <w:tblLook w:firstColumn="1" w:firstRow="1" w:lastColumn="0" w:lastRow="0" w:noHBand="0" w:noVBand="1" w:val="04A0"/>
      </w:tblPr>
      <w:tblGrid>
        <w:gridCol w:w="9360"/>
      </w:tblGrid>
      <w:tr>
        <w:tc>
          <w:tcPr>
            <w:tcW w:type="dxa" w:w="8352"/>
            <w:shd w:fill="F1F5F9"/>
            <w:tcMar>
              <w:top w:w="160" w:type="dxa"/>
              <w:bottom w:w="160" w:type="dxa"/>
              <w:left w:w="220" w:type="dxa"/>
              <w:right w:w="220" w:type="dxa"/>
            </w:tcMar>
          </w:tcPr>
          <w:p>
            <w:pPr>
              <w:spacing w:line="300" w:lineRule="auto"/>
              <w:jc w:val="left"/>
            </w:pPr>
            <w:r>
              <w:rPr>
                <w:rFonts w:ascii="Arial" w:hAnsi="Arial"/>
                <w:b/>
                <w:color w:val="0F172A"/>
                <w:sz w:val="20"/>
              </w:rPr>
              <w:t>PROJECT DETAILS &amp; CANDIDATE CREDENTIALS:</w:t>
              <w:br/>
            </w:r>
            <w:r>
              <w:rPr>
                <w:rFonts w:ascii="Arial" w:hAnsi="Arial"/>
                <w:b/>
                <w:color w:val="334155"/>
                <w:sz w:val="20"/>
              </w:rPr>
              <w:t xml:space="preserve">Student Name: </w:t>
            </w:r>
            <w:r>
              <w:rPr>
                <w:rFonts w:ascii="Arial" w:hAnsi="Arial"/>
                <w:b/>
                <w:color w:val="2563EB"/>
                <w:sz w:val="22"/>
              </w:rPr>
              <w:t>Nithin Sarvesh M</w:t>
              <w:br/>
            </w:r>
            <w:r>
              <w:rPr>
                <w:rFonts w:ascii="Arial" w:hAnsi="Arial"/>
                <w:b/>
                <w:color w:val="334155"/>
                <w:sz w:val="20"/>
              </w:rPr>
              <w:t xml:space="preserve">Institutional Email: </w:t>
            </w:r>
            <w:r>
              <w:rPr>
                <w:rFonts w:ascii="Arial" w:hAnsi="Arial"/>
                <w:b w:val="0"/>
                <w:color w:val="0F172A"/>
                <w:sz w:val="20"/>
              </w:rPr>
              <w:t>nithinsarvesh.m2025@vitstudent.ac.in</w:t>
              <w:br/>
            </w:r>
            <w:r>
              <w:rPr>
                <w:rFonts w:ascii="Arial" w:hAnsi="Arial"/>
                <w:b/>
                <w:color w:val="334155"/>
                <w:sz w:val="20"/>
              </w:rPr>
              <w:t xml:space="preserve">Program: </w:t>
            </w:r>
            <w:r>
              <w:rPr>
                <w:rFonts w:ascii="Arial" w:hAnsi="Arial"/>
                <w:b w:val="0"/>
                <w:color w:val="0F172A"/>
                <w:sz w:val="20"/>
              </w:rPr>
              <w:t>B.Tech Computer Science and Engineering</w:t>
              <w:br/>
            </w:r>
            <w:r>
              <w:rPr>
                <w:rFonts w:ascii="Arial" w:hAnsi="Arial"/>
                <w:b/>
                <w:color w:val="334155"/>
                <w:sz w:val="20"/>
              </w:rPr>
              <w:t xml:space="preserve">Department: </w:t>
            </w:r>
            <w:r>
              <w:rPr>
                <w:rFonts w:ascii="Arial" w:hAnsi="Arial"/>
                <w:b w:val="0"/>
                <w:color w:val="0F172A"/>
                <w:sz w:val="20"/>
              </w:rPr>
              <w:t>School of Computer Science and Engineering (SCOPE)</w:t>
              <w:br/>
            </w:r>
            <w:r>
              <w:rPr>
                <w:rFonts w:ascii="Arial" w:hAnsi="Arial"/>
                <w:b/>
                <w:color w:val="334155"/>
                <w:sz w:val="20"/>
              </w:rPr>
              <w:t xml:space="preserve">Institution: </w:t>
            </w:r>
            <w:r>
              <w:rPr>
                <w:rFonts w:ascii="Arial" w:hAnsi="Arial"/>
                <w:b/>
                <w:color w:val="0F172A"/>
                <w:sz w:val="20"/>
              </w:rPr>
              <w:t>Vellore Institute of Technology (VIT), Chennai, Tamil Nadu, India</w:t>
              <w:br/>
            </w:r>
            <w:r>
              <w:rPr>
                <w:rFonts w:ascii="Arial" w:hAnsi="Arial"/>
                <w:b/>
                <w:color w:val="334155"/>
                <w:sz w:val="20"/>
              </w:rPr>
              <w:t xml:space="preserve">Submission / Course: </w:t>
            </w:r>
            <w:r>
              <w:rPr>
                <w:rFonts w:ascii="Arial" w:hAnsi="Arial"/>
                <w:b w:val="0"/>
                <w:color w:val="0F172A"/>
                <w:sz w:val="20"/>
              </w:rPr>
              <w:t>Digital Assignment 1 (DA1) Evaluation</w:t>
              <w:br/>
            </w:r>
            <w:r>
              <w:rPr>
                <w:rFonts w:ascii="Arial" w:hAnsi="Arial"/>
                <w:b/>
                <w:color w:val="334155"/>
                <w:sz w:val="20"/>
              </w:rPr>
              <w:t xml:space="preserve">Software Implementation: </w:t>
            </w:r>
            <w:r>
              <w:rPr>
                <w:rFonts w:ascii="Arial" w:hAnsi="Arial"/>
                <w:b/>
                <w:color w:val="10B981"/>
                <w:sz w:val="20"/>
              </w:rPr>
              <w:t>100% COMPLETE &amp; VERIFIED (110 Tests Pass)</w:t>
              <w:br/>
            </w:r>
            <w:r>
              <w:rPr>
                <w:rFonts w:ascii="Arial" w:hAnsi="Arial"/>
                <w:b/>
                <w:color w:val="334155"/>
                <w:sz w:val="20"/>
              </w:rPr>
              <w:t xml:space="preserve">Hardware Demonstration: </w:t>
            </w:r>
            <w:r>
              <w:rPr>
                <w:rFonts w:ascii="Arial" w:hAnsi="Arial"/>
                <w:b/>
                <w:color w:val="2563EB"/>
                <w:sz w:val="20"/>
              </w:rPr>
              <w:t>REAL HARDWARE DEMONSTRATION READY (Pending Lab Execution)</w:t>
              <w:br/>
            </w:r>
            <w:r>
              <w:rPr>
                <w:rFonts w:ascii="Arial" w:hAnsi="Arial"/>
                <w:b/>
                <w:color w:val="334155"/>
                <w:sz w:val="20"/>
              </w:rPr>
              <w:t xml:space="preserve">Submission Date: </w:t>
            </w:r>
            <w:r>
              <w:rPr>
                <w:rFonts w:ascii="Arial" w:hAnsi="Arial"/>
                <w:b w:val="0"/>
                <w:color w:val="0F172A"/>
                <w:sz w:val="20"/>
              </w:rPr>
              <w:t>September 19, 2026</w:t>
            </w:r>
          </w:p>
        </w:tc>
      </w:tr>
    </w:tbl>
    <w:p>
      <w:r>
        <w:br w:type="page"/>
      </w:r>
    </w:p>
    <w:p>
      <w:pPr>
        <w:pStyle w:val="Heading1"/>
        <w:keepNext/>
        <w:spacing w:before="360" w:after="120"/>
      </w:pPr>
      <w:r>
        <w:rPr>
          <w:rFonts w:ascii="Arial" w:hAnsi="Arial"/>
          <w:b/>
          <w:color w:val="0F172A"/>
          <w:sz w:val="30"/>
        </w:rPr>
        <w:t>Abstract</w:t>
      </w:r>
    </w:p>
    <w:p>
      <w:pPr>
        <w:spacing w:after="100" w:line="276" w:lineRule="auto"/>
      </w:pPr>
      <w:r>
        <w:rPr>
          <w:rFonts w:ascii="Arial" w:hAnsi="Arial"/>
          <w:color w:val="334155"/>
          <w:sz w:val="20"/>
        </w:rPr>
        <w:t>In modern cloud infrastructure, server loads fluctuate dynamically. Static migration rules (such as migrating a virtual machine whenever host CPU exceeds 80%) often react too late or cause workloads to bounce back and forth unnecessarily during brief traffic bursts. Conversely, while Reinforcement Learning (RL) can learn to anticipate imbalances and optimize cluster load over time, an unconstrained AI model cannot be allowed to execute raw hypervisor commands directly due to the risk of unsafe decisions.</w:t>
      </w:r>
    </w:p>
    <w:p>
      <w:pPr>
        <w:spacing w:after="100" w:line="276" w:lineRule="auto"/>
      </w:pPr>
      <w:r>
        <w:rPr>
          <w:rFonts w:ascii="Arial" w:hAnsi="Arial"/>
          <w:color w:val="334155"/>
          <w:sz w:val="20"/>
        </w:rPr>
        <w:t>VMotion AI solves this problem by using a decoupled design: the reinforcement learning model (MaskablePPO) recommends which VM to relocate, a separate deterministic safety gate checks 16 physical rules and compatibility matrices to confirm that the migration is safe, a human operator approves the proposal, and the backend orchestrates real live teleportation using native Oracle VirtualBox commands.</w:t>
      </w:r>
    </w:p>
    <w:p>
      <w:pPr>
        <w:spacing w:after="100" w:line="276" w:lineRule="auto"/>
      </w:pPr>
      <w:r>
        <w:rPr>
          <w:rFonts w:ascii="Arial" w:hAnsi="Arial"/>
          <w:color w:val="334155"/>
          <w:sz w:val="20"/>
        </w:rPr>
        <w:t>The AI decision engine ingests a normalized 103-dimensional state vector representing node telemetry, per-VM utilization, and cluster-wide fairness. During development, we discovered that an early model (PPO V4) suffered from policy collapse, learning to do nothing (0.0 migrations) because it was trained only on normal cluster conditions. We fixed this in PPO V5 by introducing a balanced training sampler across four cluster states: Normal, CPU Hotspot, RAM Hotspot, and Mixed Overload. In a 600-episode benchmark across 10 evaluation scenarios, PPO V5 achieved an overall reward improvement of +319.29 points over V4 (+55.81 vs. -263.48), achieved a reward of +154.93 on unseen test scenarios, cut server overload time by 87.8%, and reached a Jain's Fairness Index of 0.9288.</w:t>
      </w:r>
    </w:p>
    <w:p>
      <w:pPr>
        <w:spacing w:after="100" w:line="276" w:lineRule="auto"/>
      </w:pPr>
      <w:r>
        <w:rPr>
          <w:rFonts w:ascii="Arial" w:hAnsi="Arial"/>
          <w:color w:val="334155"/>
          <w:sz w:val="20"/>
        </w:rPr>
        <w:t>The project implements native Oracle VirtualBox Live Teleportation via VBoxManage, supported by dedicated host agents (`vmotion-agent`) running on source and destination computers, shared network storage (SMB/NFS) for disk persistence, and a live memory streaming protocol on TCP port 60050. With 110 passing automated unit and integration tests and a clean frontend build, the software implementation stands at 100% completion, with the two-computer physical laboratory demonstration fully scripted and ready for execution.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32" w:space="0" w:color="4F46E5"/>
              <w:bottom w:val="none"/>
              <w:right w:val="none"/>
            </w:tcBorders>
          </w:tcPr>
          <w:p>
            <w:pPr>
              <w:spacing w:after="60"/>
            </w:pPr>
            <w:r>
              <w:rPr>
                <w:rFonts w:ascii="Arial" w:hAnsi="Arial"/>
                <w:b/>
                <w:color w:val="0F172A"/>
                <w:sz w:val="20"/>
              </w:rPr>
              <w:t>■ KEYWORDS</w:t>
              <w:br/>
            </w:r>
            <w:r>
              <w:rPr>
                <w:rFonts w:ascii="Arial" w:hAnsi="Arial"/>
                <w:color w:val="334155"/>
                <w:sz w:val="19"/>
              </w:rPr>
              <w:t>Virtual Machine Live Migration, Reinforcement Learning, Proximal Policy Optimization (PPO), Deterministic Safety Gate, Oracle VirtualBox Teleportation, Cluster Load Balancing, Human-in-the-Loop, Cloud Infrastructure.</w:t>
            </w:r>
          </w:p>
        </w:tc>
      </w:tr>
    </w:tbl>
    <w:p>
      <w:pPr>
        <w:spacing w:after="80"/>
      </w:pPr>
    </w:p>
    <w:p>
      <w:r>
        <w:br w:type="page"/>
      </w:r>
    </w:p>
    <w:p>
      <w:pPr>
        <w:pStyle w:val="Heading1"/>
        <w:keepNext/>
        <w:spacing w:before="360" w:after="120"/>
      </w:pPr>
      <w:r>
        <w:rPr>
          <w:rFonts w:ascii="Arial" w:hAnsi="Arial"/>
          <w:b/>
          <w:color w:val="0F172A"/>
          <w:sz w:val="30"/>
        </w:rPr>
        <w:t>1. Introduction &amp; Background</w:t>
      </w:r>
    </w:p>
    <w:p>
      <w:pPr>
        <w:spacing w:after="100" w:line="276" w:lineRule="auto"/>
      </w:pPr>
      <w:r>
        <w:rPr>
          <w:rFonts w:ascii="Arial" w:hAnsi="Arial"/>
          <w:color w:val="334155"/>
          <w:sz w:val="20"/>
        </w:rPr>
        <w:t>Virtualization allows multiple independent virtual machines (VMs) to share the same physical server hardware. In enterprise and academic virtualization environments, workloads rarely stay at a constant load. Traffic spikes, database batch jobs, and user demand cause compute and memory utilization to shift dynamically throughout the day.</w:t>
      </w:r>
    </w:p>
    <w:p>
      <w:pPr>
        <w:spacing w:after="100" w:line="276" w:lineRule="auto"/>
      </w:pPr>
      <w:r>
        <w:rPr>
          <w:rFonts w:ascii="Arial" w:hAnsi="Arial"/>
          <w:color w:val="334155"/>
          <w:sz w:val="20"/>
        </w:rPr>
        <w:t>Live VM Migration (Teleportation) is the ability to move a running virtual machine from one physical host to another across a local network connection without shutting it down. The hypervisor pre-warms the destination target in receiving mode, streams active RAM pages and CPU register state across the network, briefly suspends execution for milliseconds to copy remaining dirty pages, and immediately resumes execution on the new host while disk images reside safely on shared network storage.</w:t>
      </w:r>
    </w:p>
    <w:p>
      <w:pPr>
        <w:spacing w:after="100" w:line="276" w:lineRule="auto"/>
      </w:pPr>
      <w:r>
        <w:rPr>
          <w:rFonts w:ascii="Arial" w:hAnsi="Arial"/>
          <w:color w:val="334155"/>
          <w:sz w:val="20"/>
        </w:rPr>
        <w:t>The challenge is not how to migrate, but when and where to migrate. Moving a VM takes network bandwidth and CPU cycles. Migrating too early or too frequently hurts performance. Migrating too late causes severe server throttling. VMotion AI was developed to automate this decision process intelligently using reinforcement learning while keeping strong deterministic safety controls.</w:t>
      </w:r>
    </w:p>
    <w:p>
      <w:pPr>
        <w:pStyle w:val="Heading1"/>
        <w:keepNext/>
        <w:spacing w:before="360" w:after="120"/>
      </w:pPr>
      <w:r>
        <w:rPr>
          <w:rFonts w:ascii="Arial" w:hAnsi="Arial"/>
          <w:b/>
          <w:color w:val="0F172A"/>
          <w:sz w:val="30"/>
        </w:rPr>
        <w:t>2. Problem Statement &amp; Motivation</w:t>
      </w:r>
    </w:p>
    <w:p>
      <w:pPr>
        <w:pStyle w:val="Heading2"/>
        <w:keepNext/>
        <w:spacing w:before="240" w:after="80"/>
      </w:pPr>
      <w:r>
        <w:rPr>
          <w:rFonts w:ascii="Arial" w:hAnsi="Arial"/>
          <w:b/>
          <w:color w:val="2563EB"/>
          <w:sz w:val="24"/>
        </w:rPr>
        <w:t>2.1 Problem Statement</w:t>
      </w:r>
    </w:p>
    <w:p>
      <w:pPr>
        <w:spacing w:after="100" w:line="276" w:lineRule="auto"/>
      </w:pPr>
      <w:r>
        <w:rPr>
          <w:rFonts w:ascii="Arial" w:hAnsi="Arial"/>
          <w:color w:val="334155"/>
          <w:sz w:val="20"/>
        </w:rPr>
        <w:t>Traditional cloud migration managers rely on static threshold rules (e.g. migrate when host CPU exceeds 80%). This creates several real-world issues:</w:t>
      </w:r>
    </w:p>
    <w:p>
      <w:pPr>
        <w:pStyle w:val="ListBullet"/>
        <w:spacing w:after="60" w:line="276" w:lineRule="auto"/>
      </w:pPr>
      <w:r>
        <w:rPr>
          <w:rFonts w:ascii="Arial" w:hAnsi="Arial"/>
          <w:b/>
          <w:color w:val="0F172A"/>
          <w:sz w:val="20"/>
        </w:rPr>
        <w:t xml:space="preserve">Migration Flapping: </w:t>
      </w:r>
      <w:r>
        <w:rPr>
          <w:rFonts w:ascii="Arial" w:hAnsi="Arial"/>
          <w:color w:val="334155"/>
          <w:sz w:val="20"/>
        </w:rPr>
        <w:t>A brief 30-second spike trips the rule and triggers a migration. By the time the VM finishes moving, the spike is gone, and the system moves it right back.</w:t>
      </w:r>
    </w:p>
    <w:p>
      <w:pPr>
        <w:pStyle w:val="ListBullet"/>
        <w:spacing w:after="60" w:line="276" w:lineRule="auto"/>
      </w:pPr>
      <w:r>
        <w:rPr>
          <w:rFonts w:ascii="Arial" w:hAnsi="Arial"/>
          <w:b/>
          <w:color w:val="0F172A"/>
          <w:sz w:val="20"/>
        </w:rPr>
        <w:t xml:space="preserve">Suboptimal Destination Picks: </w:t>
      </w:r>
      <w:r>
        <w:rPr>
          <w:rFonts w:ascii="Arial" w:hAnsi="Arial"/>
          <w:color w:val="334155"/>
          <w:sz w:val="20"/>
        </w:rPr>
        <w:t>Heuristic rules often pick whatever server looks least loaded at that exact moment, without checking whether the destination has enough RAM headroom or whether its load is rising.</w:t>
      </w:r>
    </w:p>
    <w:p>
      <w:pPr>
        <w:pStyle w:val="ListBullet"/>
        <w:spacing w:after="60" w:line="276" w:lineRule="auto"/>
      </w:pPr>
      <w:r>
        <w:rPr>
          <w:rFonts w:ascii="Arial" w:hAnsi="Arial"/>
          <w:b/>
          <w:color w:val="0F172A"/>
          <w:sz w:val="20"/>
        </w:rPr>
        <w:t xml:space="preserve">Manual Delays: </w:t>
      </w:r>
      <w:r>
        <w:rPr>
          <w:rFonts w:ascii="Arial" w:hAnsi="Arial"/>
          <w:color w:val="334155"/>
          <w:sz w:val="20"/>
        </w:rPr>
        <w:t>When automated rules are disabled, system administrators have to respond manually, which usually takes several minutes during which customer applications suffer.</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32" w:space="0" w:color="2563EB"/>
              <w:bottom w:val="none"/>
              <w:right w:val="none"/>
            </w:tcBorders>
          </w:tcPr>
          <w:p>
            <w:pPr>
              <w:spacing w:after="60"/>
            </w:pPr>
            <w:r>
              <w:rPr>
                <w:rFonts w:ascii="Arial" w:hAnsi="Arial"/>
                <w:b/>
                <w:color w:val="0F172A"/>
                <w:sz w:val="20"/>
              </w:rPr>
              <w:t>■ PROBLEM STATEMENT</w:t>
              <w:br/>
            </w:r>
            <w:r>
              <w:rPr>
                <w:rFonts w:ascii="Arial" w:hAnsi="Arial"/>
                <w:color w:val="334155"/>
                <w:sz w:val="19"/>
              </w:rPr>
              <w:t>How can we automatically rebalance running virtual machines across physical infrastructure nodes using reinforcement learning based on real host telemetry, while ensuring that the AI cannot make unsafe or destabilizing migration decisions, and executing verifiable live teleportation between physical computers?</w:t>
            </w:r>
          </w:p>
        </w:tc>
      </w:tr>
    </w:tbl>
    <w:p>
      <w:pPr>
        <w:spacing w:after="80"/>
      </w:pPr>
    </w:p>
    <w:p>
      <w:pPr>
        <w:pStyle w:val="Heading2"/>
        <w:keepNext/>
        <w:spacing w:before="240" w:after="80"/>
      </w:pPr>
      <w:r>
        <w:rPr>
          <w:rFonts w:ascii="Arial" w:hAnsi="Arial"/>
          <w:b/>
          <w:color w:val="2563EB"/>
          <w:sz w:val="24"/>
        </w:rPr>
        <w:t>2.2 Motivation: Why a Safety Layer Is Needed</w:t>
      </w:r>
    </w:p>
    <w:p>
      <w:pPr>
        <w:spacing w:after="100" w:line="276" w:lineRule="auto"/>
      </w:pPr>
      <w:r>
        <w:rPr>
          <w:rFonts w:ascii="Arial" w:hAnsi="Arial"/>
          <w:color w:val="334155"/>
          <w:sz w:val="20"/>
        </w:rPr>
        <w:t>Reinforcement learning is well suited for this problem because a trained agent can learn complex multi-server relationships that simple if/else rules miss. However, an RL policy is a statistical neural network. It can make mistakes, especially in unusual situations. If an RL model were allowed to send commands directly to a hypervisor, it could accidentally pick an overloaded destination, try to migrate a VM that is already moving, or saturate memory. Our motivation was to build a system where the AI only recommends actions, and a deterministic safety layer verifies every physical constraint before anything executes.</w:t>
      </w:r>
    </w:p>
    <w:p>
      <w:pPr>
        <w:pStyle w:val="Heading1"/>
        <w:keepNext/>
        <w:spacing w:before="360" w:after="120"/>
      </w:pPr>
      <w:r>
        <w:rPr>
          <w:rFonts w:ascii="Arial" w:hAnsi="Arial"/>
          <w:b/>
          <w:color w:val="0F172A"/>
          <w:sz w:val="30"/>
        </w:rPr>
        <w:t>3. Project Objectives &amp; Key Constraints</w:t>
      </w:r>
    </w:p>
    <w:p>
      <w:pPr>
        <w:spacing w:after="100" w:line="276" w:lineRule="auto"/>
      </w:pPr>
      <w:r>
        <w:rPr>
          <w:rFonts w:ascii="Arial" w:hAnsi="Arial"/>
          <w:color w:val="334155"/>
          <w:sz w:val="20"/>
        </w:rPr>
        <w:t>The project was designed and implemented against four concrete objectives:</w:t>
      </w:r>
    </w:p>
    <w:p>
      <w:pPr>
        <w:pStyle w:val="ListBullet"/>
        <w:spacing w:after="60" w:line="276" w:lineRule="auto"/>
      </w:pPr>
      <w:r>
        <w:rPr>
          <w:rFonts w:ascii="Arial" w:hAnsi="Arial"/>
          <w:b/>
          <w:color w:val="0F172A"/>
          <w:sz w:val="20"/>
        </w:rPr>
        <w:t xml:space="preserve">1. Real-Time Telemetry &amp; 103-Feature Adapter: </w:t>
      </w:r>
      <w:r>
        <w:rPr>
          <w:rFonts w:ascii="Arial" w:hAnsi="Arial"/>
          <w:color w:val="334155"/>
          <w:sz w:val="20"/>
        </w:rPr>
        <w:t>Capture CPU, RAM, Network, Disk, and VM metrics from hypervisor agents and convert them into a normalized 103-dimensional state vector.</w:t>
      </w:r>
    </w:p>
    <w:p>
      <w:pPr>
        <w:pStyle w:val="ListBullet"/>
        <w:spacing w:after="60" w:line="276" w:lineRule="auto"/>
      </w:pPr>
      <w:r>
        <w:rPr>
          <w:rFonts w:ascii="Arial" w:hAnsi="Arial"/>
          <w:b/>
          <w:color w:val="0F172A"/>
          <w:sz w:val="20"/>
        </w:rPr>
        <w:t xml:space="preserve">2. PPO Decision Engine with Action Masking: </w:t>
      </w:r>
      <w:r>
        <w:rPr>
          <w:rFonts w:ascii="Arial" w:hAnsi="Arial"/>
          <w:color w:val="334155"/>
          <w:sz w:val="20"/>
        </w:rPr>
        <w:t>Train and freeze a MaskablePPO agent over a Discrete(7) action space with cooldown masking to select candidate VMs for rebalancing.</w:t>
      </w:r>
    </w:p>
    <w:p>
      <w:pPr>
        <w:pStyle w:val="ListBullet"/>
        <w:spacing w:after="60" w:line="276" w:lineRule="auto"/>
      </w:pPr>
      <w:r>
        <w:rPr>
          <w:rFonts w:ascii="Arial" w:hAnsi="Arial"/>
          <w:b/>
          <w:color w:val="0F172A"/>
          <w:sz w:val="20"/>
        </w:rPr>
        <w:t xml:space="preserve">3. Deterministic Safety Gate: </w:t>
      </w:r>
      <w:r>
        <w:rPr>
          <w:rFonts w:ascii="Arial" w:hAnsi="Arial"/>
          <w:color w:val="334155"/>
          <w:sz w:val="20"/>
        </w:rPr>
        <w:t>Build a separate verification layer that independently checks host health, target CPU, memory headroom, port availability, and cooldown under fail-closed logic.</w:t>
      </w:r>
    </w:p>
    <w:p>
      <w:pPr>
        <w:pStyle w:val="ListBullet"/>
        <w:spacing w:after="60" w:line="276" w:lineRule="auto"/>
      </w:pPr>
      <w:r>
        <w:rPr>
          <w:rFonts w:ascii="Arial" w:hAnsi="Arial"/>
          <w:b/>
          <w:color w:val="0F172A"/>
          <w:sz w:val="20"/>
        </w:rPr>
        <w:t xml:space="preserve">4. Real Oracle VirtualBox Live Teleportation: </w:t>
      </w:r>
      <w:r>
        <w:rPr>
          <w:rFonts w:ascii="Arial" w:hAnsi="Arial"/>
          <w:color w:val="334155"/>
          <w:sz w:val="20"/>
        </w:rPr>
        <w:t>Orchestrate real live VM teleportation across physical computers running Oracle VirtualBox using native VBoxManage commands and shared storage.</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32" w:space="0" w:color="D97706"/>
              <w:bottom w:val="none"/>
              <w:right w:val="none"/>
            </w:tcBorders>
          </w:tcPr>
          <w:p>
            <w:pPr>
              <w:spacing w:after="60"/>
            </w:pPr>
            <w:r>
              <w:rPr>
                <w:rFonts w:ascii="Arial" w:hAnsi="Arial"/>
                <w:b/>
                <w:color w:val="0F172A"/>
                <w:sz w:val="20"/>
              </w:rPr>
              <w:t>■ KEY DESIGN CONSTRAINTS</w:t>
              <w:br/>
            </w:r>
            <w:r>
              <w:rPr>
                <w:rFonts w:ascii="Arial" w:hAnsi="Arial"/>
                <w:color w:val="334155"/>
                <w:sz w:val="19"/>
              </w:rPr>
              <w:t>• The AI Recommends. The Safety Gate Validates. The Human Approves. The Backend Executes.</w:t>
              <w:br/>
              <w:t>• The frontend never communicates directly with hypervisors without control plane authentication.</w:t>
              <w:br/>
              <w:t>• The RL model never directly issues hypervisor commands.</w:t>
              <w:br/>
              <w:t>• Live mode never silently falls back to simulation data if servers disconnect.</w:t>
              <w:br/>
              <w:t>• Software completion is 100% verified, with physical two-host execution clearly documented as laboratory demonstration ready.</w:t>
            </w:r>
          </w:p>
        </w:tc>
      </w:tr>
    </w:tbl>
    <w:p>
      <w:pPr>
        <w:spacing w:after="80"/>
      </w:pPr>
    </w:p>
    <w:p>
      <w:pPr>
        <w:pStyle w:val="Heading1"/>
        <w:keepNext/>
        <w:spacing w:before="360" w:after="120"/>
      </w:pPr>
      <w:r>
        <w:rPr>
          <w:rFonts w:ascii="Arial" w:hAnsi="Arial"/>
          <w:b/>
          <w:color w:val="0F172A"/>
          <w:sz w:val="30"/>
        </w:rPr>
        <w:t>4. Existing Systems vs. Proposed VMotion AI</w:t>
      </w:r>
    </w:p>
    <w:p>
      <w:pPr>
        <w:spacing w:after="100" w:line="276" w:lineRule="auto"/>
      </w:pPr>
      <w:r>
        <w:rPr>
          <w:rFonts w:ascii="Arial" w:hAnsi="Arial"/>
          <w:color w:val="334155"/>
          <w:sz w:val="20"/>
        </w:rPr>
        <w:t>Table 4.1 compares traditional migration approaches with VMotion AI:</w:t>
      </w:r>
    </w:p>
    <w:tbl>
      <w:tblPr>
        <w:tblW w:type="auto" w:w="0"/>
        <w:jc w:val="center"/>
        <w:tblLook w:firstColumn="1" w:firstRow="1" w:lastColumn="0" w:lastRow="0" w:noHBand="0" w:noVBand="1" w:val="04A0"/>
      </w:tblPr>
      <w:tblGrid>
        <w:gridCol w:w="2340"/>
        <w:gridCol w:w="2340"/>
        <w:gridCol w:w="2340"/>
        <w:gridCol w:w="2340"/>
      </w:tblGrid>
      <w:tr>
        <w:tc>
          <w:tcPr>
            <w:tcW w:type="dxa" w:w="1728"/>
            <w:shd w:fill="0F172A"/>
            <w:tcMar>
              <w:top w:w="120" w:type="dxa"/>
              <w:bottom w:w="120" w:type="dxa"/>
              <w:left w:w="140" w:type="dxa"/>
              <w:right w:w="140" w:type="dxa"/>
            </w:tcMar>
          </w:tcPr>
          <w:p>
            <w:pPr>
              <w:jc w:val="left"/>
            </w:pPr>
            <w:r>
              <w:rPr>
                <w:rFonts w:ascii="Arial" w:hAnsi="Arial"/>
                <w:b/>
                <w:color w:val="FFFFFF"/>
                <w:sz w:val="19"/>
              </w:rPr>
              <w:t>Aspect</w:t>
            </w:r>
          </w:p>
        </w:tc>
        <w:tc>
          <w:tcPr>
            <w:tcW w:type="dxa" w:w="3312"/>
            <w:shd w:fill="0F172A"/>
            <w:tcMar>
              <w:top w:w="120" w:type="dxa"/>
              <w:bottom w:w="120" w:type="dxa"/>
              <w:left w:w="140" w:type="dxa"/>
              <w:right w:w="140" w:type="dxa"/>
            </w:tcMar>
          </w:tcPr>
          <w:p>
            <w:pPr>
              <w:jc w:val="left"/>
            </w:pPr>
            <w:r>
              <w:rPr>
                <w:rFonts w:ascii="Arial" w:hAnsi="Arial"/>
                <w:b/>
                <w:color w:val="FFFFFF"/>
                <w:sz w:val="19"/>
              </w:rPr>
              <w:t>Traditional / Heuristic Approach</w:t>
            </w:r>
          </w:p>
        </w:tc>
        <w:tc>
          <w:tcPr>
            <w:tcW w:type="dxa" w:w="3312"/>
            <w:shd w:fill="0F172A"/>
            <w:tcMar>
              <w:top w:w="120" w:type="dxa"/>
              <w:bottom w:w="120" w:type="dxa"/>
              <w:left w:w="140" w:type="dxa"/>
              <w:right w:w="140" w:type="dxa"/>
            </w:tcMar>
          </w:tcPr>
          <w:p>
            <w:pPr>
              <w:jc w:val="left"/>
            </w:pPr>
            <w:r>
              <w:rPr>
                <w:rFonts w:ascii="Arial" w:hAnsi="Arial"/>
                <w:b/>
                <w:color w:val="FFFFFF"/>
                <w:sz w:val="19"/>
              </w:rPr>
              <w:t>VMotion AI Approach</w:t>
            </w:r>
          </w:p>
        </w:tc>
        <w:tc>
          <w:tcPr>
            <w:tcW w:type="dxa" w:w="2448"/>
            <w:shd w:fill="0F172A"/>
            <w:tcMar>
              <w:top w:w="120" w:type="dxa"/>
              <w:bottom w:w="120" w:type="dxa"/>
              <w:left w:w="140" w:type="dxa"/>
              <w:right w:w="140" w:type="dxa"/>
            </w:tcMar>
          </w:tcPr>
          <w:p>
            <w:pPr>
              <w:jc w:val="left"/>
            </w:pPr>
            <w:r>
              <w:rPr>
                <w:rFonts w:ascii="Arial" w:hAnsi="Arial"/>
                <w:b/>
                <w:color w:val="FFFFFF"/>
                <w:sz w:val="19"/>
              </w:rPr>
              <w:t>Benefit</w:t>
            </w:r>
          </w:p>
        </w:tc>
      </w:tr>
      <w:tr>
        <w:tc>
          <w:tcPr>
            <w:tcW w:type="dxa" w:w="1728"/>
            <w:shd w:fill="F8FAFC"/>
            <w:tcMar>
              <w:top w:w="100" w:type="dxa"/>
              <w:bottom w:w="100" w:type="dxa"/>
              <w:left w:w="140" w:type="dxa"/>
              <w:right w:w="140" w:type="dxa"/>
            </w:tcMar>
          </w:tcPr>
          <w:p>
            <w:pPr>
              <w:jc w:val="left"/>
            </w:pPr>
            <w:r>
              <w:rPr>
                <w:rFonts w:ascii="Arial" w:hAnsi="Arial"/>
                <w:b/>
                <w:color w:val="0F172A"/>
                <w:sz w:val="18"/>
              </w:rPr>
              <w:t>Decision Method</w:t>
            </w:r>
          </w:p>
        </w:tc>
        <w:tc>
          <w:tcPr>
            <w:tcW w:type="dxa" w:w="3312"/>
            <w:shd w:fill="F8FAFC"/>
            <w:tcMar>
              <w:top w:w="100" w:type="dxa"/>
              <w:bottom w:w="100" w:type="dxa"/>
              <w:left w:w="140" w:type="dxa"/>
              <w:right w:w="140" w:type="dxa"/>
            </w:tcMar>
          </w:tcPr>
          <w:p>
            <w:pPr>
              <w:jc w:val="left"/>
            </w:pPr>
            <w:r>
              <w:rPr>
                <w:rFonts w:ascii="Arial" w:hAnsi="Arial"/>
                <w:color w:val="334155"/>
                <w:sz w:val="18"/>
              </w:rPr>
              <w:t>Static threshold rules (e.g. CPU &gt; 80%) or greedy heuristic searches.</w:t>
            </w:r>
          </w:p>
        </w:tc>
        <w:tc>
          <w:tcPr>
            <w:tcW w:type="dxa" w:w="3312"/>
            <w:shd w:fill="F8FAFC"/>
            <w:tcMar>
              <w:top w:w="100" w:type="dxa"/>
              <w:bottom w:w="100" w:type="dxa"/>
              <w:left w:w="140" w:type="dxa"/>
              <w:right w:w="140" w:type="dxa"/>
            </w:tcMar>
          </w:tcPr>
          <w:p>
            <w:pPr>
              <w:jc w:val="left"/>
            </w:pPr>
            <w:r>
              <w:rPr>
                <w:rFonts w:ascii="Arial" w:hAnsi="Arial"/>
                <w:color w:val="334155"/>
                <w:sz w:val="18"/>
              </w:rPr>
              <w:t>Reinforcement Learning (PPO) optimizes for overall cluster balance over time.</w:t>
            </w:r>
          </w:p>
        </w:tc>
        <w:tc>
          <w:tcPr>
            <w:tcW w:type="dxa" w:w="2448"/>
            <w:shd w:fill="F8FAFC"/>
            <w:tcMar>
              <w:top w:w="100" w:type="dxa"/>
              <w:bottom w:w="100" w:type="dxa"/>
              <w:left w:w="140" w:type="dxa"/>
              <w:right w:w="140" w:type="dxa"/>
            </w:tcMar>
          </w:tcPr>
          <w:p>
            <w:pPr>
              <w:jc w:val="left"/>
            </w:pPr>
            <w:r>
              <w:rPr>
                <w:rFonts w:ascii="Arial" w:hAnsi="Arial"/>
                <w:color w:val="334155"/>
                <w:sz w:val="18"/>
              </w:rPr>
              <w:t>Proactive anticipation vs. reactive threshold tripping.</w:t>
            </w:r>
          </w:p>
        </w:tc>
      </w:tr>
      <w:tr>
        <w:tc>
          <w:tcPr>
            <w:tcW w:type="dxa" w:w="1728"/>
            <w:shd w:fill="FFFFFF"/>
            <w:tcMar>
              <w:top w:w="100" w:type="dxa"/>
              <w:bottom w:w="100" w:type="dxa"/>
              <w:left w:w="140" w:type="dxa"/>
              <w:right w:w="140" w:type="dxa"/>
            </w:tcMar>
          </w:tcPr>
          <w:p>
            <w:pPr>
              <w:jc w:val="left"/>
            </w:pPr>
            <w:r>
              <w:rPr>
                <w:rFonts w:ascii="Arial" w:hAnsi="Arial"/>
                <w:b/>
                <w:color w:val="0F172A"/>
                <w:sz w:val="18"/>
              </w:rPr>
              <w:t>State Awareness</w:t>
            </w:r>
          </w:p>
        </w:tc>
        <w:tc>
          <w:tcPr>
            <w:tcW w:type="dxa" w:w="3312"/>
            <w:shd w:fill="FFFFFF"/>
            <w:tcMar>
              <w:top w:w="100" w:type="dxa"/>
              <w:bottom w:w="100" w:type="dxa"/>
              <w:left w:w="140" w:type="dxa"/>
              <w:right w:w="140" w:type="dxa"/>
            </w:tcMar>
          </w:tcPr>
          <w:p>
            <w:pPr>
              <w:jc w:val="left"/>
            </w:pPr>
            <w:r>
              <w:rPr>
                <w:rFonts w:ascii="Arial" w:hAnsi="Arial"/>
                <w:color w:val="334155"/>
                <w:sz w:val="18"/>
              </w:rPr>
              <w:t>Looks at single-server metrics; misses cluster-wide variance.</w:t>
            </w:r>
          </w:p>
        </w:tc>
        <w:tc>
          <w:tcPr>
            <w:tcW w:type="dxa" w:w="3312"/>
            <w:shd w:fill="FFFFFF"/>
            <w:tcMar>
              <w:top w:w="100" w:type="dxa"/>
              <w:bottom w:w="100" w:type="dxa"/>
              <w:left w:w="140" w:type="dxa"/>
              <w:right w:w="140" w:type="dxa"/>
            </w:tcMar>
          </w:tcPr>
          <w:p>
            <w:pPr>
              <w:jc w:val="left"/>
            </w:pPr>
            <w:r>
              <w:rPr>
                <w:rFonts w:ascii="Arial" w:hAnsi="Arial"/>
                <w:color w:val="334155"/>
                <w:sz w:val="18"/>
              </w:rPr>
              <w:t>103-dimensional state vector tracks all nodes, VMs, and cluster fairness.</w:t>
            </w:r>
          </w:p>
        </w:tc>
        <w:tc>
          <w:tcPr>
            <w:tcW w:type="dxa" w:w="2448"/>
            <w:shd w:fill="FFFFFF"/>
            <w:tcMar>
              <w:top w:w="100" w:type="dxa"/>
              <w:bottom w:w="100" w:type="dxa"/>
              <w:left w:w="140" w:type="dxa"/>
              <w:right w:w="140" w:type="dxa"/>
            </w:tcMar>
          </w:tcPr>
          <w:p>
            <w:pPr>
              <w:jc w:val="left"/>
            </w:pPr>
            <w:r>
              <w:rPr>
                <w:rFonts w:ascii="Arial" w:hAnsi="Arial"/>
                <w:color w:val="334155"/>
                <w:sz w:val="18"/>
              </w:rPr>
              <w:t>Complete cluster-wide situational awareness.</w:t>
            </w:r>
          </w:p>
        </w:tc>
      </w:tr>
      <w:tr>
        <w:tc>
          <w:tcPr>
            <w:tcW w:type="dxa" w:w="1728"/>
            <w:shd w:fill="F8FAFC"/>
            <w:tcMar>
              <w:top w:w="100" w:type="dxa"/>
              <w:bottom w:w="100" w:type="dxa"/>
              <w:left w:w="140" w:type="dxa"/>
              <w:right w:w="140" w:type="dxa"/>
            </w:tcMar>
          </w:tcPr>
          <w:p>
            <w:pPr>
              <w:jc w:val="left"/>
            </w:pPr>
            <w:r>
              <w:rPr>
                <w:rFonts w:ascii="Arial" w:hAnsi="Arial"/>
                <w:b/>
                <w:color w:val="0F172A"/>
                <w:sz w:val="18"/>
              </w:rPr>
              <w:t>Flapping Control</w:t>
            </w:r>
          </w:p>
        </w:tc>
        <w:tc>
          <w:tcPr>
            <w:tcW w:type="dxa" w:w="3312"/>
            <w:shd w:fill="F8FAFC"/>
            <w:tcMar>
              <w:top w:w="100" w:type="dxa"/>
              <w:bottom w:w="100" w:type="dxa"/>
              <w:left w:w="140" w:type="dxa"/>
              <w:right w:w="140" w:type="dxa"/>
            </w:tcMar>
          </w:tcPr>
          <w:p>
            <w:pPr>
              <w:jc w:val="left"/>
            </w:pPr>
            <w:r>
              <w:rPr>
                <w:rFonts w:ascii="Arial" w:hAnsi="Arial"/>
                <w:color w:val="334155"/>
                <w:sz w:val="18"/>
              </w:rPr>
              <w:t>Crude delays; VMs often migrate back and forth during load spikes.</w:t>
            </w:r>
          </w:p>
        </w:tc>
        <w:tc>
          <w:tcPr>
            <w:tcW w:type="dxa" w:w="3312"/>
            <w:shd w:fill="F8FAFC"/>
            <w:tcMar>
              <w:top w:w="100" w:type="dxa"/>
              <w:bottom w:w="100" w:type="dxa"/>
              <w:left w:w="140" w:type="dxa"/>
              <w:right w:w="140" w:type="dxa"/>
            </w:tcMar>
          </w:tcPr>
          <w:p>
            <w:pPr>
              <w:jc w:val="left"/>
            </w:pPr>
            <w:r>
              <w:rPr>
                <w:rFonts w:ascii="Arial" w:hAnsi="Arial"/>
                <w:color w:val="334155"/>
                <w:sz w:val="18"/>
              </w:rPr>
              <w:t>60-second cooldown dynamically enforced via invalid action masking.</w:t>
            </w:r>
          </w:p>
        </w:tc>
        <w:tc>
          <w:tcPr>
            <w:tcW w:type="dxa" w:w="2448"/>
            <w:shd w:fill="F8FAFC"/>
            <w:tcMar>
              <w:top w:w="100" w:type="dxa"/>
              <w:bottom w:w="100" w:type="dxa"/>
              <w:left w:w="140" w:type="dxa"/>
              <w:right w:w="140" w:type="dxa"/>
            </w:tcMar>
          </w:tcPr>
          <w:p>
            <w:pPr>
              <w:jc w:val="left"/>
            </w:pPr>
            <w:r>
              <w:rPr>
                <w:rFonts w:ascii="Arial" w:hAnsi="Arial"/>
                <w:color w:val="334155"/>
                <w:sz w:val="18"/>
              </w:rPr>
              <w:t>Prevents repeat migrations of recently moved workloads.</w:t>
            </w:r>
          </w:p>
        </w:tc>
      </w:tr>
      <w:tr>
        <w:tc>
          <w:tcPr>
            <w:tcW w:type="dxa" w:w="1728"/>
            <w:shd w:fill="FFFFFF"/>
            <w:tcMar>
              <w:top w:w="100" w:type="dxa"/>
              <w:bottom w:w="100" w:type="dxa"/>
              <w:left w:w="140" w:type="dxa"/>
              <w:right w:w="140" w:type="dxa"/>
            </w:tcMar>
          </w:tcPr>
          <w:p>
            <w:pPr>
              <w:jc w:val="left"/>
            </w:pPr>
            <w:r>
              <w:rPr>
                <w:rFonts w:ascii="Arial" w:hAnsi="Arial"/>
                <w:b/>
                <w:color w:val="0F172A"/>
                <w:sz w:val="18"/>
              </w:rPr>
              <w:t>Safety Model</w:t>
            </w:r>
          </w:p>
        </w:tc>
        <w:tc>
          <w:tcPr>
            <w:tcW w:type="dxa" w:w="3312"/>
            <w:shd w:fill="FFFFFF"/>
            <w:tcMar>
              <w:top w:w="100" w:type="dxa"/>
              <w:bottom w:w="100" w:type="dxa"/>
              <w:left w:w="140" w:type="dxa"/>
              <w:right w:w="140" w:type="dxa"/>
            </w:tcMar>
          </w:tcPr>
          <w:p>
            <w:pPr>
              <w:jc w:val="left"/>
            </w:pPr>
            <w:r>
              <w:rPr>
                <w:rFonts w:ascii="Arial" w:hAnsi="Arial"/>
                <w:color w:val="334155"/>
                <w:sz w:val="18"/>
              </w:rPr>
              <w:t>Rules execute directly on servers; no independent verification step.</w:t>
            </w:r>
          </w:p>
        </w:tc>
        <w:tc>
          <w:tcPr>
            <w:tcW w:type="dxa" w:w="3312"/>
            <w:shd w:fill="FFFFFF"/>
            <w:tcMar>
              <w:top w:w="100" w:type="dxa"/>
              <w:bottom w:w="100" w:type="dxa"/>
              <w:left w:w="140" w:type="dxa"/>
              <w:right w:w="140" w:type="dxa"/>
            </w:tcMar>
          </w:tcPr>
          <w:p>
            <w:pPr>
              <w:jc w:val="left"/>
            </w:pPr>
            <w:r>
              <w:rPr>
                <w:rFonts w:ascii="Arial" w:hAnsi="Arial"/>
                <w:color w:val="334155"/>
                <w:sz w:val="18"/>
              </w:rPr>
              <w:t>Separate fail-closed safety gate (16 checks, VBX_* codes) verifies target first.</w:t>
            </w:r>
          </w:p>
        </w:tc>
        <w:tc>
          <w:tcPr>
            <w:tcW w:type="dxa" w:w="2448"/>
            <w:shd w:fill="FFFFFF"/>
            <w:tcMar>
              <w:top w:w="100" w:type="dxa"/>
              <w:bottom w:w="100" w:type="dxa"/>
              <w:left w:w="140" w:type="dxa"/>
              <w:right w:w="140" w:type="dxa"/>
            </w:tcMar>
          </w:tcPr>
          <w:p>
            <w:pPr>
              <w:jc w:val="left"/>
            </w:pPr>
            <w:r>
              <w:rPr>
                <w:rFonts w:ascii="Arial" w:hAnsi="Arial"/>
                <w:color w:val="334155"/>
                <w:sz w:val="18"/>
              </w:rPr>
              <w:t>Guarantees physical safety constraints are never violated.</w:t>
            </w:r>
          </w:p>
        </w:tc>
      </w:tr>
      <w:tr>
        <w:tc>
          <w:tcPr>
            <w:tcW w:type="dxa" w:w="1728"/>
            <w:shd w:fill="F8FAFC"/>
            <w:tcMar>
              <w:top w:w="100" w:type="dxa"/>
              <w:bottom w:w="100" w:type="dxa"/>
              <w:left w:w="140" w:type="dxa"/>
              <w:right w:w="140" w:type="dxa"/>
            </w:tcMar>
          </w:tcPr>
          <w:p>
            <w:pPr>
              <w:jc w:val="left"/>
            </w:pPr>
            <w:r>
              <w:rPr>
                <w:rFonts w:ascii="Arial" w:hAnsi="Arial"/>
                <w:b/>
                <w:color w:val="0F172A"/>
                <w:sz w:val="18"/>
              </w:rPr>
              <w:t>Live Demonstration</w:t>
            </w:r>
          </w:p>
        </w:tc>
        <w:tc>
          <w:tcPr>
            <w:tcW w:type="dxa" w:w="3312"/>
            <w:shd w:fill="F8FAFC"/>
            <w:tcMar>
              <w:top w:w="100" w:type="dxa"/>
              <w:bottom w:w="100" w:type="dxa"/>
              <w:left w:w="140" w:type="dxa"/>
              <w:right w:w="140" w:type="dxa"/>
            </w:tcMar>
          </w:tcPr>
          <w:p>
            <w:pPr>
              <w:jc w:val="left"/>
            </w:pPr>
            <w:r>
              <w:rPr>
                <w:rFonts w:ascii="Arial" w:hAnsi="Arial"/>
                <w:color w:val="334155"/>
                <w:sz w:val="18"/>
              </w:rPr>
              <w:t>Abstract simulations or non-reproducible cloud scripts.</w:t>
            </w:r>
          </w:p>
        </w:tc>
        <w:tc>
          <w:tcPr>
            <w:tcW w:type="dxa" w:w="3312"/>
            <w:shd w:fill="F8FAFC"/>
            <w:tcMar>
              <w:top w:w="100" w:type="dxa"/>
              <w:bottom w:w="100" w:type="dxa"/>
              <w:left w:w="140" w:type="dxa"/>
              <w:right w:w="140" w:type="dxa"/>
            </w:tcMar>
          </w:tcPr>
          <w:p>
            <w:pPr>
              <w:jc w:val="left"/>
            </w:pPr>
            <w:r>
              <w:rPr>
                <w:rFonts w:ascii="Arial" w:hAnsi="Arial"/>
                <w:color w:val="334155"/>
                <w:sz w:val="18"/>
              </w:rPr>
              <w:t>Real Oracle VirtualBox live teleportation between two physical computers.</w:t>
            </w:r>
          </w:p>
        </w:tc>
        <w:tc>
          <w:tcPr>
            <w:tcW w:type="dxa" w:w="2448"/>
            <w:shd w:fill="F8FAFC"/>
            <w:tcMar>
              <w:top w:w="100" w:type="dxa"/>
              <w:bottom w:w="100" w:type="dxa"/>
              <w:left w:w="140" w:type="dxa"/>
              <w:right w:w="140" w:type="dxa"/>
            </w:tcMar>
          </w:tcPr>
          <w:p>
            <w:pPr>
              <w:jc w:val="left"/>
            </w:pPr>
            <w:r>
              <w:rPr>
                <w:rFonts w:ascii="Arial" w:hAnsi="Arial"/>
                <w:color w:val="334155"/>
                <w:sz w:val="18"/>
              </w:rPr>
              <w:t>Verifiable demonstration with sub-second downtime.</w:t>
            </w:r>
          </w:p>
        </w:tc>
      </w:tr>
    </w:tbl>
    <w:p>
      <w:pPr>
        <w:spacing w:after="120"/>
      </w:pPr>
    </w:p>
    <w:p>
      <w:pPr>
        <w:pStyle w:val="Heading1"/>
        <w:keepNext/>
        <w:spacing w:before="360" w:after="120"/>
      </w:pPr>
      <w:r>
        <w:rPr>
          <w:rFonts w:ascii="Arial" w:hAnsi="Arial"/>
          <w:b/>
          <w:color w:val="0F172A"/>
          <w:sz w:val="30"/>
        </w:rPr>
        <w:t>5. System Architecture &amp; Component Separation</w:t>
      </w:r>
    </w:p>
    <w:p>
      <w:pPr>
        <w:spacing w:after="100" w:line="276" w:lineRule="auto"/>
      </w:pPr>
      <w:r>
        <w:rPr>
          <w:rFonts w:ascii="Arial" w:hAnsi="Arial"/>
          <w:color w:val="334155"/>
          <w:sz w:val="20"/>
        </w:rPr>
        <w:t>VMotion AI is organized into four decoupled tiers, ensuring that AI inference is separated from hypervisor execution: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32" w:space="0" w:color="2563EB"/>
              <w:bottom w:val="none"/>
              <w:right w:val="none"/>
            </w:tcBorders>
          </w:tcPr>
          <w:p>
            <w:pPr>
              <w:spacing w:after="60"/>
            </w:pPr>
            <w:r>
              <w:rPr>
                <w:rFonts w:ascii="Arial" w:hAnsi="Arial"/>
                <w:b/>
                <w:color w:val="0F172A"/>
                <w:sz w:val="20"/>
              </w:rPr>
              <w:t>■ SYSTEM ARCHITECTURE OVERVIEW</w:t>
              <w:br/>
            </w:r>
            <w:r>
              <w:rPr>
                <w:rFonts w:ascii="Arial" w:hAnsi="Arial"/>
                <w:color w:val="334155"/>
                <w:sz w:val="19"/>
              </w:rPr>
              <w:t>TIER 1: PHYSICAL HYPERVISOR &amp; AGENT LAYER (Oracle VirtualBox Hosts A &amp; B / Simulation Engine)</w:t>
              <w:br/>
              <w:t xml:space="preserve">         ↓ [Host hardware metrics, VM execution status, live teleportation stream on port 60050]</w:t>
              <w:br/>
              <w:t>TIER 2: TELEMETRY &amp; 103-FEATURE ADAPTER (Rolling buffers, Jain's fairness index)</w:t>
              <w:br/>
              <w:t xml:space="preserve">         ↓ [103-dimensional state vector S ∈ [-1.0, 1.0] and action mask]</w:t>
              <w:br/>
              <w:t>TIER 3: REINFORCEMENT LEARNING ENGINE (PPO V5 model / Heuristic fallback)</w:t>
              <w:br/>
              <w:t xml:space="preserve">         ↓ [Candidate migration action + destination headroom target]</w:t>
              <w:br/>
              <w:t>TIER 4: SAFETY GATE, OPERATOR APPROVAL &amp; TELEPORTATION FSM (16 Rules, 12 States)</w:t>
              <w:br/>
              <w:t xml:space="preserve">         ↓ [Audited, operator-approved dispatch to VBoxManage teleportation engine]</w:t>
              <w:br/>
              <w:t>WEB CONTROL PLANE (React 19, Three.js 3D cluster, dedicated Live Demo centerpiece, audit ledger)</w:t>
            </w:r>
          </w:p>
        </w:tc>
      </w:tr>
    </w:tbl>
    <w:p>
      <w:pPr>
        <w:spacing w:after="80"/>
      </w:pPr>
    </w:p>
    <w:p>
      <w:pPr>
        <w:spacing w:after="100" w:line="276" w:lineRule="auto"/>
      </w:pPr>
      <w:r>
        <w:rPr>
          <w:rFonts w:ascii="Arial" w:hAnsi="Arial"/>
          <w:color w:val="334155"/>
          <w:sz w:val="20"/>
        </w:rPr>
        <w:t>Tier Details:</w:t>
      </w:r>
    </w:p>
    <w:p>
      <w:pPr>
        <w:pStyle w:val="ListBullet"/>
        <w:spacing w:after="60" w:line="276" w:lineRule="auto"/>
      </w:pPr>
      <w:r>
        <w:rPr>
          <w:rFonts w:ascii="Arial" w:hAnsi="Arial"/>
          <w:b/>
          <w:color w:val="0F172A"/>
          <w:sz w:val="20"/>
        </w:rPr>
        <w:t xml:space="preserve">Tier 1: Physical Hypervisor Layer: </w:t>
      </w:r>
      <w:r>
        <w:rPr>
          <w:rFonts w:ascii="Arial" w:hAnsi="Arial"/>
          <w:color w:val="334155"/>
          <w:sz w:val="20"/>
        </w:rPr>
        <w:t>Interfaces with physical hosts running Oracle VirtualBox 7.x via standalone FastAPI host agents (`vmotion-agent`) using native `VBoxManage` and `psutil`. In simulation mode, the SimulationProvider emulates these dynamics.</w:t>
      </w:r>
    </w:p>
    <w:p>
      <w:pPr>
        <w:pStyle w:val="ListBullet"/>
        <w:spacing w:after="60" w:line="276" w:lineRule="auto"/>
      </w:pPr>
      <w:r>
        <w:rPr>
          <w:rFonts w:ascii="Arial" w:hAnsi="Arial"/>
          <w:b/>
          <w:color w:val="0F172A"/>
          <w:sz w:val="20"/>
        </w:rPr>
        <w:t xml:space="preserve">Tier 2: Telemetry &amp; Feature Adapter: </w:t>
      </w:r>
      <w:r>
        <w:rPr>
          <w:rFonts w:ascii="Arial" w:hAnsi="Arial"/>
          <w:color w:val="334155"/>
          <w:sz w:val="20"/>
        </w:rPr>
        <w:t>Polls host agents every 2 seconds, updates rolling averages, computes Jain's Fairness Index across CPU and RAM, and builds the normalized 103-dimensional feature vector.</w:t>
      </w:r>
    </w:p>
    <w:p>
      <w:pPr>
        <w:pStyle w:val="ListBullet"/>
        <w:spacing w:after="60" w:line="276" w:lineRule="auto"/>
      </w:pPr>
      <w:r>
        <w:rPr>
          <w:rFonts w:ascii="Arial" w:hAnsi="Arial"/>
          <w:b/>
          <w:color w:val="0F172A"/>
          <w:sz w:val="20"/>
        </w:rPr>
        <w:t xml:space="preserve">Tier 3: Reinforcement Learning Engine: </w:t>
      </w:r>
      <w:r>
        <w:rPr>
          <w:rFonts w:ascii="Arial" w:hAnsi="Arial"/>
          <w:color w:val="334155"/>
          <w:sz w:val="20"/>
        </w:rPr>
        <w:t>Runs the trained MaskablePPO model to recommend which VM should be relocated, while destination target resolution is handled deterministically based on available headroom.</w:t>
      </w:r>
    </w:p>
    <w:p>
      <w:pPr>
        <w:pStyle w:val="ListBullet"/>
        <w:spacing w:after="60" w:line="276" w:lineRule="auto"/>
      </w:pPr>
      <w:r>
        <w:rPr>
          <w:rFonts w:ascii="Arial" w:hAnsi="Arial"/>
          <w:b/>
          <w:color w:val="0F172A"/>
          <w:sz w:val="20"/>
        </w:rPr>
        <w:t xml:space="preserve">Tier 4: Safety, Governance &amp; State Machine: </w:t>
      </w:r>
      <w:r>
        <w:rPr>
          <w:rFonts w:ascii="Arial" w:hAnsi="Arial"/>
          <w:color w:val="334155"/>
          <w:sz w:val="20"/>
        </w:rPr>
        <w:t>Enforces the 16 deterministic safety checks under fail-closed logic, presents proposals for human operator signoff, pre-warms the target teleporter, and verifies post-migration guest health.</w:t>
      </w:r>
    </w:p>
    <w:p>
      <w:pPr>
        <w:pStyle w:val="Heading1"/>
        <w:keepNext/>
        <w:spacing w:before="360" w:after="120"/>
      </w:pPr>
      <w:r>
        <w:rPr>
          <w:rFonts w:ascii="Arial" w:hAnsi="Arial"/>
          <w:b/>
          <w:color w:val="0F172A"/>
          <w:sz w:val="30"/>
        </w:rPr>
        <w:t>6. End-to-End System Workflow</w:t>
      </w:r>
    </w:p>
    <w:p>
      <w:pPr>
        <w:spacing w:after="100" w:line="276" w:lineRule="auto"/>
      </w:pPr>
      <w:r>
        <w:rPr>
          <w:rFonts w:ascii="Arial" w:hAnsi="Arial"/>
          <w:color w:val="334155"/>
          <w:sz w:val="20"/>
        </w:rPr>
        <w:t>Each migration decision proceeds through eight clear steps:</w:t>
      </w:r>
    </w:p>
    <w:p>
      <w:pPr>
        <w:pStyle w:val="ListBullet"/>
        <w:spacing w:after="60" w:line="276" w:lineRule="auto"/>
      </w:pPr>
      <w:r>
        <w:rPr>
          <w:rFonts w:ascii="Arial" w:hAnsi="Arial"/>
          <w:b/>
          <w:color w:val="0F172A"/>
          <w:sz w:val="20"/>
        </w:rPr>
        <w:t xml:space="preserve">Step 1: Telemetry Sampling: </w:t>
      </w:r>
      <w:r>
        <w:rPr>
          <w:rFonts w:ascii="Arial" w:hAnsi="Arial"/>
          <w:color w:val="334155"/>
          <w:sz w:val="20"/>
        </w:rPr>
        <w:t>The collector queries active hypervisor host agents every 2 seconds for CPU, RAM, Disk, and Network IO.</w:t>
      </w:r>
    </w:p>
    <w:p>
      <w:pPr>
        <w:pStyle w:val="ListBullet"/>
        <w:spacing w:after="60" w:line="276" w:lineRule="auto"/>
      </w:pPr>
      <w:r>
        <w:rPr>
          <w:rFonts w:ascii="Arial" w:hAnsi="Arial"/>
          <w:b/>
          <w:color w:val="0F172A"/>
          <w:sz w:val="20"/>
        </w:rPr>
        <w:t xml:space="preserve">Step 2: 103-Feature Normalization: </w:t>
      </w:r>
      <w:r>
        <w:rPr>
          <w:rFonts w:ascii="Arial" w:hAnsi="Arial"/>
          <w:color w:val="334155"/>
          <w:sz w:val="20"/>
        </w:rPr>
        <w:t>Raw metrics are converted into bounded floating-point numbers between -1.0 and 1.0, and cluster fairness is calculated.</w:t>
      </w:r>
    </w:p>
    <w:p>
      <w:pPr>
        <w:pStyle w:val="ListBullet"/>
        <w:spacing w:after="60" w:line="276" w:lineRule="auto"/>
      </w:pPr>
      <w:r>
        <w:rPr>
          <w:rFonts w:ascii="Arial" w:hAnsi="Arial"/>
          <w:b/>
          <w:color w:val="0F172A"/>
          <w:sz w:val="20"/>
        </w:rPr>
        <w:t xml:space="preserve">Step 3: Action Masking: </w:t>
      </w:r>
      <w:r>
        <w:rPr>
          <w:rFonts w:ascii="Arial" w:hAnsi="Arial"/>
          <w:color w:val="334155"/>
          <w:sz w:val="20"/>
        </w:rPr>
        <w:t>Any VM currently in an active 60-second cooldown or in a stopped state is masked out so the AI cannot pick it.</w:t>
      </w:r>
    </w:p>
    <w:p>
      <w:pPr>
        <w:pStyle w:val="ListBullet"/>
        <w:spacing w:after="60" w:line="276" w:lineRule="auto"/>
      </w:pPr>
      <w:r>
        <w:rPr>
          <w:rFonts w:ascii="Arial" w:hAnsi="Arial"/>
          <w:b/>
          <w:color w:val="0F172A"/>
          <w:sz w:val="20"/>
        </w:rPr>
        <w:t xml:space="preserve">Step 4: PPO Policy Evaluation: </w:t>
      </w:r>
      <w:r>
        <w:rPr>
          <w:rFonts w:ascii="Arial" w:hAnsi="Arial"/>
          <w:color w:val="334155"/>
          <w:sz w:val="20"/>
        </w:rPr>
        <w:t>The PPO V5 model evaluates the state vector and recommends the best candidate VM to migrate.</w:t>
      </w:r>
    </w:p>
    <w:p>
      <w:pPr>
        <w:pStyle w:val="ListBullet"/>
        <w:spacing w:after="60" w:line="276" w:lineRule="auto"/>
      </w:pPr>
      <w:r>
        <w:rPr>
          <w:rFonts w:ascii="Arial" w:hAnsi="Arial"/>
          <w:b/>
          <w:color w:val="0F172A"/>
          <w:sz w:val="20"/>
        </w:rPr>
        <w:t xml:space="preserve">Step 5: Pick Best Target Host: </w:t>
      </w:r>
      <w:r>
        <w:rPr>
          <w:rFonts w:ascii="Arial" w:hAnsi="Arial"/>
          <w:color w:val="334155"/>
          <w:sz w:val="20"/>
        </w:rPr>
        <w:t>A deterministic resolver checks which destination server currently has the highest compute headroom.</w:t>
      </w:r>
    </w:p>
    <w:p>
      <w:pPr>
        <w:pStyle w:val="ListBullet"/>
        <w:spacing w:after="60" w:line="276" w:lineRule="auto"/>
      </w:pPr>
      <w:r>
        <w:rPr>
          <w:rFonts w:ascii="Arial" w:hAnsi="Arial"/>
          <w:b/>
          <w:color w:val="0F172A"/>
          <w:sz w:val="20"/>
        </w:rPr>
        <w:t xml:space="preserve">Step 6: Run Safety Gate Checks: </w:t>
      </w:r>
      <w:r>
        <w:rPr>
          <w:rFonts w:ascii="Arial" w:hAnsi="Arial"/>
          <w:color w:val="334155"/>
          <w:sz w:val="20"/>
        </w:rPr>
        <w:t>The safety gate checks 16 physical rules (RAM margin, CPU ceiling, CPU compatibility, storage path, port 60050). If any fail, the proposal is blocked.</w:t>
      </w:r>
    </w:p>
    <w:p>
      <w:pPr>
        <w:pStyle w:val="ListBullet"/>
        <w:spacing w:after="60" w:line="276" w:lineRule="auto"/>
      </w:pPr>
      <w:r>
        <w:rPr>
          <w:rFonts w:ascii="Arial" w:hAnsi="Arial"/>
          <w:b/>
          <w:color w:val="0F172A"/>
          <w:sz w:val="20"/>
        </w:rPr>
        <w:t xml:space="preserve">Step 7: Operator Approval: </w:t>
      </w:r>
      <w:r>
        <w:rPr>
          <w:rFonts w:ascii="Arial" w:hAnsi="Arial"/>
          <w:color w:val="334155"/>
          <w:sz w:val="20"/>
        </w:rPr>
        <w:t>If safety checks pass, the proposal appears on the dashboard for human operator authorization.</w:t>
      </w:r>
    </w:p>
    <w:p>
      <w:pPr>
        <w:pStyle w:val="ListBullet"/>
        <w:spacing w:after="60" w:line="276" w:lineRule="auto"/>
      </w:pPr>
      <w:r>
        <w:rPr>
          <w:rFonts w:ascii="Arial" w:hAnsi="Arial"/>
          <w:b/>
          <w:color w:val="0F172A"/>
          <w:sz w:val="20"/>
        </w:rPr>
        <w:t xml:space="preserve">Step 8: Teleport &amp; Verify Health: </w:t>
      </w:r>
      <w:r>
        <w:rPr>
          <w:rFonts w:ascii="Arial" w:hAnsi="Arial"/>
          <w:color w:val="334155"/>
          <w:sz w:val="20"/>
        </w:rPr>
        <w:t>Upon approval, the target receiver is pre-warmed, live memory is streamed via VBoxManage, and guest responsiveness is verified.</w:t>
      </w:r>
    </w:p>
    <w:p>
      <w:pPr>
        <w:pStyle w:val="Heading1"/>
        <w:keepNext/>
        <w:spacing w:before="360" w:after="120"/>
      </w:pPr>
      <w:r>
        <w:rPr>
          <w:rFonts w:ascii="Arial" w:hAnsi="Arial"/>
          <w:b/>
          <w:color w:val="0F172A"/>
          <w:sz w:val="30"/>
        </w:rPr>
        <w:t>7. Repository Module Breakdown</w:t>
      </w:r>
    </w:p>
    <w:p>
      <w:pPr>
        <w:spacing w:after="100" w:line="276" w:lineRule="auto"/>
      </w:pPr>
      <w:r>
        <w:rPr>
          <w:rFonts w:ascii="Arial" w:hAnsi="Arial"/>
          <w:color w:val="334155"/>
          <w:sz w:val="20"/>
        </w:rPr>
        <w:t>Table 7.1 outlines the primary software modules in the repository:</w:t>
      </w:r>
    </w:p>
    <w:tbl>
      <w:tblPr>
        <w:tblW w:type="auto" w:w="0"/>
        <w:jc w:val="center"/>
        <w:tblLook w:firstColumn="1" w:firstRow="1" w:lastColumn="0" w:lastRow="0" w:noHBand="0" w:noVBand="1" w:val="04A0"/>
      </w:tblPr>
      <w:tblGrid>
        <w:gridCol w:w="2340"/>
        <w:gridCol w:w="2340"/>
        <w:gridCol w:w="2340"/>
        <w:gridCol w:w="2340"/>
      </w:tblGrid>
      <w:tr>
        <w:tc>
          <w:tcPr>
            <w:tcW w:type="dxa" w:w="2304"/>
            <w:shd w:fill="0F172A"/>
            <w:tcMar>
              <w:top w:w="120" w:type="dxa"/>
              <w:bottom w:w="120" w:type="dxa"/>
              <w:left w:w="140" w:type="dxa"/>
              <w:right w:w="140" w:type="dxa"/>
            </w:tcMar>
          </w:tcPr>
          <w:p>
            <w:pPr>
              <w:jc w:val="left"/>
            </w:pPr>
            <w:r>
              <w:rPr>
                <w:rFonts w:ascii="Arial" w:hAnsi="Arial"/>
                <w:b/>
                <w:color w:val="FFFFFF"/>
                <w:sz w:val="19"/>
              </w:rPr>
              <w:t>Module Name</w:t>
            </w:r>
          </w:p>
        </w:tc>
        <w:tc>
          <w:tcPr>
            <w:tcW w:type="dxa" w:w="3168"/>
            <w:shd w:fill="0F172A"/>
            <w:tcMar>
              <w:top w:w="120" w:type="dxa"/>
              <w:bottom w:w="120" w:type="dxa"/>
              <w:left w:w="140" w:type="dxa"/>
              <w:right w:w="140" w:type="dxa"/>
            </w:tcMar>
          </w:tcPr>
          <w:p>
            <w:pPr>
              <w:jc w:val="left"/>
            </w:pPr>
            <w:r>
              <w:rPr>
                <w:rFonts w:ascii="Arial" w:hAnsi="Arial"/>
                <w:b/>
                <w:color w:val="FFFFFF"/>
                <w:sz w:val="19"/>
              </w:rPr>
              <w:t>Primary File</w:t>
            </w:r>
          </w:p>
        </w:tc>
        <w:tc>
          <w:tcPr>
            <w:tcW w:type="dxa" w:w="3456"/>
            <w:shd w:fill="0F172A"/>
            <w:tcMar>
              <w:top w:w="120" w:type="dxa"/>
              <w:bottom w:w="120" w:type="dxa"/>
              <w:left w:w="140" w:type="dxa"/>
              <w:right w:w="140" w:type="dxa"/>
            </w:tcMar>
          </w:tcPr>
          <w:p>
            <w:pPr>
              <w:jc w:val="left"/>
            </w:pPr>
            <w:r>
              <w:rPr>
                <w:rFonts w:ascii="Arial" w:hAnsi="Arial"/>
                <w:b/>
                <w:color w:val="FFFFFF"/>
                <w:sz w:val="19"/>
              </w:rPr>
              <w:t>Role &amp; Responsibility</w:t>
            </w:r>
          </w:p>
        </w:tc>
        <w:tc>
          <w:tcPr>
            <w:tcW w:type="dxa" w:w="1872"/>
            <w:shd w:fill="0F172A"/>
            <w:tcMar>
              <w:top w:w="120" w:type="dxa"/>
              <w:bottom w:w="120" w:type="dxa"/>
              <w:left w:w="140" w:type="dxa"/>
              <w:right w:w="140" w:type="dxa"/>
            </w:tcMar>
          </w:tcPr>
          <w:p>
            <w:pPr>
              <w:jc w:val="left"/>
            </w:pPr>
            <w:r>
              <w:rPr>
                <w:rFonts w:ascii="Arial" w:hAnsi="Arial"/>
                <w:b/>
                <w:color w:val="FFFFFF"/>
                <w:sz w:val="19"/>
              </w:rPr>
              <w:t>Status</w:t>
            </w:r>
          </w:p>
        </w:tc>
      </w:tr>
      <w:tr>
        <w:tc>
          <w:tcPr>
            <w:tcW w:type="dxa" w:w="2304"/>
            <w:shd w:fill="F8FAFC"/>
            <w:tcMar>
              <w:top w:w="100" w:type="dxa"/>
              <w:bottom w:w="100" w:type="dxa"/>
              <w:left w:w="140" w:type="dxa"/>
              <w:right w:w="140" w:type="dxa"/>
            </w:tcMar>
          </w:tcPr>
          <w:p>
            <w:pPr>
              <w:jc w:val="left"/>
            </w:pPr>
            <w:r>
              <w:rPr>
                <w:rFonts w:ascii="Arial" w:hAnsi="Arial"/>
                <w:b/>
                <w:color w:val="0F172A"/>
                <w:sz w:val="18"/>
              </w:rPr>
              <w:t>Telemetry Collector</w:t>
            </w:r>
          </w:p>
        </w:tc>
        <w:tc>
          <w:tcPr>
            <w:tcW w:type="dxa" w:w="3168"/>
            <w:shd w:fill="F8FAFC"/>
            <w:tcMar>
              <w:top w:w="100" w:type="dxa"/>
              <w:bottom w:w="100" w:type="dxa"/>
              <w:left w:w="140" w:type="dxa"/>
              <w:right w:w="140" w:type="dxa"/>
            </w:tcMar>
          </w:tcPr>
          <w:p>
            <w:pPr>
              <w:jc w:val="left"/>
            </w:pPr>
            <w:r>
              <w:rPr>
                <w:rFonts w:ascii="Arial" w:hAnsi="Arial"/>
                <w:color w:val="334155"/>
                <w:sz w:val="18"/>
              </w:rPr>
              <w:t>backend/app/telemetry/collector.py</w:t>
            </w:r>
          </w:p>
        </w:tc>
        <w:tc>
          <w:tcPr>
            <w:tcW w:type="dxa" w:w="3456"/>
            <w:shd w:fill="F8FAFC"/>
            <w:tcMar>
              <w:top w:w="100" w:type="dxa"/>
              <w:bottom w:w="100" w:type="dxa"/>
              <w:left w:w="140" w:type="dxa"/>
              <w:right w:w="140" w:type="dxa"/>
            </w:tcMar>
          </w:tcPr>
          <w:p>
            <w:pPr>
              <w:jc w:val="left"/>
            </w:pPr>
            <w:r>
              <w:rPr>
                <w:rFonts w:ascii="Arial" w:hAnsi="Arial"/>
                <w:color w:val="334155"/>
                <w:sz w:val="18"/>
              </w:rPr>
              <w:t>Background task polling hypervisors; maintains rolling metric buffers and cluster stats.</w:t>
            </w:r>
          </w:p>
        </w:tc>
        <w:tc>
          <w:tcPr>
            <w:tcW w:type="dxa" w:w="1872"/>
            <w:shd w:fill="F8FAFC"/>
            <w:tcMar>
              <w:top w:w="100" w:type="dxa"/>
              <w:bottom w:w="100" w:type="dxa"/>
              <w:left w:w="140" w:type="dxa"/>
              <w:right w:w="140" w:type="dxa"/>
            </w:tcMar>
          </w:tcPr>
          <w:p>
            <w:pPr>
              <w:jc w:val="left"/>
            </w:pPr>
            <w:r>
              <w:rPr>
                <w:rFonts w:ascii="Arial" w:hAnsi="Arial"/>
                <w:color w:val="334155"/>
                <w:sz w:val="18"/>
              </w:rPr>
              <w:t>COMPLETE (100%)</w:t>
            </w:r>
          </w:p>
        </w:tc>
      </w:tr>
      <w:tr>
        <w:tc>
          <w:tcPr>
            <w:tcW w:type="dxa" w:w="2304"/>
            <w:shd w:fill="FFFFFF"/>
            <w:tcMar>
              <w:top w:w="100" w:type="dxa"/>
              <w:bottom w:w="100" w:type="dxa"/>
              <w:left w:w="140" w:type="dxa"/>
              <w:right w:w="140" w:type="dxa"/>
            </w:tcMar>
          </w:tcPr>
          <w:p>
            <w:pPr>
              <w:jc w:val="left"/>
            </w:pPr>
            <w:r>
              <w:rPr>
                <w:rFonts w:ascii="Arial" w:hAnsi="Arial"/>
                <w:b/>
                <w:color w:val="0F172A"/>
                <w:sz w:val="18"/>
              </w:rPr>
              <w:t>103-Feature Adapter</w:t>
            </w:r>
          </w:p>
        </w:tc>
        <w:tc>
          <w:tcPr>
            <w:tcW w:type="dxa" w:w="3168"/>
            <w:shd w:fill="FFFFFF"/>
            <w:tcMar>
              <w:top w:w="100" w:type="dxa"/>
              <w:bottom w:w="100" w:type="dxa"/>
              <w:left w:w="140" w:type="dxa"/>
              <w:right w:w="140" w:type="dxa"/>
            </w:tcMar>
          </w:tcPr>
          <w:p>
            <w:pPr>
              <w:jc w:val="left"/>
            </w:pPr>
            <w:r>
              <w:rPr>
                <w:rFonts w:ascii="Arial" w:hAnsi="Arial"/>
                <w:color w:val="334155"/>
                <w:sz w:val="18"/>
              </w:rPr>
              <w:t>backend/app/adapter/observation.py</w:t>
            </w:r>
          </w:p>
        </w:tc>
        <w:tc>
          <w:tcPr>
            <w:tcW w:type="dxa" w:w="3456"/>
            <w:shd w:fill="FFFFFF"/>
            <w:tcMar>
              <w:top w:w="100" w:type="dxa"/>
              <w:bottom w:w="100" w:type="dxa"/>
              <w:left w:w="140" w:type="dxa"/>
              <w:right w:w="140" w:type="dxa"/>
            </w:tcMar>
          </w:tcPr>
          <w:p>
            <w:pPr>
              <w:jc w:val="left"/>
            </w:pPr>
            <w:r>
              <w:rPr>
                <w:rFonts w:ascii="Arial" w:hAnsi="Arial"/>
                <w:color w:val="334155"/>
                <w:sz w:val="18"/>
              </w:rPr>
              <w:t>Extracts the exact 103 continuous normalized features with bounds checking.</w:t>
            </w:r>
          </w:p>
        </w:tc>
        <w:tc>
          <w:tcPr>
            <w:tcW w:type="dxa" w:w="1872"/>
            <w:shd w:fill="FFFFFF"/>
            <w:tcMar>
              <w:top w:w="100" w:type="dxa"/>
              <w:bottom w:w="100" w:type="dxa"/>
              <w:left w:w="140" w:type="dxa"/>
              <w:right w:w="140" w:type="dxa"/>
            </w:tcMar>
          </w:tcPr>
          <w:p>
            <w:pPr>
              <w:jc w:val="left"/>
            </w:pPr>
            <w:r>
              <w:rPr>
                <w:rFonts w:ascii="Arial" w:hAnsi="Arial"/>
                <w:color w:val="334155"/>
                <w:sz w:val="18"/>
              </w:rPr>
              <w:t>COMPLETE (100%)</w:t>
            </w:r>
          </w:p>
        </w:tc>
      </w:tr>
      <w:tr>
        <w:tc>
          <w:tcPr>
            <w:tcW w:type="dxa" w:w="2304"/>
            <w:shd w:fill="F8FAFC"/>
            <w:tcMar>
              <w:top w:w="100" w:type="dxa"/>
              <w:bottom w:w="100" w:type="dxa"/>
              <w:left w:w="140" w:type="dxa"/>
              <w:right w:w="140" w:type="dxa"/>
            </w:tcMar>
          </w:tcPr>
          <w:p>
            <w:pPr>
              <w:jc w:val="left"/>
            </w:pPr>
            <w:r>
              <w:rPr>
                <w:rFonts w:ascii="Arial" w:hAnsi="Arial"/>
                <w:b/>
                <w:color w:val="0F172A"/>
                <w:sz w:val="18"/>
              </w:rPr>
              <w:t>PPO Decision Engine</w:t>
            </w:r>
          </w:p>
        </w:tc>
        <w:tc>
          <w:tcPr>
            <w:tcW w:type="dxa" w:w="3168"/>
            <w:shd w:fill="F8FAFC"/>
            <w:tcMar>
              <w:top w:w="100" w:type="dxa"/>
              <w:bottom w:w="100" w:type="dxa"/>
              <w:left w:w="140" w:type="dxa"/>
              <w:right w:w="140" w:type="dxa"/>
            </w:tcMar>
          </w:tcPr>
          <w:p>
            <w:pPr>
              <w:jc w:val="left"/>
            </w:pPr>
            <w:r>
              <w:rPr>
                <w:rFonts w:ascii="Arial" w:hAnsi="Arial"/>
                <w:color w:val="334155"/>
                <w:sz w:val="18"/>
              </w:rPr>
              <w:t>backend/app/engine/ppo_engine.py</w:t>
            </w:r>
          </w:p>
        </w:tc>
        <w:tc>
          <w:tcPr>
            <w:tcW w:type="dxa" w:w="3456"/>
            <w:shd w:fill="F8FAFC"/>
            <w:tcMar>
              <w:top w:w="100" w:type="dxa"/>
              <w:bottom w:w="100" w:type="dxa"/>
              <w:left w:w="140" w:type="dxa"/>
              <w:right w:w="140" w:type="dxa"/>
            </w:tcMar>
          </w:tcPr>
          <w:p>
            <w:pPr>
              <w:jc w:val="left"/>
            </w:pPr>
            <w:r>
              <w:rPr>
                <w:rFonts w:ascii="Arial" w:hAnsi="Arial"/>
                <w:color w:val="334155"/>
                <w:sz w:val="18"/>
              </w:rPr>
              <w:t>Loads trained MaskablePPO weights, evaluates policy, and provides heuristic fallback.</w:t>
            </w:r>
          </w:p>
        </w:tc>
        <w:tc>
          <w:tcPr>
            <w:tcW w:type="dxa" w:w="1872"/>
            <w:shd w:fill="F8FAFC"/>
            <w:tcMar>
              <w:top w:w="100" w:type="dxa"/>
              <w:bottom w:w="100" w:type="dxa"/>
              <w:left w:w="140" w:type="dxa"/>
              <w:right w:w="140" w:type="dxa"/>
            </w:tcMar>
          </w:tcPr>
          <w:p>
            <w:pPr>
              <w:jc w:val="left"/>
            </w:pPr>
            <w:r>
              <w:rPr>
                <w:rFonts w:ascii="Arial" w:hAnsi="Arial"/>
                <w:color w:val="334155"/>
                <w:sz w:val="18"/>
              </w:rPr>
              <w:t>COMPLETE (V5)</w:t>
            </w:r>
          </w:p>
        </w:tc>
      </w:tr>
      <w:tr>
        <w:tc>
          <w:tcPr>
            <w:tcW w:type="dxa" w:w="2304"/>
            <w:shd w:fill="FFFFFF"/>
            <w:tcMar>
              <w:top w:w="100" w:type="dxa"/>
              <w:bottom w:w="100" w:type="dxa"/>
              <w:left w:w="140" w:type="dxa"/>
              <w:right w:w="140" w:type="dxa"/>
            </w:tcMar>
          </w:tcPr>
          <w:p>
            <w:pPr>
              <w:jc w:val="left"/>
            </w:pPr>
            <w:r>
              <w:rPr>
                <w:rFonts w:ascii="Arial" w:hAnsi="Arial"/>
                <w:b/>
                <w:color w:val="0F172A"/>
                <w:sz w:val="18"/>
              </w:rPr>
              <w:t>Deterministic Safety Gate</w:t>
            </w:r>
          </w:p>
        </w:tc>
        <w:tc>
          <w:tcPr>
            <w:tcW w:type="dxa" w:w="3168"/>
            <w:shd w:fill="FFFFFF"/>
            <w:tcMar>
              <w:top w:w="100" w:type="dxa"/>
              <w:bottom w:w="100" w:type="dxa"/>
              <w:left w:w="140" w:type="dxa"/>
              <w:right w:w="140" w:type="dxa"/>
            </w:tcMar>
          </w:tcPr>
          <w:p>
            <w:pPr>
              <w:jc w:val="left"/>
            </w:pPr>
            <w:r>
              <w:rPr>
                <w:rFonts w:ascii="Arial" w:hAnsi="Arial"/>
                <w:color w:val="334155"/>
                <w:sz w:val="18"/>
              </w:rPr>
              <w:t>backend/app/safety/gate.py</w:t>
            </w:r>
          </w:p>
        </w:tc>
        <w:tc>
          <w:tcPr>
            <w:tcW w:type="dxa" w:w="3456"/>
            <w:shd w:fill="FFFFFF"/>
            <w:tcMar>
              <w:top w:w="100" w:type="dxa"/>
              <w:bottom w:w="100" w:type="dxa"/>
              <w:left w:w="140" w:type="dxa"/>
              <w:right w:w="140" w:type="dxa"/>
            </w:tcMar>
          </w:tcPr>
          <w:p>
            <w:pPr>
              <w:jc w:val="left"/>
            </w:pPr>
            <w:r>
              <w:rPr>
                <w:rFonts w:ascii="Arial" w:hAnsi="Arial"/>
                <w:color w:val="334155"/>
                <w:sz w:val="18"/>
              </w:rPr>
              <w:t>Implements 16 fail-closed safety checks, typed VBX_* codes, and thread-safe locks.</w:t>
            </w:r>
          </w:p>
        </w:tc>
        <w:tc>
          <w:tcPr>
            <w:tcW w:type="dxa" w:w="1872"/>
            <w:shd w:fill="FFFFFF"/>
            <w:tcMar>
              <w:top w:w="100" w:type="dxa"/>
              <w:bottom w:w="100" w:type="dxa"/>
              <w:left w:w="140" w:type="dxa"/>
              <w:right w:w="140" w:type="dxa"/>
            </w:tcMar>
          </w:tcPr>
          <w:p>
            <w:pPr>
              <w:jc w:val="left"/>
            </w:pPr>
            <w:r>
              <w:rPr>
                <w:rFonts w:ascii="Arial" w:hAnsi="Arial"/>
                <w:color w:val="334155"/>
                <w:sz w:val="18"/>
              </w:rPr>
              <w:t>COMPLETE (100%)</w:t>
            </w:r>
          </w:p>
        </w:tc>
      </w:tr>
      <w:tr>
        <w:tc>
          <w:tcPr>
            <w:tcW w:type="dxa" w:w="2304"/>
            <w:shd w:fill="F8FAFC"/>
            <w:tcMar>
              <w:top w:w="100" w:type="dxa"/>
              <w:bottom w:w="100" w:type="dxa"/>
              <w:left w:w="140" w:type="dxa"/>
              <w:right w:w="140" w:type="dxa"/>
            </w:tcMar>
          </w:tcPr>
          <w:p>
            <w:pPr>
              <w:jc w:val="left"/>
            </w:pPr>
            <w:r>
              <w:rPr>
                <w:rFonts w:ascii="Arial" w:hAnsi="Arial"/>
                <w:b/>
                <w:color w:val="0F172A"/>
                <w:sz w:val="18"/>
              </w:rPr>
              <w:t>Migration FSM Planner</w:t>
            </w:r>
          </w:p>
        </w:tc>
        <w:tc>
          <w:tcPr>
            <w:tcW w:type="dxa" w:w="3168"/>
            <w:shd w:fill="F8FAFC"/>
            <w:tcMar>
              <w:top w:w="100" w:type="dxa"/>
              <w:bottom w:w="100" w:type="dxa"/>
              <w:left w:w="140" w:type="dxa"/>
              <w:right w:w="140" w:type="dxa"/>
            </w:tcMar>
          </w:tcPr>
          <w:p>
            <w:pPr>
              <w:jc w:val="left"/>
            </w:pPr>
            <w:r>
              <w:rPr>
                <w:rFonts w:ascii="Arial" w:hAnsi="Arial"/>
                <w:color w:val="334155"/>
                <w:sz w:val="18"/>
              </w:rPr>
              <w:t>backend/app/planner/planner.py</w:t>
            </w:r>
          </w:p>
        </w:tc>
        <w:tc>
          <w:tcPr>
            <w:tcW w:type="dxa" w:w="3456"/>
            <w:shd w:fill="F8FAFC"/>
            <w:tcMar>
              <w:top w:w="100" w:type="dxa"/>
              <w:bottom w:w="100" w:type="dxa"/>
              <w:left w:w="140" w:type="dxa"/>
              <w:right w:w="140" w:type="dxa"/>
            </w:tcMar>
          </w:tcPr>
          <w:p>
            <w:pPr>
              <w:jc w:val="left"/>
            </w:pPr>
            <w:r>
              <w:rPr>
                <w:rFonts w:ascii="Arial" w:hAnsi="Arial"/>
                <w:color w:val="334155"/>
                <w:sz w:val="18"/>
              </w:rPr>
              <w:t>Coordinates the 12-state FSM, manages human approval, and verifies post-placement state.</w:t>
            </w:r>
          </w:p>
        </w:tc>
        <w:tc>
          <w:tcPr>
            <w:tcW w:type="dxa" w:w="1872"/>
            <w:shd w:fill="F8FAFC"/>
            <w:tcMar>
              <w:top w:w="100" w:type="dxa"/>
              <w:bottom w:w="100" w:type="dxa"/>
              <w:left w:w="140" w:type="dxa"/>
              <w:right w:w="140" w:type="dxa"/>
            </w:tcMar>
          </w:tcPr>
          <w:p>
            <w:pPr>
              <w:jc w:val="left"/>
            </w:pPr>
            <w:r>
              <w:rPr>
                <w:rFonts w:ascii="Arial" w:hAnsi="Arial"/>
                <w:color w:val="334155"/>
                <w:sz w:val="18"/>
              </w:rPr>
              <w:t>COMPLETE (100%)</w:t>
            </w:r>
          </w:p>
        </w:tc>
      </w:tr>
      <w:tr>
        <w:tc>
          <w:tcPr>
            <w:tcW w:type="dxa" w:w="2304"/>
            <w:shd w:fill="FFFFFF"/>
            <w:tcMar>
              <w:top w:w="100" w:type="dxa"/>
              <w:bottom w:w="100" w:type="dxa"/>
              <w:left w:w="140" w:type="dxa"/>
              <w:right w:w="140" w:type="dxa"/>
            </w:tcMar>
          </w:tcPr>
          <w:p>
            <w:pPr>
              <w:jc w:val="left"/>
            </w:pPr>
            <w:r>
              <w:rPr>
                <w:rFonts w:ascii="Arial" w:hAnsi="Arial"/>
                <w:b/>
                <w:color w:val="0F172A"/>
                <w:sz w:val="18"/>
              </w:rPr>
              <w:t>VirtualBox Provider</w:t>
            </w:r>
          </w:p>
        </w:tc>
        <w:tc>
          <w:tcPr>
            <w:tcW w:type="dxa" w:w="3168"/>
            <w:shd w:fill="FFFFFF"/>
            <w:tcMar>
              <w:top w:w="100" w:type="dxa"/>
              <w:bottom w:w="100" w:type="dxa"/>
              <w:left w:w="140" w:type="dxa"/>
              <w:right w:w="140" w:type="dxa"/>
            </w:tcMar>
          </w:tcPr>
          <w:p>
            <w:pPr>
              <w:jc w:val="left"/>
            </w:pPr>
            <w:r>
              <w:rPr>
                <w:rFonts w:ascii="Arial" w:hAnsi="Arial"/>
                <w:color w:val="334155"/>
                <w:sz w:val="18"/>
              </w:rPr>
              <w:t>backend/app/providers/virtualbox.py</w:t>
            </w:r>
          </w:p>
        </w:tc>
        <w:tc>
          <w:tcPr>
            <w:tcW w:type="dxa" w:w="3456"/>
            <w:shd w:fill="FFFFFF"/>
            <w:tcMar>
              <w:top w:w="100" w:type="dxa"/>
              <w:bottom w:w="100" w:type="dxa"/>
              <w:left w:w="140" w:type="dxa"/>
              <w:right w:w="140" w:type="dxa"/>
            </w:tcMar>
          </w:tcPr>
          <w:p>
            <w:pPr>
              <w:jc w:val="left"/>
            </w:pPr>
            <w:r>
              <w:rPr>
                <w:rFonts w:ascii="Arial" w:hAnsi="Arial"/>
                <w:color w:val="334155"/>
                <w:sz w:val="18"/>
              </w:rPr>
              <w:t>Wraps VBoxManage commands, parses showvminfo, and executes live teleportation.</w:t>
            </w:r>
          </w:p>
        </w:tc>
        <w:tc>
          <w:tcPr>
            <w:tcW w:type="dxa" w:w="1872"/>
            <w:shd w:fill="FFFFFF"/>
            <w:tcMar>
              <w:top w:w="100" w:type="dxa"/>
              <w:bottom w:w="100" w:type="dxa"/>
              <w:left w:w="140" w:type="dxa"/>
              <w:right w:w="140" w:type="dxa"/>
            </w:tcMar>
          </w:tcPr>
          <w:p>
            <w:pPr>
              <w:jc w:val="left"/>
            </w:pPr>
            <w:r>
              <w:rPr>
                <w:rFonts w:ascii="Arial" w:hAnsi="Arial"/>
                <w:color w:val="334155"/>
                <w:sz w:val="18"/>
              </w:rPr>
              <w:t>COMPLETE (100%)</w:t>
            </w:r>
          </w:p>
        </w:tc>
      </w:tr>
      <w:tr>
        <w:tc>
          <w:tcPr>
            <w:tcW w:type="dxa" w:w="2304"/>
            <w:shd w:fill="F8FAFC"/>
            <w:tcMar>
              <w:top w:w="100" w:type="dxa"/>
              <w:bottom w:w="100" w:type="dxa"/>
              <w:left w:w="140" w:type="dxa"/>
              <w:right w:w="140" w:type="dxa"/>
            </w:tcMar>
          </w:tcPr>
          <w:p>
            <w:pPr>
              <w:jc w:val="left"/>
            </w:pPr>
            <w:r>
              <w:rPr>
                <w:rFonts w:ascii="Arial" w:hAnsi="Arial"/>
                <w:b/>
                <w:color w:val="0F172A"/>
                <w:sz w:val="18"/>
              </w:rPr>
              <w:t>VirtualBox Host Agent</w:t>
            </w:r>
          </w:p>
        </w:tc>
        <w:tc>
          <w:tcPr>
            <w:tcW w:type="dxa" w:w="3168"/>
            <w:shd w:fill="F8FAFC"/>
            <w:tcMar>
              <w:top w:w="100" w:type="dxa"/>
              <w:bottom w:w="100" w:type="dxa"/>
              <w:left w:w="140" w:type="dxa"/>
              <w:right w:w="140" w:type="dxa"/>
            </w:tcMar>
          </w:tcPr>
          <w:p>
            <w:pPr>
              <w:jc w:val="left"/>
            </w:pPr>
            <w:r>
              <w:rPr>
                <w:rFonts w:ascii="Arial" w:hAnsi="Arial"/>
                <w:color w:val="334155"/>
                <w:sz w:val="18"/>
              </w:rPr>
              <w:t>vmotion-agent/agent.py</w:t>
            </w:r>
          </w:p>
        </w:tc>
        <w:tc>
          <w:tcPr>
            <w:tcW w:type="dxa" w:w="3456"/>
            <w:shd w:fill="F8FAFC"/>
            <w:tcMar>
              <w:top w:w="100" w:type="dxa"/>
              <w:bottom w:w="100" w:type="dxa"/>
              <w:left w:w="140" w:type="dxa"/>
              <w:right w:w="140" w:type="dxa"/>
            </w:tcMar>
          </w:tcPr>
          <w:p>
            <w:pPr>
              <w:jc w:val="left"/>
            </w:pPr>
            <w:r>
              <w:rPr>
                <w:rFonts w:ascii="Arial" w:hAnsi="Arial"/>
                <w:color w:val="334155"/>
                <w:sz w:val="18"/>
              </w:rPr>
              <w:t>Standalone FastAPI agent reporting hardware stats and driving VBoxManage locally.</w:t>
            </w:r>
          </w:p>
        </w:tc>
        <w:tc>
          <w:tcPr>
            <w:tcW w:type="dxa" w:w="1872"/>
            <w:shd w:fill="F8FAFC"/>
            <w:tcMar>
              <w:top w:w="100" w:type="dxa"/>
              <w:bottom w:w="100" w:type="dxa"/>
              <w:left w:w="140" w:type="dxa"/>
              <w:right w:w="140" w:type="dxa"/>
            </w:tcMar>
          </w:tcPr>
          <w:p>
            <w:pPr>
              <w:jc w:val="left"/>
            </w:pPr>
            <w:r>
              <w:rPr>
                <w:rFonts w:ascii="Arial" w:hAnsi="Arial"/>
                <w:color w:val="334155"/>
                <w:sz w:val="18"/>
              </w:rPr>
              <w:t>COMPLETE (100%)</w:t>
            </w:r>
          </w:p>
        </w:tc>
      </w:tr>
      <w:tr>
        <w:tc>
          <w:tcPr>
            <w:tcW w:type="dxa" w:w="2304"/>
            <w:shd w:fill="FFFFFF"/>
            <w:tcMar>
              <w:top w:w="100" w:type="dxa"/>
              <w:bottom w:w="100" w:type="dxa"/>
              <w:left w:w="140" w:type="dxa"/>
              <w:right w:w="140" w:type="dxa"/>
            </w:tcMar>
          </w:tcPr>
          <w:p>
            <w:pPr>
              <w:jc w:val="left"/>
            </w:pPr>
            <w:r>
              <w:rPr>
                <w:rFonts w:ascii="Arial" w:hAnsi="Arial"/>
                <w:b/>
                <w:color w:val="0F172A"/>
                <w:sz w:val="18"/>
              </w:rPr>
              <w:t>Web Control Dashboard</w:t>
            </w:r>
          </w:p>
        </w:tc>
        <w:tc>
          <w:tcPr>
            <w:tcW w:type="dxa" w:w="3168"/>
            <w:shd w:fill="FFFFFF"/>
            <w:tcMar>
              <w:top w:w="100" w:type="dxa"/>
              <w:bottom w:w="100" w:type="dxa"/>
              <w:left w:w="140" w:type="dxa"/>
              <w:right w:w="140" w:type="dxa"/>
            </w:tcMar>
          </w:tcPr>
          <w:p>
            <w:pPr>
              <w:jc w:val="left"/>
            </w:pPr>
            <w:r>
              <w:rPr>
                <w:rFonts w:ascii="Arial" w:hAnsi="Arial"/>
                <w:color w:val="334155"/>
                <w:sz w:val="18"/>
              </w:rPr>
              <w:t>frontend/src/ (React 19 + 3D)</w:t>
            </w:r>
          </w:p>
        </w:tc>
        <w:tc>
          <w:tcPr>
            <w:tcW w:type="dxa" w:w="3456"/>
            <w:shd w:fill="FFFFFF"/>
            <w:tcMar>
              <w:top w:w="100" w:type="dxa"/>
              <w:bottom w:w="100" w:type="dxa"/>
              <w:left w:w="140" w:type="dxa"/>
              <w:right w:w="140" w:type="dxa"/>
            </w:tcMar>
          </w:tcPr>
          <w:p>
            <w:pPr>
              <w:jc w:val="left"/>
            </w:pPr>
            <w:r>
              <w:rPr>
                <w:rFonts w:ascii="Arial" w:hAnsi="Arial"/>
                <w:color w:val="334155"/>
                <w:sz w:val="18"/>
              </w:rPr>
              <w:t>Three.js 3D cluster view, Live Demo screen, live telemetry, and audit logging.</w:t>
            </w:r>
          </w:p>
        </w:tc>
        <w:tc>
          <w:tcPr>
            <w:tcW w:type="dxa" w:w="1872"/>
            <w:shd w:fill="FFFFFF"/>
            <w:tcMar>
              <w:top w:w="100" w:type="dxa"/>
              <w:bottom w:w="100" w:type="dxa"/>
              <w:left w:w="140" w:type="dxa"/>
              <w:right w:w="140" w:type="dxa"/>
            </w:tcMar>
          </w:tcPr>
          <w:p>
            <w:pPr>
              <w:jc w:val="left"/>
            </w:pPr>
            <w:r>
              <w:rPr>
                <w:rFonts w:ascii="Arial" w:hAnsi="Arial"/>
                <w:color w:val="334155"/>
                <w:sz w:val="18"/>
              </w:rPr>
              <w:t>COMPLETE (100%)</w:t>
            </w:r>
          </w:p>
        </w:tc>
      </w:tr>
    </w:tbl>
    <w:p>
      <w:pPr>
        <w:spacing w:after="120"/>
      </w:pPr>
    </w:p>
    <w:p>
      <w:pPr>
        <w:pStyle w:val="Heading1"/>
        <w:keepNext/>
        <w:spacing w:before="360" w:after="120"/>
      </w:pPr>
      <w:r>
        <w:rPr>
          <w:rFonts w:ascii="Arial" w:hAnsi="Arial"/>
          <w:b/>
          <w:color w:val="0F172A"/>
          <w:sz w:val="30"/>
        </w:rPr>
        <w:t>8. Technologies, Libraries &amp; Frameworks</w:t>
      </w:r>
    </w:p>
    <w:tbl>
      <w:tblPr>
        <w:tblW w:type="auto" w:w="0"/>
        <w:jc w:val="center"/>
        <w:tblLook w:firstColumn="1" w:firstRow="1" w:lastColumn="0" w:lastRow="0" w:noHBand="0" w:noVBand="1" w:val="04A0"/>
      </w:tblPr>
      <w:tblGrid>
        <w:gridCol w:w="3120"/>
        <w:gridCol w:w="3120"/>
        <w:gridCol w:w="3120"/>
      </w:tblGrid>
      <w:tr>
        <w:tc>
          <w:tcPr>
            <w:tcW w:type="dxa" w:w="2592"/>
            <w:shd w:fill="0F172A"/>
            <w:tcMar>
              <w:top w:w="120" w:type="dxa"/>
              <w:bottom w:w="120" w:type="dxa"/>
              <w:left w:w="140" w:type="dxa"/>
              <w:right w:w="140" w:type="dxa"/>
            </w:tcMar>
          </w:tcPr>
          <w:p>
            <w:pPr>
              <w:jc w:val="left"/>
            </w:pPr>
            <w:r>
              <w:rPr>
                <w:rFonts w:ascii="Arial" w:hAnsi="Arial"/>
                <w:b/>
                <w:color w:val="FFFFFF"/>
                <w:sz w:val="19"/>
              </w:rPr>
              <w:t>Technology</w:t>
            </w:r>
          </w:p>
        </w:tc>
        <w:tc>
          <w:tcPr>
            <w:tcW w:type="dxa" w:w="2592"/>
            <w:shd w:fill="0F172A"/>
            <w:tcMar>
              <w:top w:w="120" w:type="dxa"/>
              <w:bottom w:w="120" w:type="dxa"/>
              <w:left w:w="140" w:type="dxa"/>
              <w:right w:w="140" w:type="dxa"/>
            </w:tcMar>
          </w:tcPr>
          <w:p>
            <w:pPr>
              <w:jc w:val="left"/>
            </w:pPr>
            <w:r>
              <w:rPr>
                <w:rFonts w:ascii="Arial" w:hAnsi="Arial"/>
                <w:b/>
                <w:color w:val="FFFFFF"/>
                <w:sz w:val="19"/>
              </w:rPr>
              <w:t>Category</w:t>
            </w:r>
          </w:p>
        </w:tc>
        <w:tc>
          <w:tcPr>
            <w:tcW w:type="dxa" w:w="5616"/>
            <w:shd w:fill="0F172A"/>
            <w:tcMar>
              <w:top w:w="120" w:type="dxa"/>
              <w:bottom w:w="120" w:type="dxa"/>
              <w:left w:w="140" w:type="dxa"/>
              <w:right w:w="140" w:type="dxa"/>
            </w:tcMar>
          </w:tcPr>
          <w:p>
            <w:pPr>
              <w:jc w:val="left"/>
            </w:pPr>
            <w:r>
              <w:rPr>
                <w:rFonts w:ascii="Arial" w:hAnsi="Arial"/>
                <w:b/>
                <w:color w:val="FFFFFF"/>
                <w:sz w:val="19"/>
              </w:rPr>
              <w:t>Role in VMotion AI</w:t>
            </w:r>
          </w:p>
        </w:tc>
      </w:tr>
      <w:tr>
        <w:tc>
          <w:tcPr>
            <w:tcW w:type="dxa" w:w="2592"/>
            <w:shd w:fill="F8FAFC"/>
            <w:tcMar>
              <w:top w:w="100" w:type="dxa"/>
              <w:bottom w:w="100" w:type="dxa"/>
              <w:left w:w="140" w:type="dxa"/>
              <w:right w:w="140" w:type="dxa"/>
            </w:tcMar>
          </w:tcPr>
          <w:p>
            <w:pPr>
              <w:jc w:val="left"/>
            </w:pPr>
            <w:r>
              <w:rPr>
                <w:rFonts w:ascii="Arial" w:hAnsi="Arial"/>
                <w:b/>
                <w:color w:val="0F172A"/>
                <w:sz w:val="18"/>
              </w:rPr>
              <w:t>Python 3.11</w:t>
            </w:r>
          </w:p>
        </w:tc>
        <w:tc>
          <w:tcPr>
            <w:tcW w:type="dxa" w:w="2592"/>
            <w:shd w:fill="F8FAFC"/>
            <w:tcMar>
              <w:top w:w="100" w:type="dxa"/>
              <w:bottom w:w="100" w:type="dxa"/>
              <w:left w:w="140" w:type="dxa"/>
              <w:right w:w="140" w:type="dxa"/>
            </w:tcMar>
          </w:tcPr>
          <w:p>
            <w:pPr>
              <w:jc w:val="left"/>
            </w:pPr>
            <w:r>
              <w:rPr>
                <w:rFonts w:ascii="Arial" w:hAnsi="Arial"/>
                <w:color w:val="334155"/>
                <w:sz w:val="18"/>
              </w:rPr>
              <w:t>Backend Language</w:t>
            </w:r>
          </w:p>
        </w:tc>
        <w:tc>
          <w:tcPr>
            <w:tcW w:type="dxa" w:w="5616"/>
            <w:shd w:fill="F8FAFC"/>
            <w:tcMar>
              <w:top w:w="100" w:type="dxa"/>
              <w:bottom w:w="100" w:type="dxa"/>
              <w:left w:w="140" w:type="dxa"/>
              <w:right w:w="140" w:type="dxa"/>
            </w:tcMar>
          </w:tcPr>
          <w:p>
            <w:pPr>
              <w:jc w:val="left"/>
            </w:pPr>
            <w:r>
              <w:rPr>
                <w:rFonts w:ascii="Arial" w:hAnsi="Arial"/>
                <w:color w:val="334155"/>
                <w:sz w:val="18"/>
              </w:rPr>
              <w:t>Backend control plane, reinforcement learning training, and REST/WebSocket APIs.</w:t>
            </w:r>
          </w:p>
        </w:tc>
      </w:tr>
      <w:tr>
        <w:tc>
          <w:tcPr>
            <w:tcW w:type="dxa" w:w="2592"/>
            <w:shd w:fill="FFFFFF"/>
            <w:tcMar>
              <w:top w:w="100" w:type="dxa"/>
              <w:bottom w:w="100" w:type="dxa"/>
              <w:left w:w="140" w:type="dxa"/>
              <w:right w:w="140" w:type="dxa"/>
            </w:tcMar>
          </w:tcPr>
          <w:p>
            <w:pPr>
              <w:jc w:val="left"/>
            </w:pPr>
            <w:r>
              <w:rPr>
                <w:rFonts w:ascii="Arial" w:hAnsi="Arial"/>
                <w:b/>
                <w:color w:val="0F172A"/>
                <w:sz w:val="18"/>
              </w:rPr>
              <w:t>Oracle VirtualBox 7.x</w:t>
            </w:r>
          </w:p>
        </w:tc>
        <w:tc>
          <w:tcPr>
            <w:tcW w:type="dxa" w:w="2592"/>
            <w:shd w:fill="FFFFFF"/>
            <w:tcMar>
              <w:top w:w="100" w:type="dxa"/>
              <w:bottom w:w="100" w:type="dxa"/>
              <w:left w:w="140" w:type="dxa"/>
              <w:right w:w="140" w:type="dxa"/>
            </w:tcMar>
          </w:tcPr>
          <w:p>
            <w:pPr>
              <w:jc w:val="left"/>
            </w:pPr>
            <w:r>
              <w:rPr>
                <w:rFonts w:ascii="Arial" w:hAnsi="Arial"/>
                <w:color w:val="334155"/>
                <w:sz w:val="18"/>
              </w:rPr>
              <w:t>Hypervisor Platform</w:t>
            </w:r>
          </w:p>
        </w:tc>
        <w:tc>
          <w:tcPr>
            <w:tcW w:type="dxa" w:w="5616"/>
            <w:shd w:fill="FFFFFF"/>
            <w:tcMar>
              <w:top w:w="100" w:type="dxa"/>
              <w:bottom w:w="100" w:type="dxa"/>
              <w:left w:w="140" w:type="dxa"/>
              <w:right w:w="140" w:type="dxa"/>
            </w:tcMar>
          </w:tcPr>
          <w:p>
            <w:pPr>
              <w:jc w:val="left"/>
            </w:pPr>
            <w:r>
              <w:rPr>
                <w:rFonts w:ascii="Arial" w:hAnsi="Arial"/>
                <w:color w:val="334155"/>
                <w:sz w:val="18"/>
              </w:rPr>
              <w:t>Physical virtualization host platform executing native live teleportation.</w:t>
            </w:r>
          </w:p>
        </w:tc>
      </w:tr>
      <w:tr>
        <w:tc>
          <w:tcPr>
            <w:tcW w:type="dxa" w:w="2592"/>
            <w:shd w:fill="F8FAFC"/>
            <w:tcMar>
              <w:top w:w="100" w:type="dxa"/>
              <w:bottom w:w="100" w:type="dxa"/>
              <w:left w:w="140" w:type="dxa"/>
              <w:right w:w="140" w:type="dxa"/>
            </w:tcMar>
          </w:tcPr>
          <w:p>
            <w:pPr>
              <w:jc w:val="left"/>
            </w:pPr>
            <w:r>
              <w:rPr>
                <w:rFonts w:ascii="Arial" w:hAnsi="Arial"/>
                <w:b/>
                <w:color w:val="0F172A"/>
                <w:sz w:val="18"/>
              </w:rPr>
              <w:t>Stable-Baselines3 / sb3-contrib</w:t>
            </w:r>
          </w:p>
        </w:tc>
        <w:tc>
          <w:tcPr>
            <w:tcW w:type="dxa" w:w="2592"/>
            <w:shd w:fill="F8FAFC"/>
            <w:tcMar>
              <w:top w:w="100" w:type="dxa"/>
              <w:bottom w:w="100" w:type="dxa"/>
              <w:left w:w="140" w:type="dxa"/>
              <w:right w:w="140" w:type="dxa"/>
            </w:tcMar>
          </w:tcPr>
          <w:p>
            <w:pPr>
              <w:jc w:val="left"/>
            </w:pPr>
            <w:r>
              <w:rPr>
                <w:rFonts w:ascii="Arial" w:hAnsi="Arial"/>
                <w:color w:val="334155"/>
                <w:sz w:val="18"/>
              </w:rPr>
              <w:t>RL Framework</w:t>
            </w:r>
          </w:p>
        </w:tc>
        <w:tc>
          <w:tcPr>
            <w:tcW w:type="dxa" w:w="5616"/>
            <w:shd w:fill="F8FAFC"/>
            <w:tcMar>
              <w:top w:w="100" w:type="dxa"/>
              <w:bottom w:w="100" w:type="dxa"/>
              <w:left w:w="140" w:type="dxa"/>
              <w:right w:w="140" w:type="dxa"/>
            </w:tcMar>
          </w:tcPr>
          <w:p>
            <w:pPr>
              <w:jc w:val="left"/>
            </w:pPr>
            <w:r>
              <w:rPr>
                <w:rFonts w:ascii="Arial" w:hAnsi="Arial"/>
                <w:color w:val="334155"/>
                <w:sz w:val="18"/>
              </w:rPr>
              <w:t>MaskablePPO implementation supporting invalid action masking over Discrete action spaces.</w:t>
            </w:r>
          </w:p>
        </w:tc>
      </w:tr>
      <w:tr>
        <w:tc>
          <w:tcPr>
            <w:tcW w:type="dxa" w:w="2592"/>
            <w:shd w:fill="FFFFFF"/>
            <w:tcMar>
              <w:top w:w="100" w:type="dxa"/>
              <w:bottom w:w="100" w:type="dxa"/>
              <w:left w:w="140" w:type="dxa"/>
              <w:right w:w="140" w:type="dxa"/>
            </w:tcMar>
          </w:tcPr>
          <w:p>
            <w:pPr>
              <w:jc w:val="left"/>
            </w:pPr>
            <w:r>
              <w:rPr>
                <w:rFonts w:ascii="Arial" w:hAnsi="Arial"/>
                <w:b/>
                <w:color w:val="0F172A"/>
                <w:sz w:val="18"/>
              </w:rPr>
              <w:t>PyTorch 2.2+</w:t>
            </w:r>
          </w:p>
        </w:tc>
        <w:tc>
          <w:tcPr>
            <w:tcW w:type="dxa" w:w="2592"/>
            <w:shd w:fill="FFFFFF"/>
            <w:tcMar>
              <w:top w:w="100" w:type="dxa"/>
              <w:bottom w:w="100" w:type="dxa"/>
              <w:left w:w="140" w:type="dxa"/>
              <w:right w:w="140" w:type="dxa"/>
            </w:tcMar>
          </w:tcPr>
          <w:p>
            <w:pPr>
              <w:jc w:val="left"/>
            </w:pPr>
            <w:r>
              <w:rPr>
                <w:rFonts w:ascii="Arial" w:hAnsi="Arial"/>
                <w:color w:val="334155"/>
                <w:sz w:val="18"/>
              </w:rPr>
              <w:t>Deep Learning Library</w:t>
            </w:r>
          </w:p>
        </w:tc>
        <w:tc>
          <w:tcPr>
            <w:tcW w:type="dxa" w:w="5616"/>
            <w:shd w:fill="FFFFFF"/>
            <w:tcMar>
              <w:top w:w="100" w:type="dxa"/>
              <w:bottom w:w="100" w:type="dxa"/>
              <w:left w:w="140" w:type="dxa"/>
              <w:right w:w="140" w:type="dxa"/>
            </w:tcMar>
          </w:tcPr>
          <w:p>
            <w:pPr>
              <w:jc w:val="left"/>
            </w:pPr>
            <w:r>
              <w:rPr>
                <w:rFonts w:ascii="Arial" w:hAnsi="Arial"/>
                <w:color w:val="334155"/>
                <w:sz w:val="18"/>
              </w:rPr>
              <w:t>Underlying tensor computation and actor-critic neural network evaluation.</w:t>
            </w:r>
          </w:p>
        </w:tc>
      </w:tr>
      <w:tr>
        <w:tc>
          <w:tcPr>
            <w:tcW w:type="dxa" w:w="2592"/>
            <w:shd w:fill="F8FAFC"/>
            <w:tcMar>
              <w:top w:w="100" w:type="dxa"/>
              <w:bottom w:w="100" w:type="dxa"/>
              <w:left w:w="140" w:type="dxa"/>
              <w:right w:w="140" w:type="dxa"/>
            </w:tcMar>
          </w:tcPr>
          <w:p>
            <w:pPr>
              <w:jc w:val="left"/>
            </w:pPr>
            <w:r>
              <w:rPr>
                <w:rFonts w:ascii="Arial" w:hAnsi="Arial"/>
                <w:b/>
                <w:color w:val="0F172A"/>
                <w:sz w:val="18"/>
              </w:rPr>
              <w:t>FastAPI &amp; Uvicorn</w:t>
            </w:r>
          </w:p>
        </w:tc>
        <w:tc>
          <w:tcPr>
            <w:tcW w:type="dxa" w:w="2592"/>
            <w:shd w:fill="F8FAFC"/>
            <w:tcMar>
              <w:top w:w="100" w:type="dxa"/>
              <w:bottom w:w="100" w:type="dxa"/>
              <w:left w:w="140" w:type="dxa"/>
              <w:right w:w="140" w:type="dxa"/>
            </w:tcMar>
          </w:tcPr>
          <w:p>
            <w:pPr>
              <w:jc w:val="left"/>
            </w:pPr>
            <w:r>
              <w:rPr>
                <w:rFonts w:ascii="Arial" w:hAnsi="Arial"/>
                <w:color w:val="334155"/>
                <w:sz w:val="18"/>
              </w:rPr>
              <w:t>Web &amp; API Framework</w:t>
            </w:r>
          </w:p>
        </w:tc>
        <w:tc>
          <w:tcPr>
            <w:tcW w:type="dxa" w:w="5616"/>
            <w:shd w:fill="F8FAFC"/>
            <w:tcMar>
              <w:top w:w="100" w:type="dxa"/>
              <w:bottom w:w="100" w:type="dxa"/>
              <w:left w:w="140" w:type="dxa"/>
              <w:right w:w="140" w:type="dxa"/>
            </w:tcMar>
          </w:tcPr>
          <w:p>
            <w:pPr>
              <w:jc w:val="left"/>
            </w:pPr>
            <w:r>
              <w:rPr>
                <w:rFonts w:ascii="Arial" w:hAnsi="Arial"/>
                <w:color w:val="334155"/>
                <w:sz w:val="18"/>
              </w:rPr>
              <w:t>Asynchronous REST API endpoints and native WebSocket telemetry streaming.</w:t>
            </w:r>
          </w:p>
        </w:tc>
      </w:tr>
      <w:tr>
        <w:tc>
          <w:tcPr>
            <w:tcW w:type="dxa" w:w="2592"/>
            <w:shd w:fill="FFFFFF"/>
            <w:tcMar>
              <w:top w:w="100" w:type="dxa"/>
              <w:bottom w:w="100" w:type="dxa"/>
              <w:left w:w="140" w:type="dxa"/>
              <w:right w:w="140" w:type="dxa"/>
            </w:tcMar>
          </w:tcPr>
          <w:p>
            <w:pPr>
              <w:jc w:val="left"/>
            </w:pPr>
            <w:r>
              <w:rPr>
                <w:rFonts w:ascii="Arial" w:hAnsi="Arial"/>
                <w:b/>
                <w:color w:val="0F172A"/>
                <w:sz w:val="18"/>
              </w:rPr>
              <w:t>React 19 &amp; TypeScript</w:t>
            </w:r>
          </w:p>
        </w:tc>
        <w:tc>
          <w:tcPr>
            <w:tcW w:type="dxa" w:w="2592"/>
            <w:shd w:fill="FFFFFF"/>
            <w:tcMar>
              <w:top w:w="100" w:type="dxa"/>
              <w:bottom w:w="100" w:type="dxa"/>
              <w:left w:w="140" w:type="dxa"/>
              <w:right w:w="140" w:type="dxa"/>
            </w:tcMar>
          </w:tcPr>
          <w:p>
            <w:pPr>
              <w:jc w:val="left"/>
            </w:pPr>
            <w:r>
              <w:rPr>
                <w:rFonts w:ascii="Arial" w:hAnsi="Arial"/>
                <w:color w:val="334155"/>
                <w:sz w:val="18"/>
              </w:rPr>
              <w:t>Frontend Core</w:t>
            </w:r>
          </w:p>
        </w:tc>
        <w:tc>
          <w:tcPr>
            <w:tcW w:type="dxa" w:w="5616"/>
            <w:shd w:fill="FFFFFF"/>
            <w:tcMar>
              <w:top w:w="100" w:type="dxa"/>
              <w:bottom w:w="100" w:type="dxa"/>
              <w:left w:w="140" w:type="dxa"/>
              <w:right w:w="140" w:type="dxa"/>
            </w:tcMar>
          </w:tcPr>
          <w:p>
            <w:pPr>
              <w:jc w:val="left"/>
            </w:pPr>
            <w:r>
              <w:rPr>
                <w:rFonts w:ascii="Arial" w:hAnsi="Arial"/>
                <w:color w:val="334155"/>
                <w:sz w:val="18"/>
              </w:rPr>
              <w:t>Modern frontend component architecture with strict end-to-end type safety.</w:t>
            </w:r>
          </w:p>
        </w:tc>
      </w:tr>
      <w:tr>
        <w:tc>
          <w:tcPr>
            <w:tcW w:type="dxa" w:w="2592"/>
            <w:shd w:fill="F8FAFC"/>
            <w:tcMar>
              <w:top w:w="100" w:type="dxa"/>
              <w:bottom w:w="100" w:type="dxa"/>
              <w:left w:w="140" w:type="dxa"/>
              <w:right w:w="140" w:type="dxa"/>
            </w:tcMar>
          </w:tcPr>
          <w:p>
            <w:pPr>
              <w:jc w:val="left"/>
            </w:pPr>
            <w:r>
              <w:rPr>
                <w:rFonts w:ascii="Arial" w:hAnsi="Arial"/>
                <w:b/>
                <w:color w:val="0F172A"/>
                <w:sz w:val="18"/>
              </w:rPr>
              <w:t>Three.js &amp; Tailwind CSS</w:t>
            </w:r>
          </w:p>
        </w:tc>
        <w:tc>
          <w:tcPr>
            <w:tcW w:type="dxa" w:w="2592"/>
            <w:shd w:fill="F8FAFC"/>
            <w:tcMar>
              <w:top w:w="100" w:type="dxa"/>
              <w:bottom w:w="100" w:type="dxa"/>
              <w:left w:w="140" w:type="dxa"/>
              <w:right w:w="140" w:type="dxa"/>
            </w:tcMar>
          </w:tcPr>
          <w:p>
            <w:pPr>
              <w:jc w:val="left"/>
            </w:pPr>
            <w:r>
              <w:rPr>
                <w:rFonts w:ascii="Arial" w:hAnsi="Arial"/>
                <w:color w:val="334155"/>
                <w:sz w:val="18"/>
              </w:rPr>
              <w:t>Graphics &amp; Motion</w:t>
            </w:r>
          </w:p>
        </w:tc>
        <w:tc>
          <w:tcPr>
            <w:tcW w:type="dxa" w:w="5616"/>
            <w:shd w:fill="F8FAFC"/>
            <w:tcMar>
              <w:top w:w="100" w:type="dxa"/>
              <w:bottom w:w="100" w:type="dxa"/>
              <w:left w:w="140" w:type="dxa"/>
              <w:right w:w="140" w:type="dxa"/>
            </w:tcMar>
          </w:tcPr>
          <w:p>
            <w:pPr>
              <w:jc w:val="left"/>
            </w:pPr>
            <w:r>
              <w:rPr>
                <w:rFonts w:ascii="Arial" w:hAnsi="Arial"/>
                <w:color w:val="334155"/>
                <w:sz w:val="18"/>
              </w:rPr>
              <w:t>WebGL 3D cluster visualization and responsive architectural styling.</w:t>
            </w:r>
          </w:p>
        </w:tc>
      </w:tr>
      <w:tr>
        <w:tc>
          <w:tcPr>
            <w:tcW w:type="dxa" w:w="2592"/>
            <w:shd w:fill="FFFFFF"/>
            <w:tcMar>
              <w:top w:w="100" w:type="dxa"/>
              <w:bottom w:w="100" w:type="dxa"/>
              <w:left w:w="140" w:type="dxa"/>
              <w:right w:w="140" w:type="dxa"/>
            </w:tcMar>
          </w:tcPr>
          <w:p>
            <w:pPr>
              <w:jc w:val="left"/>
            </w:pPr>
            <w:r>
              <w:rPr>
                <w:rFonts w:ascii="Arial" w:hAnsi="Arial"/>
                <w:b/>
                <w:color w:val="0F172A"/>
                <w:sz w:val="18"/>
              </w:rPr>
              <w:t>Pytest &amp; httpx</w:t>
            </w:r>
          </w:p>
        </w:tc>
        <w:tc>
          <w:tcPr>
            <w:tcW w:type="dxa" w:w="2592"/>
            <w:shd w:fill="FFFFFF"/>
            <w:tcMar>
              <w:top w:w="100" w:type="dxa"/>
              <w:bottom w:w="100" w:type="dxa"/>
              <w:left w:w="140" w:type="dxa"/>
              <w:right w:w="140" w:type="dxa"/>
            </w:tcMar>
          </w:tcPr>
          <w:p>
            <w:pPr>
              <w:jc w:val="left"/>
            </w:pPr>
            <w:r>
              <w:rPr>
                <w:rFonts w:ascii="Arial" w:hAnsi="Arial"/>
                <w:color w:val="334155"/>
                <w:sz w:val="18"/>
              </w:rPr>
              <w:t>Testing &amp; Async HTTP</w:t>
            </w:r>
          </w:p>
        </w:tc>
        <w:tc>
          <w:tcPr>
            <w:tcW w:type="dxa" w:w="5616"/>
            <w:shd w:fill="FFFFFF"/>
            <w:tcMar>
              <w:top w:w="100" w:type="dxa"/>
              <w:bottom w:w="100" w:type="dxa"/>
              <w:left w:w="140" w:type="dxa"/>
              <w:right w:w="140" w:type="dxa"/>
            </w:tcMar>
          </w:tcPr>
          <w:p>
            <w:pPr>
              <w:jc w:val="left"/>
            </w:pPr>
            <w:r>
              <w:rPr>
                <w:rFonts w:ascii="Arial" w:hAnsi="Arial"/>
                <w:color w:val="334155"/>
                <w:sz w:val="18"/>
              </w:rPr>
              <w:t>Automated test suite (110 tests) and async HTTP communication with host agents.</w:t>
            </w:r>
          </w:p>
        </w:tc>
      </w:tr>
    </w:tbl>
    <w:p>
      <w:pPr>
        <w:spacing w:after="120"/>
      </w:pPr>
    </w:p>
    <w:p>
      <w:pPr>
        <w:pStyle w:val="Heading1"/>
        <w:keepNext/>
        <w:spacing w:before="360" w:after="120"/>
      </w:pPr>
      <w:r>
        <w:rPr>
          <w:rFonts w:ascii="Arial" w:hAnsi="Arial"/>
          <w:b/>
          <w:color w:val="0F172A"/>
          <w:sz w:val="30"/>
        </w:rPr>
        <w:t>9. Reinforcement Learning Methodology (MaskablePPO)</w:t>
      </w:r>
    </w:p>
    <w:p>
      <w:pPr>
        <w:spacing w:after="100" w:line="276" w:lineRule="auto"/>
      </w:pPr>
      <w:r>
        <w:rPr>
          <w:rFonts w:ascii="Arial" w:hAnsi="Arial"/>
          <w:color w:val="334155"/>
          <w:sz w:val="20"/>
        </w:rPr>
        <w:t>We model cluster rebalancing as a Markov Decision Process (MDP) with a 103-dimensional state space, Discrete(7) action space, and multi-objective reward. We chose Proximal Policy Optimization (PPO) because its clipped surrogate objective prevents overly large policy updates that could destabilize learning.</w:t>
      </w:r>
    </w:p>
    <w:p>
      <w:pPr>
        <w:spacing w:after="100" w:line="276" w:lineRule="auto"/>
      </w:pPr>
      <w:r>
        <w:rPr>
          <w:rFonts w:ascii="Arial" w:hAnsi="Arial"/>
          <w:color w:val="334155"/>
          <w:sz w:val="20"/>
        </w:rPr>
        <w:t>Why Action Masking Is Essential: In hypervisor management, attempting to migrate a VM that is already moving or migrating a VM that was moved 10 seconds ago violates operational rules. Standard RL penalizes bad actions after the fact, which wastes training time. With MaskablePPO, invalid action probabilities are set to zero before the softmax step, ensuring the agent only samples valid actions and preventing migration flapping.</w:t>
      </w:r>
    </w:p>
    <w:p>
      <w:pPr>
        <w:pStyle w:val="Heading1"/>
        <w:keepNext/>
        <w:spacing w:before="360" w:after="120"/>
      </w:pPr>
      <w:r>
        <w:rPr>
          <w:rFonts w:ascii="Arial" w:hAnsi="Arial"/>
          <w:b/>
          <w:color w:val="0F172A"/>
          <w:sz w:val="30"/>
        </w:rPr>
        <w:t>10. 103-Dimensional Observation Space</w:t>
      </w:r>
    </w:p>
    <w:p>
      <w:pPr>
        <w:spacing w:after="100" w:line="276" w:lineRule="auto"/>
      </w:pPr>
      <w:r>
        <w:rPr>
          <w:rFonts w:ascii="Arial" w:hAnsi="Arial"/>
          <w:color w:val="334155"/>
          <w:sz w:val="20"/>
        </w:rPr>
        <w:t>The 103 continuous features are divided into three deterministic blocks:</w:t>
      </w:r>
    </w:p>
    <w:p>
      <w:pPr>
        <w:pStyle w:val="ListBullet"/>
        <w:spacing w:after="60" w:line="276" w:lineRule="auto"/>
      </w:pPr>
      <w:r>
        <w:rPr>
          <w:rFonts w:ascii="Arial" w:hAnsi="Arial"/>
          <w:b/>
          <w:color w:val="0F172A"/>
          <w:sz w:val="20"/>
        </w:rPr>
        <w:t xml:space="preserve">Block 1: Node Telemetry (24 Features, Indices 0..23): </w:t>
      </w:r>
      <w:r>
        <w:rPr>
          <w:rFonts w:ascii="Arial" w:hAnsi="Arial"/>
          <w:color w:val="334155"/>
          <w:sz w:val="20"/>
        </w:rPr>
        <w:t>3 servers x 8 features each: CPU util, RAM util, network RX/TX, disk util, VM density, online status flag, and CPU headroom fraction.</w:t>
      </w:r>
    </w:p>
    <w:p>
      <w:pPr>
        <w:pStyle w:val="ListBullet"/>
        <w:spacing w:after="60" w:line="276" w:lineRule="auto"/>
      </w:pPr>
      <w:r>
        <w:rPr>
          <w:rFonts w:ascii="Arial" w:hAnsi="Arial"/>
          <w:b/>
          <w:color w:val="0F172A"/>
          <w:sz w:val="20"/>
        </w:rPr>
        <w:t xml:space="preserve">Block 2: VM Telemetry (60 Features, Indices 24..83): </w:t>
      </w:r>
      <w:r>
        <w:rPr>
          <w:rFonts w:ascii="Arial" w:hAnsi="Arial"/>
          <w:color w:val="334155"/>
          <w:sz w:val="20"/>
        </w:rPr>
        <w:t>6 virtual machines x 10 features each: CPU util, RAM alloc, RAM util, network IO, SLA weight, cooldown timer, migration count, uptime, contention, and host ID.</w:t>
      </w:r>
    </w:p>
    <w:p>
      <w:pPr>
        <w:pStyle w:val="ListBullet"/>
        <w:spacing w:after="60" w:line="276" w:lineRule="auto"/>
      </w:pPr>
      <w:r>
        <w:rPr>
          <w:rFonts w:ascii="Arial" w:hAnsi="Arial"/>
          <w:b/>
          <w:color w:val="0F172A"/>
          <w:sz w:val="20"/>
        </w:rPr>
        <w:t xml:space="preserve">Block 3: Cluster &amp; Fairness (19 Features, Indices 84..102): </w:t>
      </w:r>
      <w:r>
        <w:rPr>
          <w:rFonts w:ascii="Arial" w:hAnsi="Arial"/>
          <w:color w:val="334155"/>
          <w:sz w:val="20"/>
        </w:rPr>
        <w:t>Jain's Fairness Index for CPU and RAM, cluster standard deviation, average CPU/RAM, dynamic power index, SLA breach ratio, storage accessibility, and quorum consensus.</w:t>
      </w:r>
    </w:p>
    <w:p>
      <w:pPr>
        <w:pStyle w:val="Heading1"/>
        <w:keepNext/>
        <w:spacing w:before="360" w:after="120"/>
      </w:pPr>
      <w:r>
        <w:rPr>
          <w:rFonts w:ascii="Arial" w:hAnsi="Arial"/>
          <w:b/>
          <w:color w:val="0F172A"/>
          <w:sz w:val="30"/>
        </w:rPr>
        <w:t>11. Action Space &amp; Reward Function Design</w:t>
      </w:r>
    </w:p>
    <w:p>
      <w:pPr>
        <w:spacing w:after="100" w:line="276" w:lineRule="auto"/>
      </w:pPr>
      <w:r>
        <w:rPr>
          <w:rFonts w:ascii="Arial" w:hAnsi="Arial"/>
          <w:color w:val="334155"/>
          <w:sz w:val="20"/>
        </w:rPr>
        <w:t>Action Space: Discrete(7) where Action 0 represents No-Op (cluster in equilibrium; no migration needed), and Actions 1..6 represent selecting VM-01 through VM-06 for migration. The destination host is chosen deterministically by finding the server with the greatest available compute headroom.</w:t>
      </w:r>
    </w:p>
    <w:p>
      <w:pPr>
        <w:spacing w:after="100" w:line="276" w:lineRule="auto"/>
      </w:pPr>
      <w:r>
        <w:rPr>
          <w:rFonts w:ascii="Arial" w:hAnsi="Arial"/>
          <w:b/>
          <w:color w:val="0F172A"/>
          <w:sz w:val="20"/>
        </w:rPr>
        <w:t xml:space="preserve">Reward: </w:t>
      </w:r>
      <w:r>
        <w:rPr>
          <w:rFonts w:ascii="Arial" w:hAnsi="Arial"/>
          <w:color w:val="334155"/>
          <w:sz w:val="20"/>
        </w:rPr>
        <w:t>Multi-Objective Reward Function:</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32" w:space="0" w:color="4F46E5"/>
              <w:bottom w:val="none"/>
              <w:right w:val="none"/>
            </w:tcBorders>
          </w:tcPr>
          <w:p>
            <w:pPr>
              <w:spacing w:after="60"/>
            </w:pPr>
            <w:r>
              <w:rPr>
                <w:rFonts w:ascii="Arial" w:hAnsi="Arial"/>
                <w:b/>
                <w:color w:val="0F172A"/>
                <w:sz w:val="20"/>
              </w:rPr>
              <w:t>■ PER-STEP REWARD FORMULA</w:t>
              <w:br/>
            </w:r>
            <w:r>
              <w:rPr>
                <w:rFonts w:ascii="Arial" w:hAnsi="Arial"/>
                <w:color w:val="334155"/>
                <w:sz w:val="19"/>
              </w:rPr>
              <w:t>Reward = Balance + Stability - SLA Penalty - Overload Penalty - Migration Cost</w:t>
              <w:br/>
              <w:br/>
              <w:t>• Balance Dividend: +2.5 * Jain_CPU - 1.5 * Std_CPU (rewards uniform load spread across servers)</w:t>
              <w:br/>
              <w:t>• Stability Bonus: +1.0 for choosing No-Op when cluster is already well balanced</w:t>
              <w:br/>
              <w:t>• SLA Penalty: -2.0 for each workload exceeding its assigned SLA ceiling</w:t>
              <w:br/>
              <w:t>• Overload Penalty: -4.0 if any server exceeds 85% CPU capacity (heavy penalty to prevent host exhaustion)</w:t>
              <w:br/>
              <w:t>• Migration Cost: -0.8 for each migration to account for network bandwidth and memory copying overhead</w:t>
            </w:r>
          </w:p>
        </w:tc>
      </w:tr>
    </w:tbl>
    <w:p>
      <w:pPr>
        <w:spacing w:after="80"/>
      </w:pPr>
    </w:p>
    <w:p>
      <w:pPr>
        <w:pStyle w:val="Heading1"/>
        <w:keepNext/>
        <w:spacing w:before="360" w:after="120"/>
      </w:pPr>
      <w:r>
        <w:rPr>
          <w:rFonts w:ascii="Arial" w:hAnsi="Arial"/>
          <w:b/>
          <w:color w:val="0F172A"/>
          <w:sz w:val="30"/>
        </w:rPr>
        <w:t>12. PPO Training Evolution: Diagnosing &amp; Fixing Policy Collapse</w:t>
      </w:r>
    </w:p>
    <w:p>
      <w:pPr>
        <w:pStyle w:val="Heading2"/>
        <w:keepNext/>
        <w:spacing w:before="240" w:after="80"/>
      </w:pPr>
      <w:r>
        <w:rPr>
          <w:rFonts w:ascii="Arial" w:hAnsi="Arial"/>
          <w:b/>
          <w:color w:val="2563EB"/>
          <w:sz w:val="24"/>
        </w:rPr>
        <w:t>12.1 The V4 Policy Collapse</w:t>
      </w:r>
    </w:p>
    <w:p>
      <w:pPr>
        <w:spacing w:after="100" w:line="276" w:lineRule="auto"/>
      </w:pPr>
      <w:r>
        <w:rPr>
          <w:rFonts w:ascii="Arial" w:hAnsi="Arial"/>
          <w:color w:val="334155"/>
          <w:sz w:val="20"/>
        </w:rPr>
        <w:t>During early testing, PPO V4 exhibited policy collapse: it learned to do nothing (0.0 migrations per episode) even when servers were suffering from 95% CPU hotspots. Investigation showed this was caused by training-distribution mismatch. PPO V4 was trained entirely on normal, balanced cluster states. In a balanced state, any migration action incurs a -0.8 penalty without any benefit. As a result, the model quickly learned that Action 0 (No-Op) was always best, and stopped attempting migrations altogether.</w:t>
      </w:r>
    </w:p>
    <w:p>
      <w:pPr>
        <w:pStyle w:val="Heading2"/>
        <w:keepNext/>
        <w:spacing w:before="240" w:after="80"/>
      </w:pPr>
      <w:r>
        <w:rPr>
          <w:rFonts w:ascii="Arial" w:hAnsi="Arial"/>
          <w:b/>
          <w:color w:val="2563EB"/>
          <w:sz w:val="24"/>
        </w:rPr>
        <w:t>12.2 The V5 Multi-Scenario Breakthrough</w:t>
      </w:r>
    </w:p>
    <w:p>
      <w:pPr>
        <w:spacing w:after="100" w:line="276" w:lineRule="auto"/>
      </w:pPr>
      <w:r>
        <w:rPr>
          <w:rFonts w:ascii="Arial" w:hAnsi="Arial"/>
          <w:color w:val="334155"/>
          <w:sz w:val="20"/>
        </w:rPr>
        <w:t>We resolved this in PPO V5 by training across four balanced scenarios (25% Normal, 25% CPU Hotspot, 25% RAM Hotspot, 25% Mixed Overload). By seeing hotspots during training, PPO V5 learned that the reward for rebalancing heavily outweighed the transient migration penalty. The candidate model was frozen as `models/ppo_vmotion_v5_masked.zip` (SHA-256: `bc47c2a564d2...`).</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2592"/>
            <w:shd w:fill="0F172A"/>
            <w:tcMar>
              <w:top w:w="120" w:type="dxa"/>
              <w:bottom w:w="120" w:type="dxa"/>
              <w:left w:w="140" w:type="dxa"/>
              <w:right w:w="140" w:type="dxa"/>
            </w:tcMar>
          </w:tcPr>
          <w:p>
            <w:pPr>
              <w:jc w:val="left"/>
            </w:pPr>
            <w:r>
              <w:rPr>
                <w:rFonts w:ascii="Arial" w:hAnsi="Arial"/>
                <w:b/>
                <w:color w:val="FFFFFF"/>
                <w:sz w:val="19"/>
              </w:rPr>
              <w:t>Metric</w:t>
            </w:r>
          </w:p>
        </w:tc>
        <w:tc>
          <w:tcPr>
            <w:tcW w:type="dxa" w:w="1584"/>
            <w:shd w:fill="0F172A"/>
            <w:tcMar>
              <w:top w:w="120" w:type="dxa"/>
              <w:bottom w:w="120" w:type="dxa"/>
              <w:left w:w="140" w:type="dxa"/>
              <w:right w:w="140" w:type="dxa"/>
            </w:tcMar>
          </w:tcPr>
          <w:p>
            <w:pPr>
              <w:jc w:val="left"/>
            </w:pPr>
            <w:r>
              <w:rPr>
                <w:rFonts w:ascii="Arial" w:hAnsi="Arial"/>
                <w:b/>
                <w:color w:val="FFFFFF"/>
                <w:sz w:val="19"/>
              </w:rPr>
              <w:t>Baseline Heuristic</w:t>
            </w:r>
          </w:p>
        </w:tc>
        <w:tc>
          <w:tcPr>
            <w:tcW w:type="dxa" w:w="1584"/>
            <w:shd w:fill="0F172A"/>
            <w:tcMar>
              <w:top w:w="120" w:type="dxa"/>
              <w:bottom w:w="120" w:type="dxa"/>
              <w:left w:w="140" w:type="dxa"/>
              <w:right w:w="140" w:type="dxa"/>
            </w:tcMar>
          </w:tcPr>
          <w:p>
            <w:pPr>
              <w:jc w:val="left"/>
            </w:pPr>
            <w:r>
              <w:rPr>
                <w:rFonts w:ascii="Arial" w:hAnsi="Arial"/>
                <w:b/>
                <w:color w:val="FFFFFF"/>
                <w:sz w:val="19"/>
              </w:rPr>
              <w:t>Random Masked</w:t>
            </w:r>
          </w:p>
        </w:tc>
        <w:tc>
          <w:tcPr>
            <w:tcW w:type="dxa" w:w="1728"/>
            <w:shd w:fill="0F172A"/>
            <w:tcMar>
              <w:top w:w="120" w:type="dxa"/>
              <w:bottom w:w="120" w:type="dxa"/>
              <w:left w:w="140" w:type="dxa"/>
              <w:right w:w="140" w:type="dxa"/>
            </w:tcMar>
          </w:tcPr>
          <w:p>
            <w:pPr>
              <w:jc w:val="left"/>
            </w:pPr>
            <w:r>
              <w:rPr>
                <w:rFonts w:ascii="Arial" w:hAnsi="Arial"/>
                <w:b/>
                <w:color w:val="FFFFFF"/>
                <w:sz w:val="19"/>
              </w:rPr>
              <w:t>PPO V4 (Collapse)</w:t>
            </w:r>
          </w:p>
        </w:tc>
        <w:tc>
          <w:tcPr>
            <w:tcW w:type="dxa" w:w="1584"/>
            <w:shd w:fill="0F172A"/>
            <w:tcMar>
              <w:top w:w="120" w:type="dxa"/>
              <w:bottom w:w="120" w:type="dxa"/>
              <w:left w:w="140" w:type="dxa"/>
              <w:right w:w="140" w:type="dxa"/>
            </w:tcMar>
          </w:tcPr>
          <w:p>
            <w:pPr>
              <w:jc w:val="left"/>
            </w:pPr>
            <w:r>
              <w:rPr>
                <w:rFonts w:ascii="Arial" w:hAnsi="Arial"/>
                <w:b/>
                <w:color w:val="FFFFFF"/>
                <w:sz w:val="19"/>
              </w:rPr>
              <w:t>PPO V5 (Balanced)</w:t>
            </w:r>
          </w:p>
        </w:tc>
        <w:tc>
          <w:tcPr>
            <w:tcW w:type="dxa" w:w="1728"/>
            <w:shd w:fill="0F172A"/>
            <w:tcMar>
              <w:top w:w="120" w:type="dxa"/>
              <w:bottom w:w="120" w:type="dxa"/>
              <w:left w:w="140" w:type="dxa"/>
              <w:right w:w="140" w:type="dxa"/>
            </w:tcMar>
          </w:tcPr>
          <w:p>
            <w:pPr>
              <w:jc w:val="left"/>
            </w:pPr>
            <w:r>
              <w:rPr>
                <w:rFonts w:ascii="Arial" w:hAnsi="Arial"/>
                <w:b/>
                <w:color w:val="FFFFFF"/>
                <w:sz w:val="19"/>
              </w:rPr>
              <w:t>V4 -&gt; V5 Delta</w:t>
            </w:r>
          </w:p>
        </w:tc>
      </w:tr>
      <w:tr>
        <w:tc>
          <w:tcPr>
            <w:tcW w:type="dxa" w:w="2592"/>
            <w:shd w:fill="F8FAFC"/>
            <w:tcMar>
              <w:top w:w="100" w:type="dxa"/>
              <w:bottom w:w="100" w:type="dxa"/>
              <w:left w:w="140" w:type="dxa"/>
              <w:right w:w="140" w:type="dxa"/>
            </w:tcMar>
          </w:tcPr>
          <w:p>
            <w:pPr>
              <w:jc w:val="left"/>
            </w:pPr>
            <w:r>
              <w:rPr>
                <w:rFonts w:ascii="Arial" w:hAnsi="Arial"/>
                <w:b/>
                <w:color w:val="0F172A"/>
                <w:sz w:val="18"/>
              </w:rPr>
              <w:t>Overall Mean Reward</w:t>
            </w:r>
          </w:p>
        </w:tc>
        <w:tc>
          <w:tcPr>
            <w:tcW w:type="dxa" w:w="1584"/>
            <w:shd w:fill="F8FAFC"/>
            <w:tcMar>
              <w:top w:w="100" w:type="dxa"/>
              <w:bottom w:w="100" w:type="dxa"/>
              <w:left w:w="140" w:type="dxa"/>
              <w:right w:w="140" w:type="dxa"/>
            </w:tcMar>
          </w:tcPr>
          <w:p>
            <w:pPr>
              <w:jc w:val="left"/>
            </w:pPr>
            <w:r>
              <w:rPr>
                <w:rFonts w:ascii="Arial" w:hAnsi="Arial"/>
                <w:color w:val="334155"/>
                <w:sz w:val="18"/>
              </w:rPr>
              <w:t>-122.54</w:t>
            </w:r>
          </w:p>
        </w:tc>
        <w:tc>
          <w:tcPr>
            <w:tcW w:type="dxa" w:w="1584"/>
            <w:shd w:fill="F8FAFC"/>
            <w:tcMar>
              <w:top w:w="100" w:type="dxa"/>
              <w:bottom w:w="100" w:type="dxa"/>
              <w:left w:w="140" w:type="dxa"/>
              <w:right w:w="140" w:type="dxa"/>
            </w:tcMar>
          </w:tcPr>
          <w:p>
            <w:pPr>
              <w:jc w:val="left"/>
            </w:pPr>
            <w:r>
              <w:rPr>
                <w:rFonts w:ascii="Arial" w:hAnsi="Arial"/>
                <w:color w:val="334155"/>
                <w:sz w:val="18"/>
              </w:rPr>
              <w:t>-89.25</w:t>
            </w:r>
          </w:p>
        </w:tc>
        <w:tc>
          <w:tcPr>
            <w:tcW w:type="dxa" w:w="1728"/>
            <w:shd w:fill="F8FAFC"/>
            <w:tcMar>
              <w:top w:w="100" w:type="dxa"/>
              <w:bottom w:w="100" w:type="dxa"/>
              <w:left w:w="140" w:type="dxa"/>
              <w:right w:w="140" w:type="dxa"/>
            </w:tcMar>
          </w:tcPr>
          <w:p>
            <w:pPr>
              <w:jc w:val="left"/>
            </w:pPr>
            <w:r>
              <w:rPr>
                <w:rFonts w:ascii="Arial" w:hAnsi="Arial"/>
                <w:color w:val="334155"/>
                <w:sz w:val="18"/>
              </w:rPr>
              <w:t>-263.48</w:t>
            </w:r>
          </w:p>
        </w:tc>
        <w:tc>
          <w:tcPr>
            <w:tcW w:type="dxa" w:w="1584"/>
            <w:shd w:fill="F8FAFC"/>
            <w:tcMar>
              <w:top w:w="100" w:type="dxa"/>
              <w:bottom w:w="100" w:type="dxa"/>
              <w:left w:w="140" w:type="dxa"/>
              <w:right w:w="140" w:type="dxa"/>
            </w:tcMar>
          </w:tcPr>
          <w:p>
            <w:pPr>
              <w:jc w:val="left"/>
            </w:pPr>
            <w:r>
              <w:rPr>
                <w:rFonts w:ascii="Arial" w:hAnsi="Arial"/>
                <w:color w:val="334155"/>
                <w:sz w:val="18"/>
              </w:rPr>
              <w:t>+55.81</w:t>
            </w:r>
          </w:p>
        </w:tc>
        <w:tc>
          <w:tcPr>
            <w:tcW w:type="dxa" w:w="1728"/>
            <w:shd w:fill="F8FAFC"/>
            <w:tcMar>
              <w:top w:w="100" w:type="dxa"/>
              <w:bottom w:w="100" w:type="dxa"/>
              <w:left w:w="140" w:type="dxa"/>
              <w:right w:w="140" w:type="dxa"/>
            </w:tcMar>
          </w:tcPr>
          <w:p>
            <w:pPr>
              <w:jc w:val="left"/>
            </w:pPr>
            <w:r>
              <w:rPr>
                <w:rFonts w:ascii="Arial" w:hAnsi="Arial"/>
                <w:color w:val="334155"/>
                <w:sz w:val="18"/>
              </w:rPr>
              <w:t>+319.29 points</w:t>
            </w:r>
          </w:p>
        </w:tc>
      </w:tr>
      <w:tr>
        <w:tc>
          <w:tcPr>
            <w:tcW w:type="dxa" w:w="2592"/>
            <w:shd w:fill="FFFFFF"/>
            <w:tcMar>
              <w:top w:w="100" w:type="dxa"/>
              <w:bottom w:w="100" w:type="dxa"/>
              <w:left w:w="140" w:type="dxa"/>
              <w:right w:w="140" w:type="dxa"/>
            </w:tcMar>
          </w:tcPr>
          <w:p>
            <w:pPr>
              <w:jc w:val="left"/>
            </w:pPr>
            <w:r>
              <w:rPr>
                <w:rFonts w:ascii="Arial" w:hAnsi="Arial"/>
                <w:b/>
                <w:color w:val="0F172A"/>
                <w:sz w:val="18"/>
              </w:rPr>
              <w:t>Unseen Test Split Reward</w:t>
            </w:r>
          </w:p>
        </w:tc>
        <w:tc>
          <w:tcPr>
            <w:tcW w:type="dxa" w:w="1584"/>
            <w:shd w:fill="FFFFFF"/>
            <w:tcMar>
              <w:top w:w="100" w:type="dxa"/>
              <w:bottom w:w="100" w:type="dxa"/>
              <w:left w:w="140" w:type="dxa"/>
              <w:right w:w="140" w:type="dxa"/>
            </w:tcMar>
          </w:tcPr>
          <w:p>
            <w:pPr>
              <w:jc w:val="left"/>
            </w:pPr>
            <w:r>
              <w:rPr>
                <w:rFonts w:ascii="Arial" w:hAnsi="Arial"/>
                <w:color w:val="334155"/>
                <w:sz w:val="18"/>
              </w:rPr>
              <w:t>+115.37</w:t>
            </w:r>
          </w:p>
        </w:tc>
        <w:tc>
          <w:tcPr>
            <w:tcW w:type="dxa" w:w="1584"/>
            <w:shd w:fill="FFFFFF"/>
            <w:tcMar>
              <w:top w:w="100" w:type="dxa"/>
              <w:bottom w:w="100" w:type="dxa"/>
              <w:left w:w="140" w:type="dxa"/>
              <w:right w:w="140" w:type="dxa"/>
            </w:tcMar>
          </w:tcPr>
          <w:p>
            <w:pPr>
              <w:jc w:val="left"/>
            </w:pPr>
            <w:r>
              <w:rPr>
                <w:rFonts w:ascii="Arial" w:hAnsi="Arial"/>
                <w:color w:val="334155"/>
                <w:sz w:val="18"/>
              </w:rPr>
              <w:t>+53.28</w:t>
            </w:r>
          </w:p>
        </w:tc>
        <w:tc>
          <w:tcPr>
            <w:tcW w:type="dxa" w:w="1728"/>
            <w:shd w:fill="FFFFFF"/>
            <w:tcMar>
              <w:top w:w="100" w:type="dxa"/>
              <w:bottom w:w="100" w:type="dxa"/>
              <w:left w:w="140" w:type="dxa"/>
              <w:right w:w="140" w:type="dxa"/>
            </w:tcMar>
          </w:tcPr>
          <w:p>
            <w:pPr>
              <w:jc w:val="left"/>
            </w:pPr>
            <w:r>
              <w:rPr>
                <w:rFonts w:ascii="Arial" w:hAnsi="Arial"/>
                <w:color w:val="334155"/>
                <w:sz w:val="18"/>
              </w:rPr>
              <w:t>-53.16</w:t>
            </w:r>
          </w:p>
        </w:tc>
        <w:tc>
          <w:tcPr>
            <w:tcW w:type="dxa" w:w="1584"/>
            <w:shd w:fill="FFFFFF"/>
            <w:tcMar>
              <w:top w:w="100" w:type="dxa"/>
              <w:bottom w:w="100" w:type="dxa"/>
              <w:left w:w="140" w:type="dxa"/>
              <w:right w:w="140" w:type="dxa"/>
            </w:tcMar>
          </w:tcPr>
          <w:p>
            <w:pPr>
              <w:jc w:val="left"/>
            </w:pPr>
            <w:r>
              <w:rPr>
                <w:rFonts w:ascii="Arial" w:hAnsi="Arial"/>
                <w:color w:val="334155"/>
                <w:sz w:val="18"/>
              </w:rPr>
              <w:t>+154.93</w:t>
            </w:r>
          </w:p>
        </w:tc>
        <w:tc>
          <w:tcPr>
            <w:tcW w:type="dxa" w:w="1728"/>
            <w:shd w:fill="FFFFFF"/>
            <w:tcMar>
              <w:top w:w="100" w:type="dxa"/>
              <w:bottom w:w="100" w:type="dxa"/>
              <w:left w:w="140" w:type="dxa"/>
              <w:right w:w="140" w:type="dxa"/>
            </w:tcMar>
          </w:tcPr>
          <w:p>
            <w:pPr>
              <w:jc w:val="left"/>
            </w:pPr>
            <w:r>
              <w:rPr>
                <w:rFonts w:ascii="Arial" w:hAnsi="Arial"/>
                <w:color w:val="334155"/>
                <w:sz w:val="18"/>
              </w:rPr>
              <w:t>+208.09 points</w:t>
            </w:r>
          </w:p>
        </w:tc>
      </w:tr>
      <w:tr>
        <w:tc>
          <w:tcPr>
            <w:tcW w:type="dxa" w:w="2592"/>
            <w:shd w:fill="F8FAFC"/>
            <w:tcMar>
              <w:top w:w="100" w:type="dxa"/>
              <w:bottom w:w="100" w:type="dxa"/>
              <w:left w:w="140" w:type="dxa"/>
              <w:right w:w="140" w:type="dxa"/>
            </w:tcMar>
          </w:tcPr>
          <w:p>
            <w:pPr>
              <w:jc w:val="left"/>
            </w:pPr>
            <w:r>
              <w:rPr>
                <w:rFonts w:ascii="Arial" w:hAnsi="Arial"/>
                <w:b/>
                <w:color w:val="0F172A"/>
                <w:sz w:val="18"/>
              </w:rPr>
              <w:t>Mean Migrations / Episode</w:t>
            </w:r>
          </w:p>
        </w:tc>
        <w:tc>
          <w:tcPr>
            <w:tcW w:type="dxa" w:w="1584"/>
            <w:shd w:fill="F8FAFC"/>
            <w:tcMar>
              <w:top w:w="100" w:type="dxa"/>
              <w:bottom w:w="100" w:type="dxa"/>
              <w:left w:w="140" w:type="dxa"/>
              <w:right w:w="140" w:type="dxa"/>
            </w:tcMar>
          </w:tcPr>
          <w:p>
            <w:pPr>
              <w:jc w:val="left"/>
            </w:pPr>
            <w:r>
              <w:rPr>
                <w:rFonts w:ascii="Arial" w:hAnsi="Arial"/>
                <w:color w:val="334155"/>
                <w:sz w:val="18"/>
              </w:rPr>
              <w:t>14.79</w:t>
            </w:r>
          </w:p>
        </w:tc>
        <w:tc>
          <w:tcPr>
            <w:tcW w:type="dxa" w:w="1584"/>
            <w:shd w:fill="F8FAFC"/>
            <w:tcMar>
              <w:top w:w="100" w:type="dxa"/>
              <w:bottom w:w="100" w:type="dxa"/>
              <w:left w:w="140" w:type="dxa"/>
              <w:right w:w="140" w:type="dxa"/>
            </w:tcMar>
          </w:tcPr>
          <w:p>
            <w:pPr>
              <w:jc w:val="left"/>
            </w:pPr>
            <w:r>
              <w:rPr>
                <w:rFonts w:ascii="Arial" w:hAnsi="Arial"/>
                <w:color w:val="334155"/>
                <w:sz w:val="18"/>
              </w:rPr>
              <w:t>73.11</w:t>
            </w:r>
          </w:p>
        </w:tc>
        <w:tc>
          <w:tcPr>
            <w:tcW w:type="dxa" w:w="1728"/>
            <w:shd w:fill="F8FAFC"/>
            <w:tcMar>
              <w:top w:w="100" w:type="dxa"/>
              <w:bottom w:w="100" w:type="dxa"/>
              <w:left w:w="140" w:type="dxa"/>
              <w:right w:w="140" w:type="dxa"/>
            </w:tcMar>
          </w:tcPr>
          <w:p>
            <w:pPr>
              <w:jc w:val="left"/>
            </w:pPr>
            <w:r>
              <w:rPr>
                <w:rFonts w:ascii="Arial" w:hAnsi="Arial"/>
                <w:color w:val="334155"/>
                <w:sz w:val="18"/>
              </w:rPr>
              <w:t>0.00 (Collapsed)</w:t>
            </w:r>
          </w:p>
        </w:tc>
        <w:tc>
          <w:tcPr>
            <w:tcW w:type="dxa" w:w="1584"/>
            <w:shd w:fill="F8FAFC"/>
            <w:tcMar>
              <w:top w:w="100" w:type="dxa"/>
              <w:bottom w:w="100" w:type="dxa"/>
              <w:left w:w="140" w:type="dxa"/>
              <w:right w:w="140" w:type="dxa"/>
            </w:tcMar>
          </w:tcPr>
          <w:p>
            <w:pPr>
              <w:jc w:val="left"/>
            </w:pPr>
            <w:r>
              <w:rPr>
                <w:rFonts w:ascii="Arial" w:hAnsi="Arial"/>
                <w:color w:val="334155"/>
                <w:sz w:val="18"/>
              </w:rPr>
              <w:t>2.07 (Targeted)</w:t>
            </w:r>
          </w:p>
        </w:tc>
        <w:tc>
          <w:tcPr>
            <w:tcW w:type="dxa" w:w="1728"/>
            <w:shd w:fill="F8FAFC"/>
            <w:tcMar>
              <w:top w:w="100" w:type="dxa"/>
              <w:bottom w:w="100" w:type="dxa"/>
              <w:left w:w="140" w:type="dxa"/>
              <w:right w:w="140" w:type="dxa"/>
            </w:tcMar>
          </w:tcPr>
          <w:p>
            <w:pPr>
              <w:jc w:val="left"/>
            </w:pPr>
            <w:r>
              <w:rPr>
                <w:rFonts w:ascii="Arial" w:hAnsi="Arial"/>
                <w:color w:val="334155"/>
                <w:sz w:val="18"/>
              </w:rPr>
              <w:t>+2.07 migrations</w:t>
            </w:r>
          </w:p>
        </w:tc>
      </w:tr>
      <w:tr>
        <w:tc>
          <w:tcPr>
            <w:tcW w:type="dxa" w:w="2592"/>
            <w:shd w:fill="FFFFFF"/>
            <w:tcMar>
              <w:top w:w="100" w:type="dxa"/>
              <w:bottom w:w="100" w:type="dxa"/>
              <w:left w:w="140" w:type="dxa"/>
              <w:right w:w="140" w:type="dxa"/>
            </w:tcMar>
          </w:tcPr>
          <w:p>
            <w:pPr>
              <w:jc w:val="left"/>
            </w:pPr>
            <w:r>
              <w:rPr>
                <w:rFonts w:ascii="Arial" w:hAnsi="Arial"/>
                <w:b/>
                <w:color w:val="0F172A"/>
                <w:sz w:val="18"/>
              </w:rPr>
              <w:t>Server Overload Steps / Ep</w:t>
            </w:r>
          </w:p>
        </w:tc>
        <w:tc>
          <w:tcPr>
            <w:tcW w:type="dxa" w:w="1584"/>
            <w:shd w:fill="FFFFFF"/>
            <w:tcMar>
              <w:top w:w="100" w:type="dxa"/>
              <w:bottom w:w="100" w:type="dxa"/>
              <w:left w:w="140" w:type="dxa"/>
              <w:right w:w="140" w:type="dxa"/>
            </w:tcMar>
          </w:tcPr>
          <w:p>
            <w:pPr>
              <w:jc w:val="left"/>
            </w:pPr>
            <w:r>
              <w:rPr>
                <w:rFonts w:ascii="Arial" w:hAnsi="Arial"/>
                <w:color w:val="334155"/>
                <w:sz w:val="18"/>
              </w:rPr>
              <w:t>6.68</w:t>
            </w:r>
          </w:p>
        </w:tc>
        <w:tc>
          <w:tcPr>
            <w:tcW w:type="dxa" w:w="1584"/>
            <w:shd w:fill="FFFFFF"/>
            <w:tcMar>
              <w:top w:w="100" w:type="dxa"/>
              <w:bottom w:w="100" w:type="dxa"/>
              <w:left w:w="140" w:type="dxa"/>
              <w:right w:w="140" w:type="dxa"/>
            </w:tcMar>
          </w:tcPr>
          <w:p>
            <w:pPr>
              <w:jc w:val="left"/>
            </w:pPr>
            <w:r>
              <w:rPr>
                <w:rFonts w:ascii="Arial" w:hAnsi="Arial"/>
                <w:color w:val="334155"/>
                <w:sz w:val="18"/>
              </w:rPr>
              <w:t>16.93</w:t>
            </w:r>
          </w:p>
        </w:tc>
        <w:tc>
          <w:tcPr>
            <w:tcW w:type="dxa" w:w="1728"/>
            <w:shd w:fill="FFFFFF"/>
            <w:tcMar>
              <w:top w:w="100" w:type="dxa"/>
              <w:bottom w:w="100" w:type="dxa"/>
              <w:left w:w="140" w:type="dxa"/>
              <w:right w:w="140" w:type="dxa"/>
            </w:tcMar>
          </w:tcPr>
          <w:p>
            <w:pPr>
              <w:jc w:val="left"/>
            </w:pPr>
            <w:r>
              <w:rPr>
                <w:rFonts w:ascii="Arial" w:hAnsi="Arial"/>
                <w:color w:val="334155"/>
                <w:sz w:val="18"/>
              </w:rPr>
              <w:t>60.22</w:t>
            </w:r>
          </w:p>
        </w:tc>
        <w:tc>
          <w:tcPr>
            <w:tcW w:type="dxa" w:w="1584"/>
            <w:shd w:fill="FFFFFF"/>
            <w:tcMar>
              <w:top w:w="100" w:type="dxa"/>
              <w:bottom w:w="100" w:type="dxa"/>
              <w:left w:w="140" w:type="dxa"/>
              <w:right w:w="140" w:type="dxa"/>
            </w:tcMar>
          </w:tcPr>
          <w:p>
            <w:pPr>
              <w:jc w:val="left"/>
            </w:pPr>
            <w:r>
              <w:rPr>
                <w:rFonts w:ascii="Arial" w:hAnsi="Arial"/>
                <w:color w:val="334155"/>
                <w:sz w:val="18"/>
              </w:rPr>
              <w:t>7.33</w:t>
            </w:r>
          </w:p>
        </w:tc>
        <w:tc>
          <w:tcPr>
            <w:tcW w:type="dxa" w:w="1728"/>
            <w:shd w:fill="FFFFFF"/>
            <w:tcMar>
              <w:top w:w="100" w:type="dxa"/>
              <w:bottom w:w="100" w:type="dxa"/>
              <w:left w:w="140" w:type="dxa"/>
              <w:right w:w="140" w:type="dxa"/>
            </w:tcMar>
          </w:tcPr>
          <w:p>
            <w:pPr>
              <w:jc w:val="left"/>
            </w:pPr>
            <w:r>
              <w:rPr>
                <w:rFonts w:ascii="Arial" w:hAnsi="Arial"/>
                <w:color w:val="334155"/>
                <w:sz w:val="18"/>
              </w:rPr>
              <w:t>-52.89 steps (-87.8%)</w:t>
            </w:r>
          </w:p>
        </w:tc>
      </w:tr>
      <w:tr>
        <w:tc>
          <w:tcPr>
            <w:tcW w:type="dxa" w:w="2592"/>
            <w:shd w:fill="F8FAFC"/>
            <w:tcMar>
              <w:top w:w="100" w:type="dxa"/>
              <w:bottom w:w="100" w:type="dxa"/>
              <w:left w:w="140" w:type="dxa"/>
              <w:right w:w="140" w:type="dxa"/>
            </w:tcMar>
          </w:tcPr>
          <w:p>
            <w:pPr>
              <w:jc w:val="left"/>
            </w:pPr>
            <w:r>
              <w:rPr>
                <w:rFonts w:ascii="Arial" w:hAnsi="Arial"/>
                <w:b/>
                <w:color w:val="0F172A"/>
                <w:sz w:val="18"/>
              </w:rPr>
              <w:t>Final Jain's Fairness Index</w:t>
            </w:r>
          </w:p>
        </w:tc>
        <w:tc>
          <w:tcPr>
            <w:tcW w:type="dxa" w:w="1584"/>
            <w:shd w:fill="F8FAFC"/>
            <w:tcMar>
              <w:top w:w="100" w:type="dxa"/>
              <w:bottom w:w="100" w:type="dxa"/>
              <w:left w:w="140" w:type="dxa"/>
              <w:right w:w="140" w:type="dxa"/>
            </w:tcMar>
          </w:tcPr>
          <w:p>
            <w:pPr>
              <w:jc w:val="left"/>
            </w:pPr>
            <w:r>
              <w:rPr>
                <w:rFonts w:ascii="Arial" w:hAnsi="Arial"/>
                <w:color w:val="334155"/>
                <w:sz w:val="18"/>
              </w:rPr>
              <w:t>0.9610</w:t>
            </w:r>
          </w:p>
        </w:tc>
        <w:tc>
          <w:tcPr>
            <w:tcW w:type="dxa" w:w="1584"/>
            <w:shd w:fill="F8FAFC"/>
            <w:tcMar>
              <w:top w:w="100" w:type="dxa"/>
              <w:bottom w:w="100" w:type="dxa"/>
              <w:left w:w="140" w:type="dxa"/>
              <w:right w:w="140" w:type="dxa"/>
            </w:tcMar>
          </w:tcPr>
          <w:p>
            <w:pPr>
              <w:jc w:val="left"/>
            </w:pPr>
            <w:r>
              <w:rPr>
                <w:rFonts w:ascii="Arial" w:hAnsi="Arial"/>
                <w:color w:val="334155"/>
                <w:sz w:val="18"/>
              </w:rPr>
              <w:t>0.8944</w:t>
            </w:r>
          </w:p>
        </w:tc>
        <w:tc>
          <w:tcPr>
            <w:tcW w:type="dxa" w:w="1728"/>
            <w:shd w:fill="F8FAFC"/>
            <w:tcMar>
              <w:top w:w="100" w:type="dxa"/>
              <w:bottom w:w="100" w:type="dxa"/>
              <w:left w:w="140" w:type="dxa"/>
              <w:right w:w="140" w:type="dxa"/>
            </w:tcMar>
          </w:tcPr>
          <w:p>
            <w:pPr>
              <w:jc w:val="left"/>
            </w:pPr>
            <w:r>
              <w:rPr>
                <w:rFonts w:ascii="Arial" w:hAnsi="Arial"/>
                <w:color w:val="334155"/>
                <w:sz w:val="18"/>
              </w:rPr>
              <w:t>0.7682</w:t>
            </w:r>
          </w:p>
        </w:tc>
        <w:tc>
          <w:tcPr>
            <w:tcW w:type="dxa" w:w="1584"/>
            <w:shd w:fill="F8FAFC"/>
            <w:tcMar>
              <w:top w:w="100" w:type="dxa"/>
              <w:bottom w:w="100" w:type="dxa"/>
              <w:left w:w="140" w:type="dxa"/>
              <w:right w:w="140" w:type="dxa"/>
            </w:tcMar>
          </w:tcPr>
          <w:p>
            <w:pPr>
              <w:jc w:val="left"/>
            </w:pPr>
            <w:r>
              <w:rPr>
                <w:rFonts w:ascii="Arial" w:hAnsi="Arial"/>
                <w:color w:val="334155"/>
                <w:sz w:val="18"/>
              </w:rPr>
              <w:t>0.9288</w:t>
            </w:r>
          </w:p>
        </w:tc>
        <w:tc>
          <w:tcPr>
            <w:tcW w:type="dxa" w:w="1728"/>
            <w:shd w:fill="F8FAFC"/>
            <w:tcMar>
              <w:top w:w="100" w:type="dxa"/>
              <w:bottom w:w="100" w:type="dxa"/>
              <w:left w:w="140" w:type="dxa"/>
              <w:right w:w="140" w:type="dxa"/>
            </w:tcMar>
          </w:tcPr>
          <w:p>
            <w:pPr>
              <w:jc w:val="left"/>
            </w:pPr>
            <w:r>
              <w:rPr>
                <w:rFonts w:ascii="Arial" w:hAnsi="Arial"/>
                <w:color w:val="334155"/>
                <w:sz w:val="18"/>
              </w:rPr>
              <w:t>+0.1606 (+20.9%)</w:t>
            </w:r>
          </w:p>
        </w:tc>
      </w:tr>
    </w:tbl>
    <w:p>
      <w:pPr>
        <w:spacing w:after="120"/>
      </w:pPr>
    </w:p>
    <w:p>
      <w:pPr>
        <w:pStyle w:val="Heading1"/>
        <w:keepNext/>
        <w:spacing w:before="360" w:after="120"/>
      </w:pPr>
      <w:r>
        <w:rPr>
          <w:rFonts w:ascii="Arial" w:hAnsi="Arial"/>
          <w:b/>
          <w:color w:val="0F172A"/>
          <w:sz w:val="30"/>
        </w:rPr>
        <w:t>13. Deterministic Safety Gate &amp; Migration State Machine</w:t>
      </w:r>
    </w:p>
    <w:p>
      <w:pPr>
        <w:pStyle w:val="Heading2"/>
        <w:keepNext/>
        <w:spacing w:before="240" w:after="80"/>
      </w:pPr>
      <w:r>
        <w:rPr>
          <w:rFonts w:ascii="Arial" w:hAnsi="Arial"/>
          <w:b/>
          <w:color w:val="2563EB"/>
          <w:sz w:val="24"/>
        </w:rPr>
        <w:t>13.1 Fail-Closed Safety Checks</w:t>
      </w:r>
    </w:p>
    <w:p>
      <w:pPr>
        <w:spacing w:after="100" w:line="276" w:lineRule="auto"/>
      </w:pPr>
      <w:r>
        <w:rPr>
          <w:rFonts w:ascii="Arial" w:hAnsi="Arial"/>
          <w:color w:val="334155"/>
          <w:sz w:val="20"/>
        </w:rPr>
        <w:t>The safety gate evaluates 16 physical rules with typed VBX_* error codes under fail-closed logic:</w:t>
      </w:r>
    </w:p>
    <w:p>
      <w:pPr>
        <w:pStyle w:val="ListBullet"/>
        <w:spacing w:after="60" w:line="276" w:lineRule="auto"/>
      </w:pPr>
      <w:r>
        <w:rPr>
          <w:rFonts w:ascii="Arial" w:hAnsi="Arial"/>
          <w:b/>
          <w:color w:val="0F172A"/>
          <w:sz w:val="20"/>
        </w:rPr>
        <w:t xml:space="preserve">Rule 1: VM_RUNNING_STATE: </w:t>
      </w:r>
      <w:r>
        <w:rPr>
          <w:rFonts w:ascii="Arial" w:hAnsi="Arial"/>
          <w:color w:val="334155"/>
          <w:sz w:val="20"/>
        </w:rPr>
        <w:t>Confirms the workload is currently in a running hypervisor state (VBX_VM_NOT_RUNNING).</w:t>
      </w:r>
    </w:p>
    <w:p>
      <w:pPr>
        <w:pStyle w:val="ListBullet"/>
        <w:spacing w:after="60" w:line="276" w:lineRule="auto"/>
      </w:pPr>
      <w:r>
        <w:rPr>
          <w:rFonts w:ascii="Arial" w:hAnsi="Arial"/>
          <w:b/>
          <w:color w:val="0F172A"/>
          <w:sz w:val="20"/>
        </w:rPr>
        <w:t xml:space="preserve">Rule 2: DISTINCT_TARGET: </w:t>
      </w:r>
      <w:r>
        <w:rPr>
          <w:rFonts w:ascii="Arial" w:hAnsi="Arial"/>
          <w:color w:val="334155"/>
          <w:sz w:val="20"/>
        </w:rPr>
        <w:t>Ensures source and destination are two different physical servers (VBX_SAME_HOST).</w:t>
      </w:r>
    </w:p>
    <w:p>
      <w:pPr>
        <w:pStyle w:val="ListBullet"/>
        <w:spacing w:after="60" w:line="276" w:lineRule="auto"/>
      </w:pPr>
      <w:r>
        <w:rPr>
          <w:rFonts w:ascii="Arial" w:hAnsi="Arial"/>
          <w:b/>
          <w:color w:val="0F172A"/>
          <w:sz w:val="20"/>
        </w:rPr>
        <w:t xml:space="preserve">Rule 3: SOURCE_NODE_HEALTH: </w:t>
      </w:r>
      <w:r>
        <w:rPr>
          <w:rFonts w:ascii="Arial" w:hAnsi="Arial"/>
          <w:color w:val="334155"/>
          <w:sz w:val="20"/>
        </w:rPr>
        <w:t>Checks that the source host agent has active heartbeat and no alarms (VBX_SOURCE_OFFLINE).</w:t>
      </w:r>
    </w:p>
    <w:p>
      <w:pPr>
        <w:pStyle w:val="ListBullet"/>
        <w:spacing w:after="60" w:line="276" w:lineRule="auto"/>
      </w:pPr>
      <w:r>
        <w:rPr>
          <w:rFonts w:ascii="Arial" w:hAnsi="Arial"/>
          <w:b/>
          <w:color w:val="0F172A"/>
          <w:sz w:val="20"/>
        </w:rPr>
        <w:t xml:space="preserve">Rule 4: DEST_NODE_HEALTH: </w:t>
      </w:r>
      <w:r>
        <w:rPr>
          <w:rFonts w:ascii="Arial" w:hAnsi="Arial"/>
          <w:color w:val="334155"/>
          <w:sz w:val="20"/>
        </w:rPr>
        <w:t>Ensures destination server is online and reachable over LAN network (VBX_TARGET_UNREACHABLE).</w:t>
      </w:r>
    </w:p>
    <w:p>
      <w:pPr>
        <w:pStyle w:val="ListBullet"/>
        <w:spacing w:after="60" w:line="276" w:lineRule="auto"/>
      </w:pPr>
      <w:r>
        <w:rPr>
          <w:rFonts w:ascii="Arial" w:hAnsi="Arial"/>
          <w:b/>
          <w:color w:val="0F172A"/>
          <w:sz w:val="20"/>
        </w:rPr>
        <w:t xml:space="preserve">Rule 5: DEST_RAM_HEADROOM: </w:t>
      </w:r>
      <w:r>
        <w:rPr>
          <w:rFonts w:ascii="Arial" w:hAnsi="Arial"/>
          <w:color w:val="334155"/>
          <w:sz w:val="20"/>
        </w:rPr>
        <w:t>Target unallocated RAM must fit the VM plus a 20% safety margin buffer (VBX_RAM_INSUFFICIENT).</w:t>
      </w:r>
    </w:p>
    <w:p>
      <w:pPr>
        <w:pStyle w:val="ListBullet"/>
        <w:spacing w:after="60" w:line="276" w:lineRule="auto"/>
      </w:pPr>
      <w:r>
        <w:rPr>
          <w:rFonts w:ascii="Arial" w:hAnsi="Arial"/>
          <w:b/>
          <w:color w:val="0F172A"/>
          <w:sz w:val="20"/>
        </w:rPr>
        <w:t xml:space="preserve">Rule 6: DEST_CPU_CAPACITY: </w:t>
      </w:r>
      <w:r>
        <w:rPr>
          <w:rFonts w:ascii="Arial" w:hAnsi="Arial"/>
          <w:color w:val="334155"/>
          <w:sz w:val="20"/>
        </w:rPr>
        <w:t>Projected CPU utilization on target server after migration must remain &lt;= 85% (VBX_CPU_OVERLOAD).</w:t>
      </w:r>
    </w:p>
    <w:p>
      <w:pPr>
        <w:pStyle w:val="ListBullet"/>
        <w:spacing w:after="60" w:line="276" w:lineRule="auto"/>
      </w:pPr>
      <w:r>
        <w:rPr>
          <w:rFonts w:ascii="Arial" w:hAnsi="Arial"/>
          <w:b/>
          <w:color w:val="0F172A"/>
          <w:sz w:val="20"/>
        </w:rPr>
        <w:t xml:space="preserve">Rule 7: STORAGE_AND_PORT: </w:t>
      </w:r>
      <w:r>
        <w:rPr>
          <w:rFonts w:ascii="Arial" w:hAnsi="Arial"/>
          <w:color w:val="334155"/>
          <w:sz w:val="20"/>
        </w:rPr>
        <w:t>Verifies shared storage accessibility and teleportation port 60050 availability (VBX_STORAGE_MISSING).</w:t>
      </w:r>
    </w:p>
    <w:p>
      <w:pPr>
        <w:pStyle w:val="ListBullet"/>
        <w:spacing w:after="60" w:line="276" w:lineRule="auto"/>
      </w:pPr>
      <w:r>
        <w:rPr>
          <w:rFonts w:ascii="Arial" w:hAnsi="Arial"/>
          <w:b/>
          <w:color w:val="0F172A"/>
          <w:sz w:val="20"/>
        </w:rPr>
        <w:t xml:space="preserve">Rule 8: COOLDOWN_PERIOD: </w:t>
      </w:r>
      <w:r>
        <w:rPr>
          <w:rFonts w:ascii="Arial" w:hAnsi="Arial"/>
          <w:color w:val="334155"/>
          <w:sz w:val="20"/>
        </w:rPr>
        <w:t>Prevents migrating a VM that was relocated less than 60 seconds ago (VBX_COOLDOWN_ACTIVE).</w:t>
      </w:r>
    </w:p>
    <w:p>
      <w:pPr>
        <w:pStyle w:val="Heading2"/>
        <w:keepNext/>
        <w:spacing w:before="240" w:after="80"/>
      </w:pPr>
      <w:r>
        <w:rPr>
          <w:rFonts w:ascii="Arial" w:hAnsi="Arial"/>
          <w:b/>
          <w:color w:val="2563EB"/>
          <w:sz w:val="24"/>
        </w:rPr>
        <w:t>13.2 The 12-State Migration FSM</w:t>
      </w:r>
    </w:p>
    <w:p>
      <w:pPr>
        <w:spacing w:after="100" w:line="276" w:lineRule="auto"/>
      </w:pPr>
      <w:r>
        <w:rPr>
          <w:rFonts w:ascii="Arial" w:hAnsi="Arial"/>
          <w:color w:val="334155"/>
          <w:sz w:val="20"/>
        </w:rPr>
        <w:t>Every migration is tracked across 12 states:</w:t>
        <w:br/>
        <w:t>• 8 Progressive States: RECOMMENDED → SAFETY_CHECK → PENDING_APPROVAL → APPROVED → DISPATCHED → TASK_RUNNING → VERIFYING → VERIFIED.</w:t>
        <w:br/>
        <w:t>• 4 Terminal States: BLOCKED (by safety gate), REJECTED (by operator), FAILED (hypervisor error), CANCELLED (operator abort).</w:t>
        <w:br/>
        <w:t>Illegal transitions raise an `InvalidStateTransitionError`, ensuring tasks cannot skip verification.</w:t>
      </w:r>
    </w:p>
    <w:p>
      <w:pPr>
        <w:pStyle w:val="Heading1"/>
        <w:keepNext/>
        <w:spacing w:before="360" w:after="120"/>
      </w:pPr>
      <w:r>
        <w:rPr>
          <w:rFonts w:ascii="Arial" w:hAnsi="Arial"/>
          <w:b/>
          <w:color w:val="0F172A"/>
          <w:sz w:val="30"/>
        </w:rPr>
        <w:t>14. Oracle VirtualBox Live Teleportation Integration</w:t>
      </w:r>
    </w:p>
    <w:p>
      <w:pPr>
        <w:spacing w:after="100" w:line="276" w:lineRule="auto"/>
      </w:pPr>
      <w:r>
        <w:rPr>
          <w:rFonts w:ascii="Arial" w:hAnsi="Arial"/>
          <w:color w:val="334155"/>
          <w:sz w:val="20"/>
        </w:rPr>
        <w:t>The VirtualBox Provider (`backend/app/providers/virtualbox.py`) and Host Agent (`vmotion-agent/agent.py`) implement native live VM teleportation across physical computers. Key implementation details include:</w:t>
      </w:r>
    </w:p>
    <w:p>
      <w:pPr>
        <w:pStyle w:val="ListBullet"/>
        <w:spacing w:after="60" w:line="276" w:lineRule="auto"/>
      </w:pPr>
      <w:r>
        <w:rPr>
          <w:rFonts w:ascii="Arial" w:hAnsi="Arial"/>
          <w:b/>
          <w:color w:val="0F172A"/>
          <w:sz w:val="20"/>
        </w:rPr>
        <w:t xml:space="preserve">Target Pre-Warming Protocol: </w:t>
      </w:r>
      <w:r>
        <w:rPr>
          <w:rFonts w:ascii="Arial" w:hAnsi="Arial"/>
          <w:color w:val="334155"/>
          <w:sz w:val="20"/>
        </w:rPr>
        <w:t>Target host pre-warms the incoming VM in listening mode via: `VBoxManage modifyvm &lt;target&gt; --teleporter on --teleporter-port 60050` and `VBoxManage startvm &lt;target&gt; --type headless`.</w:t>
      </w:r>
    </w:p>
    <w:p>
      <w:pPr>
        <w:pStyle w:val="ListBullet"/>
        <w:spacing w:after="60" w:line="276" w:lineRule="auto"/>
      </w:pPr>
      <w:r>
        <w:rPr>
          <w:rFonts w:ascii="Arial" w:hAnsi="Arial"/>
          <w:b/>
          <w:color w:val="0F172A"/>
          <w:sz w:val="20"/>
        </w:rPr>
        <w:t xml:space="preserve">LAN Memory Streaming: </w:t>
      </w:r>
      <w:r>
        <w:rPr>
          <w:rFonts w:ascii="Arial" w:hAnsi="Arial"/>
          <w:color w:val="334155"/>
          <w:sz w:val="20"/>
        </w:rPr>
        <w:t>Source host streams live memory and CPU registers across LAN port 60050 via: `VBoxManage controlvm &lt;source&gt; teleport --host &lt;target_ip&gt; --port 60050 --maxdowntime 500`.</w:t>
      </w:r>
    </w:p>
    <w:p>
      <w:pPr>
        <w:pStyle w:val="ListBullet"/>
        <w:spacing w:after="60" w:line="276" w:lineRule="auto"/>
      </w:pPr>
      <w:r>
        <w:rPr>
          <w:rFonts w:ascii="Arial" w:hAnsi="Arial"/>
          <w:b/>
          <w:color w:val="0F172A"/>
          <w:sz w:val="20"/>
        </w:rPr>
        <w:t xml:space="preserve">Shared Network Storage: </w:t>
      </w:r>
      <w:r>
        <w:rPr>
          <w:rFonts w:ascii="Arial" w:hAnsi="Arial"/>
          <w:color w:val="334155"/>
          <w:sz w:val="20"/>
        </w:rPr>
        <w:t>VM virtual disk files (.vdi) reside on shared network storage (SMB/NFS). No multi-gigabyte disk copying is performed during live migration, keeping execution downtime to sub-second levels.</w:t>
      </w:r>
    </w:p>
    <w:p>
      <w:pPr>
        <w:pStyle w:val="ListBullet"/>
        <w:spacing w:after="60" w:line="276" w:lineRule="auto"/>
      </w:pPr>
      <w:r>
        <w:rPr>
          <w:rFonts w:ascii="Arial" w:hAnsi="Arial"/>
          <w:b/>
          <w:color w:val="0F172A"/>
          <w:sz w:val="20"/>
        </w:rPr>
        <w:t xml:space="preserve">Pre-Flight Compatibility Matrix: </w:t>
      </w:r>
      <w:r>
        <w:rPr>
          <w:rFonts w:ascii="Arial" w:hAnsi="Arial"/>
          <w:color w:val="334155"/>
          <w:sz w:val="20"/>
        </w:rPr>
        <w:t>Validates that source and target CPUs have matching virtualization capabilities, hardware VT-x/AMD-V instructions, identical memory sizes, and valid storage paths before dispatch.</w:t>
      </w:r>
    </w:p>
    <w:p>
      <w:pPr>
        <w:pStyle w:val="ListBullet"/>
        <w:spacing w:after="60" w:line="276" w:lineRule="auto"/>
      </w:pPr>
      <w:r>
        <w:rPr>
          <w:rFonts w:ascii="Arial" w:hAnsi="Arial"/>
          <w:b/>
          <w:color w:val="0F172A"/>
          <w:sz w:val="20"/>
        </w:rPr>
        <w:t xml:space="preserve">Post-Teleport Verification: </w:t>
      </w:r>
      <w:r>
        <w:rPr>
          <w:rFonts w:ascii="Arial" w:hAnsi="Arial"/>
          <w:color w:val="334155"/>
          <w:sz w:val="20"/>
        </w:rPr>
        <w:t>Actively verifies that the source VM has powered off, the destination VM has resumed execution, and guest OS networking is responsive.</w:t>
      </w:r>
    </w:p>
    <w:p>
      <w:pPr>
        <w:pStyle w:val="Heading1"/>
        <w:keepNext/>
        <w:spacing w:before="360" w:after="120"/>
      </w:pPr>
      <w:r>
        <w:rPr>
          <w:rFonts w:ascii="Arial" w:hAnsi="Arial"/>
          <w:b/>
          <w:color w:val="0F172A"/>
          <w:sz w:val="30"/>
        </w:rPr>
        <w:t>15. Testing &amp; Validation Results (110 Passing Tests)</w:t>
      </w:r>
    </w:p>
    <w:p>
      <w:pPr>
        <w:spacing w:after="100" w:line="276" w:lineRule="auto"/>
      </w:pPr>
      <w:r>
        <w:rPr>
          <w:rFonts w:ascii="Arial" w:hAnsi="Arial"/>
          <w:color w:val="334155"/>
          <w:sz w:val="20"/>
        </w:rPr>
        <w:t>The backend test suite was run via `pytest backend/tests`. All 110 tests passed in 21.53 seconds with zero failures:</w:t>
      </w:r>
    </w:p>
    <w:p>
      <w:pPr>
        <w:pStyle w:val="ListBullet"/>
        <w:spacing w:after="60" w:line="276" w:lineRule="auto"/>
      </w:pPr>
      <w:r>
        <w:rPr>
          <w:rFonts w:ascii="Arial" w:hAnsi="Arial"/>
          <w:b/>
          <w:color w:val="0F172A"/>
          <w:sz w:val="20"/>
        </w:rPr>
        <w:t xml:space="preserve">VirtualBox Provider Tests (8 tests): </w:t>
      </w:r>
      <w:r>
        <w:rPr>
          <w:rFonts w:ascii="Arial" w:hAnsi="Arial"/>
          <w:color w:val="334155"/>
          <w:sz w:val="20"/>
        </w:rPr>
        <w:t>Verifies VBoxManage path discovery, showvminfo machine-readable parsing, compatibility matrix checking, pre-warming, and placement checks.</w:t>
      </w:r>
    </w:p>
    <w:p>
      <w:pPr>
        <w:pStyle w:val="ListBullet"/>
        <w:spacing w:after="60" w:line="276" w:lineRule="auto"/>
      </w:pPr>
      <w:r>
        <w:rPr>
          <w:rFonts w:ascii="Arial" w:hAnsi="Arial"/>
          <w:b/>
          <w:color w:val="0F172A"/>
          <w:sz w:val="20"/>
        </w:rPr>
        <w:t xml:space="preserve">VirtualBox Host Agent Tests (6 tests): </w:t>
      </w:r>
      <w:r>
        <w:rPr>
          <w:rFonts w:ascii="Arial" w:hAnsi="Arial"/>
          <w:color w:val="334155"/>
          <w:sz w:val="20"/>
        </w:rPr>
        <w:t>Verifies FastAPI host agent endpoints: health check, VM inventory, psutil hardware telemetry, target pre-warm, and storage validation.</w:t>
      </w:r>
    </w:p>
    <w:p>
      <w:pPr>
        <w:pStyle w:val="ListBullet"/>
        <w:spacing w:after="60" w:line="276" w:lineRule="auto"/>
      </w:pPr>
      <w:r>
        <w:rPr>
          <w:rFonts w:ascii="Arial" w:hAnsi="Arial"/>
          <w:b/>
          <w:color w:val="0F172A"/>
          <w:sz w:val="20"/>
        </w:rPr>
        <w:t xml:space="preserve">Safety Gate Coverage (12 tests): </w:t>
      </w:r>
      <w:r>
        <w:rPr>
          <w:rFonts w:ascii="Arial" w:hAnsi="Arial"/>
          <w:color w:val="334155"/>
          <w:sz w:val="20"/>
        </w:rPr>
        <w:t>Verifies all rules block on: identical hosts, offline servers, stopped VMs, high RAM, high CPU, active cooldown, and storage disconnection.</w:t>
      </w:r>
    </w:p>
    <w:p>
      <w:pPr>
        <w:pStyle w:val="ListBullet"/>
        <w:spacing w:after="60" w:line="276" w:lineRule="auto"/>
      </w:pPr>
      <w:r>
        <w:rPr>
          <w:rFonts w:ascii="Arial" w:hAnsi="Arial"/>
          <w:b/>
          <w:color w:val="0F172A"/>
          <w:sz w:val="20"/>
        </w:rPr>
        <w:t xml:space="preserve">Migration Lifecycle Coverage (10 tests): </w:t>
      </w:r>
      <w:r>
        <w:rPr>
          <w:rFonts w:ascii="Arial" w:hAnsi="Arial"/>
          <w:color w:val="334155"/>
          <w:sz w:val="20"/>
        </w:rPr>
        <w:t>Verifies 12-state FSM progression and confirms illegal transitions raise errors.</w:t>
      </w:r>
    </w:p>
    <w:p>
      <w:pPr>
        <w:pStyle w:val="ListBullet"/>
        <w:spacing w:after="60" w:line="276" w:lineRule="auto"/>
      </w:pPr>
      <w:r>
        <w:rPr>
          <w:rFonts w:ascii="Arial" w:hAnsi="Arial"/>
          <w:b/>
          <w:color w:val="0F172A"/>
          <w:sz w:val="20"/>
        </w:rPr>
        <w:t xml:space="preserve">Observation Spec Coverage (8 tests): </w:t>
      </w:r>
      <w:r>
        <w:rPr>
          <w:rFonts w:ascii="Arial" w:hAnsi="Arial"/>
          <w:color w:val="334155"/>
          <w:sz w:val="20"/>
        </w:rPr>
        <w:t>Verifies 103 feature dimension, mathematical bounds [-1.0, 1.0], and deterministic sorting.</w:t>
      </w:r>
    </w:p>
    <w:p>
      <w:pPr>
        <w:pStyle w:val="ListBullet"/>
        <w:spacing w:after="60" w:line="276" w:lineRule="auto"/>
      </w:pPr>
      <w:r>
        <w:rPr>
          <w:rFonts w:ascii="Arial" w:hAnsi="Arial"/>
          <w:b/>
          <w:color w:val="0F172A"/>
          <w:sz w:val="20"/>
        </w:rPr>
        <w:t xml:space="preserve">API &amp; Security Coverage (14 tests): </w:t>
      </w:r>
      <w:r>
        <w:rPr>
          <w:rFonts w:ascii="Arial" w:hAnsi="Arial"/>
          <w:color w:val="334155"/>
          <w:sz w:val="20"/>
        </w:rPr>
        <w:t>Verifies FastAPI endpoints, token secret masking, and live mode confirmation headers.</w:t>
      </w: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32" w:space="0" w:color="10B981"/>
              <w:bottom w:val="none"/>
              <w:right w:val="none"/>
            </w:tcBorders>
          </w:tcPr>
          <w:p>
            <w:pPr>
              <w:spacing w:after="60"/>
            </w:pPr>
            <w:r>
              <w:rPr>
                <w:rFonts w:ascii="Arial" w:hAnsi="Arial"/>
                <w:b/>
                <w:color w:val="0F172A"/>
                <w:sz w:val="20"/>
              </w:rPr>
              <w:t>■ AUTOMATED TEST SUITE SUMMARY</w:t>
              <w:br/>
            </w:r>
            <w:r>
              <w:rPr>
                <w:rFonts w:ascii="Arial" w:hAnsi="Arial"/>
                <w:color w:val="334155"/>
                <w:sz w:val="19"/>
              </w:rPr>
              <w:t>• Backend Tests: 110 Passed / 0 Failed (21.53s runtime across 13 test modules)</w:t>
              <w:br/>
              <w:t>• Frontend Production Build: 1,892 modules transformed via Vite — 0 TypeScript errors, 0 lint warnings.</w:t>
            </w:r>
          </w:p>
        </w:tc>
      </w:tr>
    </w:tbl>
    <w:p>
      <w:pPr>
        <w:spacing w:after="80"/>
      </w:pPr>
    </w:p>
    <w:p>
      <w:pPr>
        <w:pStyle w:val="Heading1"/>
        <w:keepNext/>
        <w:spacing w:before="360" w:after="120"/>
      </w:pPr>
      <w:r>
        <w:rPr>
          <w:rFonts w:ascii="Arial" w:hAnsi="Arial"/>
          <w:b/>
          <w:color w:val="0F172A"/>
          <w:sz w:val="30"/>
        </w:rPr>
        <w:t>16. Implementation Screenshots &amp; Control Plane Walkthrough</w:t>
      </w:r>
    </w:p>
    <w:p>
      <w:pPr>
        <w:spacing w:after="100" w:line="276" w:lineRule="auto"/>
      </w:pPr>
      <w:r>
        <w:rPr>
          <w:rFonts w:ascii="Arial" w:hAnsi="Arial"/>
          <w:color w:val="334155"/>
          <w:sz w:val="20"/>
        </w:rPr>
        <w:t>This section presents five unmanipulated screenshots captured directly from the running VMotion AI control plane (frontend at http://localhost:5173, backend at http://127.0.0.1:8000):</w:t>
      </w:r>
    </w:p>
    <w:p>
      <w:pPr>
        <w:spacing w:before="160" w:after="60"/>
        <w:jc w:val="center"/>
      </w:pPr>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01_hero_spatial_overview.png"/>
                    <pic:cNvPicPr/>
                  </pic:nvPicPr>
                  <pic:blipFill>
                    <a:blip r:embed="rId9"/>
                    <a:stretch>
                      <a:fillRect/>
                    </a:stretch>
                  </pic:blipFill>
                  <pic:spPr>
                    <a:xfrm>
                      <a:off x="0" y="0"/>
                      <a:ext cx="5486400" cy="3086100"/>
                    </a:xfrm>
                    <a:prstGeom prst="rect"/>
                  </pic:spPr>
                </pic:pic>
              </a:graphicData>
            </a:graphic>
          </wp:inline>
        </w:drawing>
      </w:r>
    </w:p>
    <w:p>
      <w:pPr>
        <w:spacing w:after="60"/>
        <w:jc w:val="center"/>
      </w:pPr>
      <w:r>
        <w:rPr>
          <w:rFonts w:ascii="Arial" w:hAnsi="Arial"/>
          <w:b/>
          <w:color w:val="0F172A"/>
          <w:sz w:val="19"/>
        </w:rPr>
        <w:t>Figure 16.1: VMotion AI 3D Cluster Overview &amp; Spatial Telemetry Header</w:t>
        <w:br/>
      </w:r>
      <w:r>
        <w:rPr>
          <w:rFonts w:ascii="Arial" w:hAnsi="Arial"/>
          <w:i/>
          <w:color w:val="334155"/>
          <w:sz w:val="18"/>
        </w:rPr>
        <w:t>Shows the environment mode pill, governance badge ('HUMAN APPROVAL REQUIRED'), the 5-phase decision ticker, and the Three.js 3D WebGL spatial cluster displaying host pedestals and orbiting VM chassis.</w:t>
      </w:r>
    </w:p>
    <w:p>
      <w:pPr>
        <w:spacing w:after="120"/>
      </w:pPr>
    </w:p>
    <w:p>
      <w:pPr>
        <w:spacing w:before="160" w:after="60"/>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02_ai_engine_decision_pipeline.png"/>
                    <pic:cNvPicPr/>
                  </pic:nvPicPr>
                  <pic:blipFill>
                    <a:blip r:embed="rId10"/>
                    <a:stretch>
                      <a:fillRect/>
                    </a:stretch>
                  </pic:blipFill>
                  <pic:spPr>
                    <a:xfrm>
                      <a:off x="0" y="0"/>
                      <a:ext cx="5486400" cy="3086100"/>
                    </a:xfrm>
                    <a:prstGeom prst="rect"/>
                  </pic:spPr>
                </pic:pic>
              </a:graphicData>
            </a:graphic>
          </wp:inline>
        </w:drawing>
      </w:r>
    </w:p>
    <w:p>
      <w:pPr>
        <w:spacing w:after="60"/>
        <w:jc w:val="center"/>
      </w:pPr>
      <w:r>
        <w:rPr>
          <w:rFonts w:ascii="Arial" w:hAnsi="Arial"/>
          <w:b/>
          <w:color w:val="0F172A"/>
          <w:sz w:val="19"/>
        </w:rPr>
        <w:t>Figure 16.2: AI Decision Pipeline &amp; PPO Model Artifact Status</w:t>
        <w:br/>
      </w:r>
      <w:r>
        <w:rPr>
          <w:rFonts w:ascii="Arial" w:hAnsi="Arial"/>
          <w:i/>
          <w:color w:val="334155"/>
          <w:sz w:val="18"/>
        </w:rPr>
        <w:t>Shows the 5-stage inference ticker, current policy recommendation ('CLUSTER LOAD IN EQUILIBRIUM' / No-Op Action 0), and the Model Artifact Status card displaying candidate 'PPO V5 (Frozen)', 103 features, Discrete(7) action space, and verified SHA-256 artifact checksum (bc47c2a564d2...).</w:t>
      </w:r>
    </w:p>
    <w:p>
      <w:pPr>
        <w:spacing w:after="120"/>
      </w:pPr>
    </w:p>
    <w:p>
      <w:pPr>
        <w:spacing w:before="160" w:after="60"/>
        <w:jc w:val="center"/>
      </w:pPr>
      <w:r>
        <w:drawing>
          <wp:inline xmlns:a="http://schemas.openxmlformats.org/drawingml/2006/main" xmlns:pic="http://schemas.openxmlformats.org/drawingml/2006/picture">
            <wp:extent cx="5486400" cy="3086100"/>
            <wp:docPr id="3" name="Picture 3"/>
            <wp:cNvGraphicFramePr>
              <a:graphicFrameLocks noChangeAspect="1"/>
            </wp:cNvGraphicFramePr>
            <a:graphic>
              <a:graphicData uri="http://schemas.openxmlformats.org/drawingml/2006/picture">
                <pic:pic>
                  <pic:nvPicPr>
                    <pic:cNvPr id="0" name="03_deterministic_safety_gate.png"/>
                    <pic:cNvPicPr/>
                  </pic:nvPicPr>
                  <pic:blipFill>
                    <a:blip r:embed="rId11"/>
                    <a:stretch>
                      <a:fillRect/>
                    </a:stretch>
                  </pic:blipFill>
                  <pic:spPr>
                    <a:xfrm>
                      <a:off x="0" y="0"/>
                      <a:ext cx="5486400" cy="3086100"/>
                    </a:xfrm>
                    <a:prstGeom prst="rect"/>
                  </pic:spPr>
                </pic:pic>
              </a:graphicData>
            </a:graphic>
          </wp:inline>
        </w:drawing>
      </w:r>
    </w:p>
    <w:p>
      <w:pPr>
        <w:spacing w:after="60"/>
        <w:jc w:val="center"/>
      </w:pPr>
      <w:r>
        <w:rPr>
          <w:rFonts w:ascii="Arial" w:hAnsi="Arial"/>
          <w:b/>
          <w:color w:val="0F172A"/>
          <w:sz w:val="19"/>
        </w:rPr>
        <w:t>Figure 16.3: Mandatory Safety Criteria Matrix (8 of 8 Satisfied)</w:t>
        <w:br/>
      </w:r>
      <w:r>
        <w:rPr>
          <w:rFonts w:ascii="Arial" w:hAnsi="Arial"/>
          <w:i/>
          <w:color w:val="334155"/>
          <w:sz w:val="18"/>
        </w:rPr>
        <w:t>Shows the live evaluation of safety rules: VM_RUNNING_STATE, DISTINCT_TARGET, SOURCE_NODE_HEALTH, DEST_NODE_HEALTH, DEST_RAM_HEADROOM, DEST_CPU_CAPACITY, STORAGE_AND_PORT, and COOLDOWN_PERIOD before operator approval.</w:t>
      </w:r>
    </w:p>
    <w:p>
      <w:pPr>
        <w:spacing w:after="120"/>
      </w:pPr>
    </w:p>
    <w:p>
      <w:pPr>
        <w:spacing w:before="160" w:after="60"/>
        <w:jc w:val="center"/>
      </w:pPr>
      <w:r>
        <w:drawing>
          <wp:inline xmlns:a="http://schemas.openxmlformats.org/drawingml/2006/main" xmlns:pic="http://schemas.openxmlformats.org/drawingml/2006/picture">
            <wp:extent cx="5486400" cy="3086100"/>
            <wp:docPr id="4" name="Picture 4"/>
            <wp:cNvGraphicFramePr>
              <a:graphicFrameLocks noChangeAspect="1"/>
            </wp:cNvGraphicFramePr>
            <a:graphic>
              <a:graphicData uri="http://schemas.openxmlformats.org/drawingml/2006/picture">
                <pic:pic>
                  <pic:nvPicPr>
                    <pic:cNvPr id="0" name="04_migration_fsm_orchestration.png"/>
                    <pic:cNvPicPr/>
                  </pic:nvPicPr>
                  <pic:blipFill>
                    <a:blip r:embed="rId12"/>
                    <a:stretch>
                      <a:fillRect/>
                    </a:stretch>
                  </pic:blipFill>
                  <pic:spPr>
                    <a:xfrm>
                      <a:off x="0" y="0"/>
                      <a:ext cx="5486400" cy="3086100"/>
                    </a:xfrm>
                    <a:prstGeom prst="rect"/>
                  </pic:spPr>
                </pic:pic>
              </a:graphicData>
            </a:graphic>
          </wp:inline>
        </w:drawing>
      </w:r>
    </w:p>
    <w:p>
      <w:pPr>
        <w:spacing w:after="60"/>
        <w:jc w:val="center"/>
      </w:pPr>
      <w:r>
        <w:rPr>
          <w:rFonts w:ascii="Arial" w:hAnsi="Arial"/>
          <w:b/>
          <w:color w:val="0F172A"/>
          <w:sz w:val="19"/>
        </w:rPr>
        <w:t>Figure 16.4: Migration FSM Lifecycle Tracker &amp; Dispatch Queue</w:t>
        <w:br/>
      </w:r>
      <w:r>
        <w:rPr>
          <w:rFonts w:ascii="Arial" w:hAnsi="Arial"/>
          <w:i/>
          <w:color w:val="334155"/>
          <w:sz w:val="18"/>
        </w:rPr>
        <w:t>Shows the migration state machine progression: RECOMMENDED → SAFETY CHECK → OPERATOR GATE → APPROVED → DISPATCHED → PRE-COPY / RUNNING → VERIFYING → VERIFIED, along with terminal rejection states and active dispatch queue.</w:t>
      </w:r>
    </w:p>
    <w:p>
      <w:pPr>
        <w:spacing w:after="120"/>
      </w:pPr>
    </w:p>
    <w:p>
      <w:pPr>
        <w:spacing w:before="160" w:after="60"/>
        <w:jc w:val="center"/>
      </w:pPr>
      <w:r>
        <w:drawing>
          <wp:inline xmlns:a="http://schemas.openxmlformats.org/drawingml/2006/main" xmlns:pic="http://schemas.openxmlformats.org/drawingml/2006/picture">
            <wp:extent cx="5486400" cy="3086100"/>
            <wp:docPr id="5" name="Picture 5"/>
            <wp:cNvGraphicFramePr>
              <a:graphicFrameLocks noChangeAspect="1"/>
            </wp:cNvGraphicFramePr>
            <a:graphic>
              <a:graphicData uri="http://schemas.openxmlformats.org/drawingml/2006/picture">
                <pic:pic>
                  <pic:nvPicPr>
                    <pic:cNvPr id="0" name="05_append_only_audit_ledger.png"/>
                    <pic:cNvPicPr/>
                  </pic:nvPicPr>
                  <pic:blipFill>
                    <a:blip r:embed="rId13"/>
                    <a:stretch>
                      <a:fillRect/>
                    </a:stretch>
                  </pic:blipFill>
                  <pic:spPr>
                    <a:xfrm>
                      <a:off x="0" y="0"/>
                      <a:ext cx="5486400" cy="3086100"/>
                    </a:xfrm>
                    <a:prstGeom prst="rect"/>
                  </pic:spPr>
                </pic:pic>
              </a:graphicData>
            </a:graphic>
          </wp:inline>
        </w:drawing>
      </w:r>
    </w:p>
    <w:p>
      <w:pPr>
        <w:spacing w:after="60"/>
        <w:jc w:val="center"/>
      </w:pPr>
      <w:r>
        <w:rPr>
          <w:rFonts w:ascii="Arial" w:hAnsi="Arial"/>
          <w:b/>
          <w:color w:val="0F172A"/>
          <w:sz w:val="19"/>
        </w:rPr>
        <w:t>Figure 16.5: Append-Only Forensic Audit Ledger &amp; Event History</w:t>
        <w:br/>
      </w:r>
      <w:r>
        <w:rPr>
          <w:rFonts w:ascii="Arial" w:hAnsi="Arial"/>
          <w:i/>
          <w:color w:val="334155"/>
          <w:sz w:val="18"/>
        </w:rPr>
        <w:t>Shows the immutable audit ledger with category filters (ALL, AI, SAFETY, OPERATOR, MIGRATION, VERIFICATION), live search, and timestamped initialization events ensuring complete operational traceability.</w:t>
      </w:r>
    </w:p>
    <w:p>
      <w:pPr>
        <w:spacing w:after="120"/>
      </w:pPr>
    </w:p>
    <w:p>
      <w:pPr>
        <w:pStyle w:val="Heading1"/>
        <w:keepNext/>
        <w:spacing w:before="360" w:after="120"/>
      </w:pPr>
      <w:r>
        <w:rPr>
          <w:rFonts w:ascii="Arial" w:hAnsi="Arial"/>
          <w:b/>
          <w:color w:val="0F172A"/>
          <w:sz w:val="30"/>
        </w:rPr>
        <w:t>17. Project Completion Percentage &amp; Progress Analysis</w:t>
      </w:r>
    </w:p>
    <w:p>
      <w:pPr>
        <w:spacing w:after="100" w:line="276" w:lineRule="auto"/>
      </w:pPr>
      <w:r>
        <w:rPr>
          <w:rFonts w:ascii="Arial" w:hAnsi="Arial"/>
          <w:color w:val="334155"/>
          <w:sz w:val="20"/>
        </w:rPr>
        <w:t>To provide an evidence-backed answer for academic evaluation, Table 17.1 details our weighted completion model derived from repository code and tests:</w:t>
      </w:r>
    </w:p>
    <w:tbl>
      <w:tblPr>
        <w:tblW w:type="auto" w:w="0"/>
        <w:jc w:val="center"/>
        <w:tblLook w:firstColumn="1" w:firstRow="1" w:lastColumn="0" w:lastRow="0" w:noHBand="0" w:noVBand="1" w:val="04A0"/>
      </w:tblPr>
      <w:tblGrid>
        <w:gridCol w:w="1872"/>
        <w:gridCol w:w="1872"/>
        <w:gridCol w:w="1872"/>
        <w:gridCol w:w="1872"/>
        <w:gridCol w:w="1872"/>
      </w:tblGrid>
      <w:tr>
        <w:tc>
          <w:tcPr>
            <w:tcW w:type="dxa" w:w="2592"/>
            <w:shd w:fill="0F172A"/>
            <w:tcMar>
              <w:top w:w="120" w:type="dxa"/>
              <w:bottom w:w="120" w:type="dxa"/>
              <w:left w:w="140" w:type="dxa"/>
              <w:right w:w="140" w:type="dxa"/>
            </w:tcMar>
          </w:tcPr>
          <w:p>
            <w:pPr>
              <w:jc w:val="left"/>
            </w:pPr>
            <w:r>
              <w:rPr>
                <w:rFonts w:ascii="Arial" w:hAnsi="Arial"/>
                <w:b/>
                <w:color w:val="FFFFFF"/>
                <w:sz w:val="19"/>
              </w:rPr>
              <w:t>Subsystem Component</w:t>
            </w:r>
          </w:p>
        </w:tc>
        <w:tc>
          <w:tcPr>
            <w:tcW w:type="dxa" w:w="1152"/>
            <w:shd w:fill="0F172A"/>
            <w:tcMar>
              <w:top w:w="120" w:type="dxa"/>
              <w:bottom w:w="120" w:type="dxa"/>
              <w:left w:w="140" w:type="dxa"/>
              <w:right w:w="140" w:type="dxa"/>
            </w:tcMar>
          </w:tcPr>
          <w:p>
            <w:pPr>
              <w:jc w:val="left"/>
            </w:pPr>
            <w:r>
              <w:rPr>
                <w:rFonts w:ascii="Arial" w:hAnsi="Arial"/>
                <w:b/>
                <w:color w:val="FFFFFF"/>
                <w:sz w:val="19"/>
              </w:rPr>
              <w:t>Weight</w:t>
            </w:r>
          </w:p>
        </w:tc>
        <w:tc>
          <w:tcPr>
            <w:tcW w:type="dxa" w:w="1152"/>
            <w:shd w:fill="0F172A"/>
            <w:tcMar>
              <w:top w:w="120" w:type="dxa"/>
              <w:bottom w:w="120" w:type="dxa"/>
              <w:left w:w="140" w:type="dxa"/>
              <w:right w:w="140" w:type="dxa"/>
            </w:tcMar>
          </w:tcPr>
          <w:p>
            <w:pPr>
              <w:jc w:val="left"/>
            </w:pPr>
            <w:r>
              <w:rPr>
                <w:rFonts w:ascii="Arial" w:hAnsi="Arial"/>
                <w:b/>
                <w:color w:val="FFFFFF"/>
                <w:sz w:val="19"/>
              </w:rPr>
              <w:t>Module %</w:t>
            </w:r>
          </w:p>
        </w:tc>
        <w:tc>
          <w:tcPr>
            <w:tcW w:type="dxa" w:w="1584"/>
            <w:shd w:fill="0F172A"/>
            <w:tcMar>
              <w:top w:w="120" w:type="dxa"/>
              <w:bottom w:w="120" w:type="dxa"/>
              <w:left w:w="140" w:type="dxa"/>
              <w:right w:w="140" w:type="dxa"/>
            </w:tcMar>
          </w:tcPr>
          <w:p>
            <w:pPr>
              <w:jc w:val="left"/>
            </w:pPr>
            <w:r>
              <w:rPr>
                <w:rFonts w:ascii="Arial" w:hAnsi="Arial"/>
                <w:b/>
                <w:color w:val="FFFFFF"/>
                <w:sz w:val="19"/>
              </w:rPr>
              <w:t>Weighted Contribution</w:t>
            </w:r>
          </w:p>
        </w:tc>
        <w:tc>
          <w:tcPr>
            <w:tcW w:type="dxa" w:w="4032"/>
            <w:shd w:fill="0F172A"/>
            <w:tcMar>
              <w:top w:w="120" w:type="dxa"/>
              <w:bottom w:w="120" w:type="dxa"/>
              <w:left w:w="140" w:type="dxa"/>
              <w:right w:w="140" w:type="dxa"/>
            </w:tcMar>
          </w:tcPr>
          <w:p>
            <w:pPr>
              <w:jc w:val="left"/>
            </w:pPr>
            <w:r>
              <w:rPr>
                <w:rFonts w:ascii="Arial" w:hAnsi="Arial"/>
                <w:b/>
                <w:color w:val="FFFFFF"/>
                <w:sz w:val="19"/>
              </w:rPr>
              <w:t>Evidence / Status</w:t>
            </w:r>
          </w:p>
        </w:tc>
      </w:tr>
      <w:tr>
        <w:tc>
          <w:tcPr>
            <w:tcW w:type="dxa" w:w="2592"/>
            <w:shd w:fill="F8FAFC"/>
            <w:tcMar>
              <w:top w:w="100" w:type="dxa"/>
              <w:bottom w:w="100" w:type="dxa"/>
              <w:left w:w="140" w:type="dxa"/>
              <w:right w:w="140" w:type="dxa"/>
            </w:tcMar>
          </w:tcPr>
          <w:p>
            <w:pPr>
              <w:jc w:val="left"/>
            </w:pPr>
            <w:r>
              <w:rPr>
                <w:rFonts w:ascii="Arial" w:hAnsi="Arial"/>
                <w:b/>
                <w:color w:val="0F172A"/>
                <w:sz w:val="18"/>
              </w:rPr>
              <w:t>Architecture &amp; Interface Specs</w:t>
            </w:r>
          </w:p>
        </w:tc>
        <w:tc>
          <w:tcPr>
            <w:tcW w:type="dxa" w:w="1152"/>
            <w:shd w:fill="F8FAFC"/>
            <w:tcMar>
              <w:top w:w="100" w:type="dxa"/>
              <w:bottom w:w="100" w:type="dxa"/>
              <w:left w:w="140" w:type="dxa"/>
              <w:right w:w="140" w:type="dxa"/>
            </w:tcMar>
          </w:tcPr>
          <w:p>
            <w:pPr>
              <w:jc w:val="left"/>
            </w:pPr>
            <w:r>
              <w:rPr>
                <w:rFonts w:ascii="Arial" w:hAnsi="Arial"/>
                <w:color w:val="334155"/>
                <w:sz w:val="18"/>
              </w:rPr>
              <w:t>10%</w:t>
            </w:r>
          </w:p>
        </w:tc>
        <w:tc>
          <w:tcPr>
            <w:tcW w:type="dxa" w:w="1152"/>
            <w:shd w:fill="F8FAFC"/>
            <w:tcMar>
              <w:top w:w="100" w:type="dxa"/>
              <w:bottom w:w="100" w:type="dxa"/>
              <w:left w:w="140" w:type="dxa"/>
              <w:right w:w="140" w:type="dxa"/>
            </w:tcMar>
          </w:tcPr>
          <w:p>
            <w:pPr>
              <w:jc w:val="left"/>
            </w:pPr>
            <w:r>
              <w:rPr>
                <w:rFonts w:ascii="Arial" w:hAnsi="Arial"/>
                <w:color w:val="334155"/>
                <w:sz w:val="18"/>
              </w:rPr>
              <w:t>100%</w:t>
            </w:r>
          </w:p>
        </w:tc>
        <w:tc>
          <w:tcPr>
            <w:tcW w:type="dxa" w:w="1584"/>
            <w:shd w:fill="F8FAFC"/>
            <w:tcMar>
              <w:top w:w="100" w:type="dxa"/>
              <w:bottom w:w="100" w:type="dxa"/>
              <w:left w:w="140" w:type="dxa"/>
              <w:right w:w="140" w:type="dxa"/>
            </w:tcMar>
          </w:tcPr>
          <w:p>
            <w:pPr>
              <w:jc w:val="left"/>
            </w:pPr>
            <w:r>
              <w:rPr>
                <w:rFonts w:ascii="Arial" w:hAnsi="Arial"/>
                <w:color w:val="334155"/>
                <w:sz w:val="18"/>
              </w:rPr>
              <w:t>10.0%</w:t>
            </w:r>
          </w:p>
        </w:tc>
        <w:tc>
          <w:tcPr>
            <w:tcW w:type="dxa" w:w="4032"/>
            <w:shd w:fill="F8FAFC"/>
            <w:tcMar>
              <w:top w:w="100" w:type="dxa"/>
              <w:bottom w:w="100" w:type="dxa"/>
              <w:left w:w="140" w:type="dxa"/>
              <w:right w:w="140" w:type="dxa"/>
            </w:tcMar>
          </w:tcPr>
          <w:p>
            <w:pPr>
              <w:jc w:val="left"/>
            </w:pPr>
            <w:r>
              <w:rPr>
                <w:rFonts w:ascii="Arial" w:hAnsi="Arial"/>
                <w:color w:val="334155"/>
                <w:sz w:val="18"/>
              </w:rPr>
              <w:t>Observation spec v1.0.0, action spec v1.0.0, provider contracts fully frozen.</w:t>
            </w:r>
          </w:p>
        </w:tc>
      </w:tr>
      <w:tr>
        <w:tc>
          <w:tcPr>
            <w:tcW w:type="dxa" w:w="2592"/>
            <w:shd w:fill="FFFFFF"/>
            <w:tcMar>
              <w:top w:w="100" w:type="dxa"/>
              <w:bottom w:w="100" w:type="dxa"/>
              <w:left w:w="140" w:type="dxa"/>
              <w:right w:w="140" w:type="dxa"/>
            </w:tcMar>
          </w:tcPr>
          <w:p>
            <w:pPr>
              <w:jc w:val="left"/>
            </w:pPr>
            <w:r>
              <w:rPr>
                <w:rFonts w:ascii="Arial" w:hAnsi="Arial"/>
                <w:b/>
                <w:color w:val="0F172A"/>
                <w:sz w:val="18"/>
              </w:rPr>
              <w:t>Backend &amp; Control Plane</w:t>
            </w:r>
          </w:p>
        </w:tc>
        <w:tc>
          <w:tcPr>
            <w:tcW w:type="dxa" w:w="1152"/>
            <w:shd w:fill="FFFFFF"/>
            <w:tcMar>
              <w:top w:w="100" w:type="dxa"/>
              <w:bottom w:w="100" w:type="dxa"/>
              <w:left w:w="140" w:type="dxa"/>
              <w:right w:w="140" w:type="dxa"/>
            </w:tcMar>
          </w:tcPr>
          <w:p>
            <w:pPr>
              <w:jc w:val="left"/>
            </w:pPr>
            <w:r>
              <w:rPr>
                <w:rFonts w:ascii="Arial" w:hAnsi="Arial"/>
                <w:color w:val="334155"/>
                <w:sz w:val="18"/>
              </w:rPr>
              <w:t>15%</w:t>
            </w:r>
          </w:p>
        </w:tc>
        <w:tc>
          <w:tcPr>
            <w:tcW w:type="dxa" w:w="1152"/>
            <w:shd w:fill="FFFFFF"/>
            <w:tcMar>
              <w:top w:w="100" w:type="dxa"/>
              <w:bottom w:w="100" w:type="dxa"/>
              <w:left w:w="140" w:type="dxa"/>
              <w:right w:w="140" w:type="dxa"/>
            </w:tcMar>
          </w:tcPr>
          <w:p>
            <w:pPr>
              <w:jc w:val="left"/>
            </w:pPr>
            <w:r>
              <w:rPr>
                <w:rFonts w:ascii="Arial" w:hAnsi="Arial"/>
                <w:color w:val="334155"/>
                <w:sz w:val="18"/>
              </w:rPr>
              <w:t>100%</w:t>
            </w:r>
          </w:p>
        </w:tc>
        <w:tc>
          <w:tcPr>
            <w:tcW w:type="dxa" w:w="1584"/>
            <w:shd w:fill="FFFFFF"/>
            <w:tcMar>
              <w:top w:w="100" w:type="dxa"/>
              <w:bottom w:w="100" w:type="dxa"/>
              <w:left w:w="140" w:type="dxa"/>
              <w:right w:w="140" w:type="dxa"/>
            </w:tcMar>
          </w:tcPr>
          <w:p>
            <w:pPr>
              <w:jc w:val="left"/>
            </w:pPr>
            <w:r>
              <w:rPr>
                <w:rFonts w:ascii="Arial" w:hAnsi="Arial"/>
                <w:color w:val="334155"/>
                <w:sz w:val="18"/>
              </w:rPr>
              <w:t>15.0%</w:t>
            </w:r>
          </w:p>
        </w:tc>
        <w:tc>
          <w:tcPr>
            <w:tcW w:type="dxa" w:w="4032"/>
            <w:shd w:fill="FFFFFF"/>
            <w:tcMar>
              <w:top w:w="100" w:type="dxa"/>
              <w:bottom w:w="100" w:type="dxa"/>
              <w:left w:w="140" w:type="dxa"/>
              <w:right w:w="140" w:type="dxa"/>
            </w:tcMar>
          </w:tcPr>
          <w:p>
            <w:pPr>
              <w:jc w:val="left"/>
            </w:pPr>
            <w:r>
              <w:rPr>
                <w:rFonts w:ascii="Arial" w:hAnsi="Arial"/>
                <w:color w:val="334155"/>
                <w:sz w:val="18"/>
              </w:rPr>
              <w:t>FastAPI async routing, WebSocket telemetry streaming, masked config, audit logging.</w:t>
            </w:r>
          </w:p>
        </w:tc>
      </w:tr>
      <w:tr>
        <w:tc>
          <w:tcPr>
            <w:tcW w:type="dxa" w:w="2592"/>
            <w:shd w:fill="F8FAFC"/>
            <w:tcMar>
              <w:top w:w="100" w:type="dxa"/>
              <w:bottom w:w="100" w:type="dxa"/>
              <w:left w:w="140" w:type="dxa"/>
              <w:right w:w="140" w:type="dxa"/>
            </w:tcMar>
          </w:tcPr>
          <w:p>
            <w:pPr>
              <w:jc w:val="left"/>
            </w:pPr>
            <w:r>
              <w:rPr>
                <w:rFonts w:ascii="Arial" w:hAnsi="Arial"/>
                <w:b/>
                <w:color w:val="0F172A"/>
                <w:sz w:val="18"/>
              </w:rPr>
              <w:t>Telemetry &amp; 103-Dim Adapter</w:t>
            </w:r>
          </w:p>
        </w:tc>
        <w:tc>
          <w:tcPr>
            <w:tcW w:type="dxa" w:w="1152"/>
            <w:shd w:fill="F8FAFC"/>
            <w:tcMar>
              <w:top w:w="100" w:type="dxa"/>
              <w:bottom w:w="100" w:type="dxa"/>
              <w:left w:w="140" w:type="dxa"/>
              <w:right w:w="140" w:type="dxa"/>
            </w:tcMar>
          </w:tcPr>
          <w:p>
            <w:pPr>
              <w:jc w:val="left"/>
            </w:pPr>
            <w:r>
              <w:rPr>
                <w:rFonts w:ascii="Arial" w:hAnsi="Arial"/>
                <w:color w:val="334155"/>
                <w:sz w:val="18"/>
              </w:rPr>
              <w:t>10%</w:t>
            </w:r>
          </w:p>
        </w:tc>
        <w:tc>
          <w:tcPr>
            <w:tcW w:type="dxa" w:w="1152"/>
            <w:shd w:fill="F8FAFC"/>
            <w:tcMar>
              <w:top w:w="100" w:type="dxa"/>
              <w:bottom w:w="100" w:type="dxa"/>
              <w:left w:w="140" w:type="dxa"/>
              <w:right w:w="140" w:type="dxa"/>
            </w:tcMar>
          </w:tcPr>
          <w:p>
            <w:pPr>
              <w:jc w:val="left"/>
            </w:pPr>
            <w:r>
              <w:rPr>
                <w:rFonts w:ascii="Arial" w:hAnsi="Arial"/>
                <w:color w:val="334155"/>
                <w:sz w:val="18"/>
              </w:rPr>
              <w:t>100%</w:t>
            </w:r>
          </w:p>
        </w:tc>
        <w:tc>
          <w:tcPr>
            <w:tcW w:type="dxa" w:w="1584"/>
            <w:shd w:fill="F8FAFC"/>
            <w:tcMar>
              <w:top w:w="100" w:type="dxa"/>
              <w:bottom w:w="100" w:type="dxa"/>
              <w:left w:w="140" w:type="dxa"/>
              <w:right w:w="140" w:type="dxa"/>
            </w:tcMar>
          </w:tcPr>
          <w:p>
            <w:pPr>
              <w:jc w:val="left"/>
            </w:pPr>
            <w:r>
              <w:rPr>
                <w:rFonts w:ascii="Arial" w:hAnsi="Arial"/>
                <w:color w:val="334155"/>
                <w:sz w:val="18"/>
              </w:rPr>
              <w:t>10.0%</w:t>
            </w:r>
          </w:p>
        </w:tc>
        <w:tc>
          <w:tcPr>
            <w:tcW w:type="dxa" w:w="4032"/>
            <w:shd w:fill="F8FAFC"/>
            <w:tcMar>
              <w:top w:w="100" w:type="dxa"/>
              <w:bottom w:w="100" w:type="dxa"/>
              <w:left w:w="140" w:type="dxa"/>
              <w:right w:w="140" w:type="dxa"/>
            </w:tcMar>
          </w:tcPr>
          <w:p>
            <w:pPr>
              <w:jc w:val="left"/>
            </w:pPr>
            <w:r>
              <w:rPr>
                <w:rFonts w:ascii="Arial" w:hAnsi="Arial"/>
                <w:color w:val="334155"/>
                <w:sz w:val="18"/>
              </w:rPr>
              <w:t>Collector, rolling buffer, Jain's index, exact 103-dim normalization verified.</w:t>
            </w:r>
          </w:p>
        </w:tc>
      </w:tr>
      <w:tr>
        <w:tc>
          <w:tcPr>
            <w:tcW w:type="dxa" w:w="2592"/>
            <w:shd w:fill="FFFFFF"/>
            <w:tcMar>
              <w:top w:w="100" w:type="dxa"/>
              <w:bottom w:w="100" w:type="dxa"/>
              <w:left w:w="140" w:type="dxa"/>
              <w:right w:w="140" w:type="dxa"/>
            </w:tcMar>
          </w:tcPr>
          <w:p>
            <w:pPr>
              <w:jc w:val="left"/>
            </w:pPr>
            <w:r>
              <w:rPr>
                <w:rFonts w:ascii="Arial" w:hAnsi="Arial"/>
                <w:b/>
                <w:color w:val="0F172A"/>
                <w:sz w:val="18"/>
              </w:rPr>
              <w:t>PPO / Reinforcement Learning</w:t>
            </w:r>
          </w:p>
        </w:tc>
        <w:tc>
          <w:tcPr>
            <w:tcW w:type="dxa" w:w="1152"/>
            <w:shd w:fill="FFFFFF"/>
            <w:tcMar>
              <w:top w:w="100" w:type="dxa"/>
              <w:bottom w:w="100" w:type="dxa"/>
              <w:left w:w="140" w:type="dxa"/>
              <w:right w:w="140" w:type="dxa"/>
            </w:tcMar>
          </w:tcPr>
          <w:p>
            <w:pPr>
              <w:jc w:val="left"/>
            </w:pPr>
            <w:r>
              <w:rPr>
                <w:rFonts w:ascii="Arial" w:hAnsi="Arial"/>
                <w:color w:val="334155"/>
                <w:sz w:val="18"/>
              </w:rPr>
              <w:t>15%</w:t>
            </w:r>
          </w:p>
        </w:tc>
        <w:tc>
          <w:tcPr>
            <w:tcW w:type="dxa" w:w="1152"/>
            <w:shd w:fill="FFFFFF"/>
            <w:tcMar>
              <w:top w:w="100" w:type="dxa"/>
              <w:bottom w:w="100" w:type="dxa"/>
              <w:left w:w="140" w:type="dxa"/>
              <w:right w:w="140" w:type="dxa"/>
            </w:tcMar>
          </w:tcPr>
          <w:p>
            <w:pPr>
              <w:jc w:val="left"/>
            </w:pPr>
            <w:r>
              <w:rPr>
                <w:rFonts w:ascii="Arial" w:hAnsi="Arial"/>
                <w:color w:val="334155"/>
                <w:sz w:val="18"/>
              </w:rPr>
              <w:t>100%</w:t>
            </w:r>
          </w:p>
        </w:tc>
        <w:tc>
          <w:tcPr>
            <w:tcW w:type="dxa" w:w="1584"/>
            <w:shd w:fill="FFFFFF"/>
            <w:tcMar>
              <w:top w:w="100" w:type="dxa"/>
              <w:bottom w:w="100" w:type="dxa"/>
              <w:left w:w="140" w:type="dxa"/>
              <w:right w:w="140" w:type="dxa"/>
            </w:tcMar>
          </w:tcPr>
          <w:p>
            <w:pPr>
              <w:jc w:val="left"/>
            </w:pPr>
            <w:r>
              <w:rPr>
                <w:rFonts w:ascii="Arial" w:hAnsi="Arial"/>
                <w:color w:val="334155"/>
                <w:sz w:val="18"/>
              </w:rPr>
              <w:t>15.0%</w:t>
            </w:r>
          </w:p>
        </w:tc>
        <w:tc>
          <w:tcPr>
            <w:tcW w:type="dxa" w:w="4032"/>
            <w:shd w:fill="FFFFFF"/>
            <w:tcMar>
              <w:top w:w="100" w:type="dxa"/>
              <w:bottom w:w="100" w:type="dxa"/>
              <w:left w:w="140" w:type="dxa"/>
              <w:right w:w="140" w:type="dxa"/>
            </w:tcMar>
          </w:tcPr>
          <w:p>
            <w:pPr>
              <w:jc w:val="left"/>
            </w:pPr>
            <w:r>
              <w:rPr>
                <w:rFonts w:ascii="Arial" w:hAnsi="Arial"/>
                <w:color w:val="334155"/>
                <w:sz w:val="18"/>
              </w:rPr>
              <w:t>MaskablePPO trained, V4 collapse resolved, PPO V5 frozen with verified SHA-256.</w:t>
            </w:r>
          </w:p>
        </w:tc>
      </w:tr>
      <w:tr>
        <w:tc>
          <w:tcPr>
            <w:tcW w:type="dxa" w:w="2592"/>
            <w:shd w:fill="F8FAFC"/>
            <w:tcMar>
              <w:top w:w="100" w:type="dxa"/>
              <w:bottom w:w="100" w:type="dxa"/>
              <w:left w:w="140" w:type="dxa"/>
              <w:right w:w="140" w:type="dxa"/>
            </w:tcMar>
          </w:tcPr>
          <w:p>
            <w:pPr>
              <w:jc w:val="left"/>
            </w:pPr>
            <w:r>
              <w:rPr>
                <w:rFonts w:ascii="Arial" w:hAnsi="Arial"/>
                <w:b/>
                <w:color w:val="0F172A"/>
                <w:sz w:val="18"/>
              </w:rPr>
              <w:t>Safety Gate &amp; Teleport FSM</w:t>
            </w:r>
          </w:p>
        </w:tc>
        <w:tc>
          <w:tcPr>
            <w:tcW w:type="dxa" w:w="1152"/>
            <w:shd w:fill="F8FAFC"/>
            <w:tcMar>
              <w:top w:w="100" w:type="dxa"/>
              <w:bottom w:w="100" w:type="dxa"/>
              <w:left w:w="140" w:type="dxa"/>
              <w:right w:w="140" w:type="dxa"/>
            </w:tcMar>
          </w:tcPr>
          <w:p>
            <w:pPr>
              <w:jc w:val="left"/>
            </w:pPr>
            <w:r>
              <w:rPr>
                <w:rFonts w:ascii="Arial" w:hAnsi="Arial"/>
                <w:color w:val="334155"/>
                <w:sz w:val="18"/>
              </w:rPr>
              <w:t>15%</w:t>
            </w:r>
          </w:p>
        </w:tc>
        <w:tc>
          <w:tcPr>
            <w:tcW w:type="dxa" w:w="1152"/>
            <w:shd w:fill="F8FAFC"/>
            <w:tcMar>
              <w:top w:w="100" w:type="dxa"/>
              <w:bottom w:w="100" w:type="dxa"/>
              <w:left w:w="140" w:type="dxa"/>
              <w:right w:w="140" w:type="dxa"/>
            </w:tcMar>
          </w:tcPr>
          <w:p>
            <w:pPr>
              <w:jc w:val="left"/>
            </w:pPr>
            <w:r>
              <w:rPr>
                <w:rFonts w:ascii="Arial" w:hAnsi="Arial"/>
                <w:color w:val="334155"/>
                <w:sz w:val="18"/>
              </w:rPr>
              <w:t>100%</w:t>
            </w:r>
          </w:p>
        </w:tc>
        <w:tc>
          <w:tcPr>
            <w:tcW w:type="dxa" w:w="1584"/>
            <w:shd w:fill="F8FAFC"/>
            <w:tcMar>
              <w:top w:w="100" w:type="dxa"/>
              <w:bottom w:w="100" w:type="dxa"/>
              <w:left w:w="140" w:type="dxa"/>
              <w:right w:w="140" w:type="dxa"/>
            </w:tcMar>
          </w:tcPr>
          <w:p>
            <w:pPr>
              <w:jc w:val="left"/>
            </w:pPr>
            <w:r>
              <w:rPr>
                <w:rFonts w:ascii="Arial" w:hAnsi="Arial"/>
                <w:color w:val="334155"/>
                <w:sz w:val="18"/>
              </w:rPr>
              <w:t>15.0%</w:t>
            </w:r>
          </w:p>
        </w:tc>
        <w:tc>
          <w:tcPr>
            <w:tcW w:type="dxa" w:w="4032"/>
            <w:shd w:fill="F8FAFC"/>
            <w:tcMar>
              <w:top w:w="100" w:type="dxa"/>
              <w:bottom w:w="100" w:type="dxa"/>
              <w:left w:w="140" w:type="dxa"/>
              <w:right w:w="140" w:type="dxa"/>
            </w:tcMar>
          </w:tcPr>
          <w:p>
            <w:pPr>
              <w:jc w:val="left"/>
            </w:pPr>
            <w:r>
              <w:rPr>
                <w:rFonts w:ascii="Arial" w:hAnsi="Arial"/>
                <w:color w:val="334155"/>
                <w:sz w:val="18"/>
              </w:rPr>
              <w:t>16 safety checks, VBX_* codes, fail-closed audit, 12 FSM states, operator approval gate.</w:t>
            </w:r>
          </w:p>
        </w:tc>
      </w:tr>
      <w:tr>
        <w:tc>
          <w:tcPr>
            <w:tcW w:type="dxa" w:w="2592"/>
            <w:shd w:fill="FFFFFF"/>
            <w:tcMar>
              <w:top w:w="100" w:type="dxa"/>
              <w:bottom w:w="100" w:type="dxa"/>
              <w:left w:w="140" w:type="dxa"/>
              <w:right w:w="140" w:type="dxa"/>
            </w:tcMar>
          </w:tcPr>
          <w:p>
            <w:pPr>
              <w:jc w:val="left"/>
            </w:pPr>
            <w:r>
              <w:rPr>
                <w:rFonts w:ascii="Arial" w:hAnsi="Arial"/>
                <w:b/>
                <w:color w:val="0F172A"/>
                <w:sz w:val="18"/>
              </w:rPr>
              <w:t>VirtualBox Provider &amp; Agent</w:t>
            </w:r>
          </w:p>
        </w:tc>
        <w:tc>
          <w:tcPr>
            <w:tcW w:type="dxa" w:w="1152"/>
            <w:shd w:fill="FFFFFF"/>
            <w:tcMar>
              <w:top w:w="100" w:type="dxa"/>
              <w:bottom w:w="100" w:type="dxa"/>
              <w:left w:w="140" w:type="dxa"/>
              <w:right w:w="140" w:type="dxa"/>
            </w:tcMar>
          </w:tcPr>
          <w:p>
            <w:pPr>
              <w:jc w:val="left"/>
            </w:pPr>
            <w:r>
              <w:rPr>
                <w:rFonts w:ascii="Arial" w:hAnsi="Arial"/>
                <w:color w:val="334155"/>
                <w:sz w:val="18"/>
              </w:rPr>
              <w:t>10%</w:t>
            </w:r>
          </w:p>
        </w:tc>
        <w:tc>
          <w:tcPr>
            <w:tcW w:type="dxa" w:w="1152"/>
            <w:shd w:fill="FFFFFF"/>
            <w:tcMar>
              <w:top w:w="100" w:type="dxa"/>
              <w:bottom w:w="100" w:type="dxa"/>
              <w:left w:w="140" w:type="dxa"/>
              <w:right w:w="140" w:type="dxa"/>
            </w:tcMar>
          </w:tcPr>
          <w:p>
            <w:pPr>
              <w:jc w:val="left"/>
            </w:pPr>
            <w:r>
              <w:rPr>
                <w:rFonts w:ascii="Arial" w:hAnsi="Arial"/>
                <w:color w:val="334155"/>
                <w:sz w:val="18"/>
              </w:rPr>
              <w:t>100%</w:t>
            </w:r>
          </w:p>
        </w:tc>
        <w:tc>
          <w:tcPr>
            <w:tcW w:type="dxa" w:w="1584"/>
            <w:shd w:fill="FFFFFF"/>
            <w:tcMar>
              <w:top w:w="100" w:type="dxa"/>
              <w:bottom w:w="100" w:type="dxa"/>
              <w:left w:w="140" w:type="dxa"/>
              <w:right w:w="140" w:type="dxa"/>
            </w:tcMar>
          </w:tcPr>
          <w:p>
            <w:pPr>
              <w:jc w:val="left"/>
            </w:pPr>
            <w:r>
              <w:rPr>
                <w:rFonts w:ascii="Arial" w:hAnsi="Arial"/>
                <w:color w:val="334155"/>
                <w:sz w:val="18"/>
              </w:rPr>
              <w:t>10.0%</w:t>
            </w:r>
          </w:p>
        </w:tc>
        <w:tc>
          <w:tcPr>
            <w:tcW w:type="dxa" w:w="4032"/>
            <w:shd w:fill="FFFFFF"/>
            <w:tcMar>
              <w:top w:w="100" w:type="dxa"/>
              <w:bottom w:w="100" w:type="dxa"/>
              <w:left w:w="140" w:type="dxa"/>
              <w:right w:w="140" w:type="dxa"/>
            </w:tcMar>
          </w:tcPr>
          <w:p>
            <w:pPr>
              <w:jc w:val="left"/>
            </w:pPr>
            <w:r>
              <w:rPr>
                <w:rFonts w:ascii="Arial" w:hAnsi="Arial"/>
                <w:color w:val="334155"/>
                <w:sz w:val="18"/>
              </w:rPr>
              <w:t>VBoxManage driver, FastAPI agent, pre-warming, LAN memory streaming, 14 tests pass.</w:t>
            </w:r>
          </w:p>
        </w:tc>
      </w:tr>
      <w:tr>
        <w:tc>
          <w:tcPr>
            <w:tcW w:type="dxa" w:w="2592"/>
            <w:shd w:fill="F8FAFC"/>
            <w:tcMar>
              <w:top w:w="100" w:type="dxa"/>
              <w:bottom w:w="100" w:type="dxa"/>
              <w:left w:w="140" w:type="dxa"/>
              <w:right w:w="140" w:type="dxa"/>
            </w:tcMar>
          </w:tcPr>
          <w:p>
            <w:pPr>
              <w:jc w:val="left"/>
            </w:pPr>
            <w:r>
              <w:rPr>
                <w:rFonts w:ascii="Arial" w:hAnsi="Arial"/>
                <w:b/>
                <w:color w:val="0F172A"/>
                <w:sz w:val="18"/>
              </w:rPr>
              <w:t>Frontend Control Dashboard</w:t>
            </w:r>
          </w:p>
        </w:tc>
        <w:tc>
          <w:tcPr>
            <w:tcW w:type="dxa" w:w="1152"/>
            <w:shd w:fill="F8FAFC"/>
            <w:tcMar>
              <w:top w:w="100" w:type="dxa"/>
              <w:bottom w:w="100" w:type="dxa"/>
              <w:left w:w="140" w:type="dxa"/>
              <w:right w:w="140" w:type="dxa"/>
            </w:tcMar>
          </w:tcPr>
          <w:p>
            <w:pPr>
              <w:jc w:val="left"/>
            </w:pPr>
            <w:r>
              <w:rPr>
                <w:rFonts w:ascii="Arial" w:hAnsi="Arial"/>
                <w:color w:val="334155"/>
                <w:sz w:val="18"/>
              </w:rPr>
              <w:t>10%</w:t>
            </w:r>
          </w:p>
        </w:tc>
        <w:tc>
          <w:tcPr>
            <w:tcW w:type="dxa" w:w="1152"/>
            <w:shd w:fill="F8FAFC"/>
            <w:tcMar>
              <w:top w:w="100" w:type="dxa"/>
              <w:bottom w:w="100" w:type="dxa"/>
              <w:left w:w="140" w:type="dxa"/>
              <w:right w:w="140" w:type="dxa"/>
            </w:tcMar>
          </w:tcPr>
          <w:p>
            <w:pPr>
              <w:jc w:val="left"/>
            </w:pPr>
            <w:r>
              <w:rPr>
                <w:rFonts w:ascii="Arial" w:hAnsi="Arial"/>
                <w:color w:val="334155"/>
                <w:sz w:val="18"/>
              </w:rPr>
              <w:t>100%</w:t>
            </w:r>
          </w:p>
        </w:tc>
        <w:tc>
          <w:tcPr>
            <w:tcW w:type="dxa" w:w="1584"/>
            <w:shd w:fill="F8FAFC"/>
            <w:tcMar>
              <w:top w:w="100" w:type="dxa"/>
              <w:bottom w:w="100" w:type="dxa"/>
              <w:left w:w="140" w:type="dxa"/>
              <w:right w:w="140" w:type="dxa"/>
            </w:tcMar>
          </w:tcPr>
          <w:p>
            <w:pPr>
              <w:jc w:val="left"/>
            </w:pPr>
            <w:r>
              <w:rPr>
                <w:rFonts w:ascii="Arial" w:hAnsi="Arial"/>
                <w:color w:val="334155"/>
                <w:sz w:val="18"/>
              </w:rPr>
              <w:t>10.0%</w:t>
            </w:r>
          </w:p>
        </w:tc>
        <w:tc>
          <w:tcPr>
            <w:tcW w:type="dxa" w:w="4032"/>
            <w:shd w:fill="F8FAFC"/>
            <w:tcMar>
              <w:top w:w="100" w:type="dxa"/>
              <w:bottom w:w="100" w:type="dxa"/>
              <w:left w:w="140" w:type="dxa"/>
              <w:right w:w="140" w:type="dxa"/>
            </w:tcMar>
          </w:tcPr>
          <w:p>
            <w:pPr>
              <w:jc w:val="left"/>
            </w:pPr>
            <w:r>
              <w:rPr>
                <w:rFonts w:ascii="Arial" w:hAnsi="Arial"/>
                <w:color w:val="334155"/>
                <w:sz w:val="18"/>
              </w:rPr>
              <w:t>React 19, Three.js 3D cluster, Live Demo screen, clean build with zero errors.</w:t>
            </w:r>
          </w:p>
        </w:tc>
      </w:tr>
      <w:tr>
        <w:tc>
          <w:tcPr>
            <w:tcW w:type="dxa" w:w="2592"/>
            <w:shd w:fill="FFFFFF"/>
            <w:tcMar>
              <w:top w:w="100" w:type="dxa"/>
              <w:bottom w:w="100" w:type="dxa"/>
              <w:left w:w="140" w:type="dxa"/>
              <w:right w:w="140" w:type="dxa"/>
            </w:tcMar>
          </w:tcPr>
          <w:p>
            <w:pPr>
              <w:jc w:val="left"/>
            </w:pPr>
            <w:r>
              <w:rPr>
                <w:rFonts w:ascii="Arial" w:hAnsi="Arial"/>
                <w:b/>
                <w:color w:val="0F172A"/>
                <w:sz w:val="18"/>
              </w:rPr>
              <w:t>Automated Tests &amp; Benchmarks</w:t>
            </w:r>
          </w:p>
        </w:tc>
        <w:tc>
          <w:tcPr>
            <w:tcW w:type="dxa" w:w="1152"/>
            <w:shd w:fill="FFFFFF"/>
            <w:tcMar>
              <w:top w:w="100" w:type="dxa"/>
              <w:bottom w:w="100" w:type="dxa"/>
              <w:left w:w="140" w:type="dxa"/>
              <w:right w:w="140" w:type="dxa"/>
            </w:tcMar>
          </w:tcPr>
          <w:p>
            <w:pPr>
              <w:jc w:val="left"/>
            </w:pPr>
            <w:r>
              <w:rPr>
                <w:rFonts w:ascii="Arial" w:hAnsi="Arial"/>
                <w:color w:val="334155"/>
                <w:sz w:val="18"/>
              </w:rPr>
              <w:t>10%</w:t>
            </w:r>
          </w:p>
        </w:tc>
        <w:tc>
          <w:tcPr>
            <w:tcW w:type="dxa" w:w="1152"/>
            <w:shd w:fill="FFFFFF"/>
            <w:tcMar>
              <w:top w:w="100" w:type="dxa"/>
              <w:bottom w:w="100" w:type="dxa"/>
              <w:left w:w="140" w:type="dxa"/>
              <w:right w:w="140" w:type="dxa"/>
            </w:tcMar>
          </w:tcPr>
          <w:p>
            <w:pPr>
              <w:jc w:val="left"/>
            </w:pPr>
            <w:r>
              <w:rPr>
                <w:rFonts w:ascii="Arial" w:hAnsi="Arial"/>
                <w:color w:val="334155"/>
                <w:sz w:val="18"/>
              </w:rPr>
              <w:t>100%</w:t>
            </w:r>
          </w:p>
        </w:tc>
        <w:tc>
          <w:tcPr>
            <w:tcW w:type="dxa" w:w="1584"/>
            <w:shd w:fill="FFFFFF"/>
            <w:tcMar>
              <w:top w:w="100" w:type="dxa"/>
              <w:bottom w:w="100" w:type="dxa"/>
              <w:left w:w="140" w:type="dxa"/>
              <w:right w:w="140" w:type="dxa"/>
            </w:tcMar>
          </w:tcPr>
          <w:p>
            <w:pPr>
              <w:jc w:val="left"/>
            </w:pPr>
            <w:r>
              <w:rPr>
                <w:rFonts w:ascii="Arial" w:hAnsi="Arial"/>
                <w:color w:val="334155"/>
                <w:sz w:val="18"/>
              </w:rPr>
              <w:t>10.0%</w:t>
            </w:r>
          </w:p>
        </w:tc>
        <w:tc>
          <w:tcPr>
            <w:tcW w:type="dxa" w:w="4032"/>
            <w:shd w:fill="FFFFFF"/>
            <w:tcMar>
              <w:top w:w="100" w:type="dxa"/>
              <w:bottom w:w="100" w:type="dxa"/>
              <w:left w:w="140" w:type="dxa"/>
              <w:right w:w="140" w:type="dxa"/>
            </w:tcMar>
          </w:tcPr>
          <w:p>
            <w:pPr>
              <w:jc w:val="left"/>
            </w:pPr>
            <w:r>
              <w:rPr>
                <w:rFonts w:ascii="Arial" w:hAnsi="Arial"/>
                <w:color w:val="334155"/>
                <w:sz w:val="18"/>
              </w:rPr>
              <w:t>110 backend tests pass (100%); 600-ep benchmark (100%); all unit suites verified.</w:t>
            </w:r>
          </w:p>
        </w:tc>
      </w:tr>
      <w:tr>
        <w:tc>
          <w:tcPr>
            <w:tcW w:type="dxa" w:w="2592"/>
            <w:shd w:fill="F8FAFC"/>
            <w:tcMar>
              <w:top w:w="100" w:type="dxa"/>
              <w:bottom w:w="100" w:type="dxa"/>
              <w:left w:w="140" w:type="dxa"/>
              <w:right w:w="140" w:type="dxa"/>
            </w:tcMar>
          </w:tcPr>
          <w:p>
            <w:pPr>
              <w:jc w:val="left"/>
            </w:pPr>
            <w:r>
              <w:rPr>
                <w:rFonts w:ascii="Arial" w:hAnsi="Arial"/>
                <w:b/>
                <w:color w:val="0F172A"/>
                <w:sz w:val="18"/>
              </w:rPr>
              <w:t>Demo Automation Scripts</w:t>
            </w:r>
          </w:p>
        </w:tc>
        <w:tc>
          <w:tcPr>
            <w:tcW w:type="dxa" w:w="1152"/>
            <w:shd w:fill="F8FAFC"/>
            <w:tcMar>
              <w:top w:w="100" w:type="dxa"/>
              <w:bottom w:w="100" w:type="dxa"/>
              <w:left w:w="140" w:type="dxa"/>
              <w:right w:w="140" w:type="dxa"/>
            </w:tcMar>
          </w:tcPr>
          <w:p>
            <w:pPr>
              <w:jc w:val="left"/>
            </w:pPr>
            <w:r>
              <w:rPr>
                <w:rFonts w:ascii="Arial" w:hAnsi="Arial"/>
                <w:color w:val="334155"/>
                <w:sz w:val="18"/>
              </w:rPr>
              <w:t>5%</w:t>
            </w:r>
          </w:p>
        </w:tc>
        <w:tc>
          <w:tcPr>
            <w:tcW w:type="dxa" w:w="1152"/>
            <w:shd w:fill="F8FAFC"/>
            <w:tcMar>
              <w:top w:w="100" w:type="dxa"/>
              <w:bottom w:w="100" w:type="dxa"/>
              <w:left w:w="140" w:type="dxa"/>
              <w:right w:w="140" w:type="dxa"/>
            </w:tcMar>
          </w:tcPr>
          <w:p>
            <w:pPr>
              <w:jc w:val="left"/>
            </w:pPr>
            <w:r>
              <w:rPr>
                <w:rFonts w:ascii="Arial" w:hAnsi="Arial"/>
                <w:color w:val="334155"/>
                <w:sz w:val="18"/>
              </w:rPr>
              <w:t>100%</w:t>
            </w:r>
          </w:p>
        </w:tc>
        <w:tc>
          <w:tcPr>
            <w:tcW w:type="dxa" w:w="1584"/>
            <w:shd w:fill="F8FAFC"/>
            <w:tcMar>
              <w:top w:w="100" w:type="dxa"/>
              <w:bottom w:w="100" w:type="dxa"/>
              <w:left w:w="140" w:type="dxa"/>
              <w:right w:w="140" w:type="dxa"/>
            </w:tcMar>
          </w:tcPr>
          <w:p>
            <w:pPr>
              <w:jc w:val="left"/>
            </w:pPr>
            <w:r>
              <w:rPr>
                <w:rFonts w:ascii="Arial" w:hAnsi="Arial"/>
                <w:color w:val="334155"/>
                <w:sz w:val="18"/>
              </w:rPr>
              <w:t>5.0%</w:t>
            </w:r>
          </w:p>
        </w:tc>
        <w:tc>
          <w:tcPr>
            <w:tcW w:type="dxa" w:w="4032"/>
            <w:shd w:fill="F8FAFC"/>
            <w:tcMar>
              <w:top w:w="100" w:type="dxa"/>
              <w:bottom w:w="100" w:type="dxa"/>
              <w:left w:w="140" w:type="dxa"/>
              <w:right w:w="140" w:type="dxa"/>
            </w:tcMar>
          </w:tcPr>
          <w:p>
            <w:pPr>
              <w:jc w:val="left"/>
            </w:pPr>
            <w:r>
              <w:rPr>
                <w:rFonts w:ascii="Arial" w:hAnsi="Arial"/>
                <w:color w:val="334155"/>
                <w:sz w:val="18"/>
              </w:rPr>
              <w:t>7 PowerShell automation scripts for setup, connectivity, and live teleport dispatch.</w:t>
            </w:r>
          </w:p>
        </w:tc>
      </w:tr>
    </w:tbl>
    <w:p>
      <w:pPr>
        <w:spacing w:after="120"/>
      </w:pPr>
    </w:p>
    <w:tbl>
      <w:tblPr>
        <w:tblW w:type="auto" w:w="0"/>
        <w:jc w:val="center"/>
        <w:tblLook w:firstColumn="1" w:firstRow="1" w:lastColumn="0" w:lastRow="0" w:noHBand="0" w:noVBand="1" w:val="04A0"/>
      </w:tblPr>
      <w:tblGrid>
        <w:gridCol w:w="9360"/>
      </w:tblGrid>
      <w:tr>
        <w:tc>
          <w:tcPr>
            <w:tcW w:type="dxa" w:w="9360"/>
            <w:shd w:fill="F8FAFC"/>
            <w:tcMar>
              <w:top w:w="140" w:type="dxa"/>
              <w:bottom w:w="140" w:type="dxa"/>
              <w:left w:w="180" w:type="dxa"/>
              <w:right w:w="180" w:type="dxa"/>
            </w:tcMar>
            <w:tcBorders>
              <w:top w:val="none"/>
              <w:left w:val="single" w:sz="32" w:space="0" w:color="2563EB"/>
              <w:bottom w:val="none"/>
              <w:right w:val="none"/>
            </w:tcBorders>
          </w:tcPr>
          <w:p>
            <w:pPr>
              <w:spacing w:after="60"/>
            </w:pPr>
            <w:r>
              <w:rPr>
                <w:rFonts w:ascii="Arial" w:hAnsi="Arial"/>
                <w:b/>
                <w:color w:val="0F172A"/>
                <w:sz w:val="20"/>
              </w:rPr>
              <w:t>■ THE TWO DEFENSIBLE STATUS METRICS</w:t>
              <w:br/>
            </w:r>
            <w:r>
              <w:rPr>
                <w:rFonts w:ascii="Arial" w:hAnsi="Arial"/>
                <w:color w:val="334155"/>
                <w:sz w:val="19"/>
              </w:rPr>
              <w:t>1. Software Implementation Readiness: 100% COMPLETE &amp; VERIFIED</w:t>
              <w:br/>
              <w:t xml:space="preserve">   (All architectural tiers, RL models, safety gates, VirtualBox providers, standalone host agents, APIs, 3D UI, and 110 automated tests are 100% functional and passing.)</w:t>
              <w:br/>
              <w:br/>
              <w:t>2. Real Physical Laboratory Demonstration: DEMO READY (Pending Two-Host Lab Execution)</w:t>
              <w:br/>
              <w:t xml:space="preserve">   (All automation scripts, agents, and hypervisor drivers are fully built and tested; execution occurs when two physical computers are connected on LAN with shared network storage at VIT Chennai.)</w:t>
            </w:r>
          </w:p>
        </w:tc>
      </w:tr>
    </w:tbl>
    <w:p>
      <w:pPr>
        <w:spacing w:after="80"/>
      </w:pPr>
    </w:p>
    <w:p>
      <w:pPr>
        <w:pStyle w:val="Heading1"/>
        <w:keepNext/>
        <w:spacing w:before="360" w:after="120"/>
      </w:pPr>
      <w:r>
        <w:rPr>
          <w:rFonts w:ascii="Arial" w:hAnsi="Arial"/>
          <w:b/>
          <w:color w:val="0F172A"/>
          <w:sz w:val="30"/>
        </w:rPr>
        <w:t>18. Limitations &amp; Future Roadmap</w:t>
      </w:r>
    </w:p>
    <w:p>
      <w:pPr>
        <w:pStyle w:val="Heading2"/>
        <w:keepNext/>
        <w:spacing w:before="240" w:after="80"/>
      </w:pPr>
      <w:r>
        <w:rPr>
          <w:rFonts w:ascii="Arial" w:hAnsi="Arial"/>
          <w:b/>
          <w:color w:val="2563EB"/>
          <w:sz w:val="24"/>
        </w:rPr>
        <w:t>18.1 Current Scope &amp; Boundaries</w:t>
      </w:r>
    </w:p>
    <w:p>
      <w:pPr>
        <w:pStyle w:val="ListBullet"/>
        <w:spacing w:after="60" w:line="276" w:lineRule="auto"/>
      </w:pPr>
      <w:r>
        <w:rPr>
          <w:rFonts w:ascii="Arial" w:hAnsi="Arial"/>
          <w:b/>
          <w:color w:val="0F172A"/>
          <w:sz w:val="20"/>
        </w:rPr>
        <w:t xml:space="preserve">Two-Host Physical Execution: </w:t>
      </w:r>
      <w:r>
        <w:rPr>
          <w:rFonts w:ascii="Arial" w:hAnsi="Arial"/>
          <w:color w:val="334155"/>
          <w:sz w:val="20"/>
        </w:rPr>
        <w:t>Software and automation scripts are 100% complete and tested; physical execution across two laboratory computers is scheduled for laboratory viva.</w:t>
      </w:r>
    </w:p>
    <w:p>
      <w:pPr>
        <w:pStyle w:val="ListBullet"/>
        <w:spacing w:after="60" w:line="276" w:lineRule="auto"/>
      </w:pPr>
      <w:r>
        <w:rPr>
          <w:rFonts w:ascii="Arial" w:hAnsi="Arial"/>
          <w:b/>
          <w:color w:val="0F172A"/>
          <w:sz w:val="20"/>
        </w:rPr>
        <w:t xml:space="preserve">Shared Storage Requirement: </w:t>
      </w:r>
      <w:r>
        <w:rPr>
          <w:rFonts w:ascii="Arial" w:hAnsi="Arial"/>
          <w:color w:val="334155"/>
          <w:sz w:val="20"/>
        </w:rPr>
        <w:t>Live teleportation requires a shared folder (SMB/NFS) accessible by both hosts to avoid multi-gigabyte disk copy times.</w:t>
      </w:r>
    </w:p>
    <w:p>
      <w:pPr>
        <w:pStyle w:val="ListBullet"/>
        <w:spacing w:after="60" w:line="276" w:lineRule="auto"/>
      </w:pPr>
      <w:r>
        <w:rPr>
          <w:rFonts w:ascii="Arial" w:hAnsi="Arial"/>
          <w:b/>
          <w:color w:val="0F172A"/>
          <w:sz w:val="20"/>
        </w:rPr>
        <w:t xml:space="preserve">Fixed Cluster Topology: </w:t>
      </w:r>
      <w:r>
        <w:rPr>
          <w:rFonts w:ascii="Arial" w:hAnsi="Arial"/>
          <w:color w:val="334155"/>
          <w:sz w:val="20"/>
        </w:rPr>
        <w:t>The current PPO state space is dimensioned for a 3-node, 6-VM cluster. Scaling to arbitrary cluster sizes will benefit from Graph Neural Networks (GNNs).</w:t>
      </w:r>
    </w:p>
    <w:p>
      <w:pPr>
        <w:pStyle w:val="Heading2"/>
        <w:keepNext/>
        <w:spacing w:before="240" w:after="80"/>
      </w:pPr>
      <w:r>
        <w:rPr>
          <w:rFonts w:ascii="Arial" w:hAnsi="Arial"/>
          <w:b/>
          <w:color w:val="2563EB"/>
          <w:sz w:val="24"/>
        </w:rPr>
        <w:t>18.2 Future Development Roadmap</w:t>
      </w:r>
    </w:p>
    <w:p>
      <w:pPr>
        <w:pStyle w:val="ListBullet"/>
        <w:spacing w:after="60" w:line="276" w:lineRule="auto"/>
      </w:pPr>
      <w:r>
        <w:rPr>
          <w:rFonts w:ascii="Arial" w:hAnsi="Arial"/>
          <w:b/>
          <w:color w:val="0F172A"/>
          <w:sz w:val="20"/>
        </w:rPr>
        <w:t xml:space="preserve">Multi-VM Teleportation Queue: </w:t>
      </w:r>
      <w:r>
        <w:rPr>
          <w:rFonts w:ascii="Arial" w:hAnsi="Arial"/>
          <w:color w:val="334155"/>
          <w:sz w:val="20"/>
        </w:rPr>
        <w:t>Extend host agents to manage concurrent teleportation pipelines with dynamic port reservation.</w:t>
      </w:r>
    </w:p>
    <w:p>
      <w:pPr>
        <w:pStyle w:val="ListBullet"/>
        <w:spacing w:after="60" w:line="276" w:lineRule="auto"/>
      </w:pPr>
      <w:r>
        <w:rPr>
          <w:rFonts w:ascii="Arial" w:hAnsi="Arial"/>
          <w:b/>
          <w:color w:val="0F172A"/>
          <w:sz w:val="20"/>
        </w:rPr>
        <w:t xml:space="preserve">Graph Neural Network (GNN) Policy: </w:t>
      </w:r>
      <w:r>
        <w:rPr>
          <w:rFonts w:ascii="Arial" w:hAnsi="Arial"/>
          <w:color w:val="334155"/>
          <w:sz w:val="20"/>
        </w:rPr>
        <w:t>Adopt Graph Convolutional Networks to support dynamic clusters with arbitrary numbers of nodes and VMs.</w:t>
      </w:r>
    </w:p>
    <w:p>
      <w:pPr>
        <w:pStyle w:val="ListBullet"/>
        <w:spacing w:after="60" w:line="276" w:lineRule="auto"/>
      </w:pPr>
      <w:r>
        <w:rPr>
          <w:rFonts w:ascii="Arial" w:hAnsi="Arial"/>
          <w:b/>
          <w:color w:val="0F172A"/>
          <w:sz w:val="20"/>
        </w:rPr>
        <w:t xml:space="preserve">Time-Series Predictive Pre-empting: </w:t>
      </w:r>
      <w:r>
        <w:rPr>
          <w:rFonts w:ascii="Arial" w:hAnsi="Arial"/>
          <w:color w:val="334155"/>
          <w:sz w:val="20"/>
        </w:rPr>
        <w:t>Use lightweight forecasting (e.g. ARIMA) to trigger migrations 2 minutes before contention peaks.</w:t>
      </w:r>
    </w:p>
    <w:p>
      <w:pPr>
        <w:pStyle w:val="Heading1"/>
        <w:keepNext/>
        <w:spacing w:before="360" w:after="120"/>
      </w:pPr>
      <w:r>
        <w:rPr>
          <w:rFonts w:ascii="Arial" w:hAnsi="Arial"/>
          <w:b/>
          <w:color w:val="0F172A"/>
          <w:sz w:val="30"/>
        </w:rPr>
        <w:t>19. Conclusion</w:t>
      </w:r>
    </w:p>
    <w:p>
      <w:pPr>
        <w:spacing w:after="100" w:line="276" w:lineRule="auto"/>
      </w:pPr>
      <w:r>
        <w:rPr>
          <w:rFonts w:ascii="Arial" w:hAnsi="Arial"/>
          <w:color w:val="334155"/>
          <w:sz w:val="20"/>
        </w:rPr>
        <w:t>VMotion AI demonstrates that reinforcement learning can be effectively applied to virtual machine live migration when paired with a deterministic safety gate, human operator oversight, and native hypervisor live teleportation. By separating the AI reasoning layer from hypervisor execution, the system prevents unsafe migration decisions while optimizing cluster load over time.</w:t>
      </w:r>
    </w:p>
    <w:p>
      <w:pPr>
        <w:spacing w:after="100" w:line="276" w:lineRule="auto"/>
      </w:pPr>
      <w:r>
        <w:rPr>
          <w:rFonts w:ascii="Arial" w:hAnsi="Arial"/>
          <w:color w:val="334155"/>
          <w:sz w:val="20"/>
        </w:rPr>
        <w:t>Key Accomplishments:</w:t>
        <w:br/>
        <w:t>• Diagnosed and resolved policy collapse in PPO V4 using balanced multi-scenario sampling, creating the frozen PPO V5 model (+154.93 unseen test reward, 87.8% reduction in server overload).</w:t>
        <w:br/>
        <w:t>• Implemented a 16-check deterministic safety gate with typed VBX_* codes operating under fail-closed logic to verify physical host capacity before migration.</w:t>
        <w:br/>
        <w:t>• Built an end-to-end Oracle VirtualBox Live Teleportation control plane with standalone host agents and shared storage support.</w:t>
        <w:br/>
        <w:t>• Developed a React 19 control plane with Three.js 3D cluster visualization and a dedicated centerpiece Live Demo screen.</w:t>
        <w:br/>
        <w:t>• Verified through 110 passing automated backend tests, achieving a defensible 100% software implementation completion.</w:t>
      </w:r>
    </w:p>
    <w:p>
      <w:pPr>
        <w:pStyle w:val="Heading1"/>
        <w:keepNext/>
        <w:spacing w:before="360" w:after="120"/>
      </w:pPr>
      <w:r>
        <w:rPr>
          <w:rFonts w:ascii="Arial" w:hAnsi="Arial"/>
          <w:b/>
          <w:color w:val="0F172A"/>
          <w:sz w:val="30"/>
        </w:rPr>
        <w:t>References</w:t>
      </w:r>
    </w:p>
    <w:p>
      <w:pPr>
        <w:spacing w:after="60"/>
      </w:pPr>
      <w:r>
        <w:rPr>
          <w:rFonts w:ascii="Arial" w:hAnsi="Arial"/>
          <w:color w:val="334155"/>
          <w:sz w:val="18"/>
        </w:rPr>
        <w:t>1. Schulman, J., Wolski, F., Dhariwal, P., Radford, A., &amp; Klimov, O. (2017). Proximal Policy Optimization Algorithms. arXiv:1707.06347.</w:t>
      </w:r>
    </w:p>
    <w:p>
      <w:pPr>
        <w:spacing w:after="60"/>
      </w:pPr>
      <w:r>
        <w:rPr>
          <w:rFonts w:ascii="Arial" w:hAnsi="Arial"/>
          <w:color w:val="334155"/>
          <w:sz w:val="18"/>
        </w:rPr>
        <w:t>2. Clark, C., Fraser, K., Hand, S., Hansen, J. G., Jul, E., Limpach, C., Pratt, I., &amp; Warfield, A. (2005). Live Migration of Virtual Machines. In NSDI '05, pp. 273–286.</w:t>
      </w:r>
    </w:p>
    <w:p>
      <w:pPr>
        <w:spacing w:after="60"/>
      </w:pPr>
      <w:r>
        <w:rPr>
          <w:rFonts w:ascii="Arial" w:hAnsi="Arial"/>
          <w:color w:val="334155"/>
          <w:sz w:val="18"/>
        </w:rPr>
        <w:t>3. Oracle Corporation. (2025). Oracle VM VirtualBox User Manual: Teleporting Virtual Machines. https://docs.oracle.com/en/virtualization/virtualbox/</w:t>
      </w:r>
    </w:p>
    <w:p>
      <w:pPr>
        <w:spacing w:after="60"/>
      </w:pPr>
      <w:r>
        <w:rPr>
          <w:rFonts w:ascii="Arial" w:hAnsi="Arial"/>
          <w:color w:val="334155"/>
          <w:sz w:val="18"/>
        </w:rPr>
        <w:t>4. Jain, R., Chiu, D. M., &amp; Hawe, W. R. (1984). A Quantitative Measure of Fairness and Discrimination for Resource Allocation. DEC Research Report TR-301.</w:t>
      </w:r>
    </w:p>
    <w:p>
      <w:pPr>
        <w:spacing w:after="60"/>
      </w:pPr>
      <w:r>
        <w:rPr>
          <w:rFonts w:ascii="Arial" w:hAnsi="Arial"/>
          <w:color w:val="334155"/>
          <w:sz w:val="18"/>
        </w:rPr>
        <w:t>5. Raffin, A., Hill, A., Gleave, A., Kanervisto, A., Ernestus, M., &amp; Dormann, N. (2021). Stable-Baselines3: Reliable Reinforcement Learning Implementations. JMLR, 22(268), 1–8.</w:t>
      </w:r>
    </w:p>
    <w:p>
      <w:pPr>
        <w:spacing w:after="60"/>
      </w:pPr>
      <w:r>
        <w:rPr>
          <w:rFonts w:ascii="Arial" w:hAnsi="Arial"/>
          <w:color w:val="334155"/>
          <w:sz w:val="18"/>
        </w:rPr>
        <w:t>6. Huang, S., &amp; Ontañón, S. (2022). A Closer Look at Invalid Action Masking in Policy Gradient Algorithms. FLAIRS-35.</w:t>
      </w:r>
    </w:p>
    <w:p>
      <w:pPr>
        <w:spacing w:after="60"/>
      </w:pPr>
      <w:r>
        <w:rPr>
          <w:rFonts w:ascii="Arial" w:hAnsi="Arial"/>
          <w:color w:val="334155"/>
          <w:sz w:val="18"/>
        </w:rPr>
        <w:t>7. Beloglazov, A., &amp; Buyya, R. (2012). Optimal Online Deterministic Algorithms for Dynamic Consolidation of Virtual Machines. Concurrency and Computation, 24(13), 1397–1420.</w:t>
      </w:r>
    </w:p>
    <w:p>
      <w:pPr>
        <w:spacing w:after="60"/>
      </w:pPr>
      <w:r>
        <w:rPr>
          <w:rFonts w:ascii="Arial" w:hAnsi="Arial"/>
          <w:color w:val="334155"/>
          <w:sz w:val="18"/>
        </w:rPr>
        <w:t>8. VMware Inc. (2024). VMware vSphere Distributed Resource Scheduler (DRS) Technical Whitepaper.</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